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Pharyngitis</w:t>
      </w:r>
    </w:p>
    <w:p>
      <w:pPr>
        <w:spacing w:before="0" w:after="160"/>
      </w:pPr>
      <w:r>
        <w:rPr>
          <w:rFonts w:ascii="Calibri" w:hAnsi="Calibri"/>
          <w:b/>
          <w:i w:val="0"/>
          <w:color w:val="212121"/>
          <w:sz w:val="22"/>
        </w:rPr>
        <w:t xml:space="preserve">AKA </w:t>
      </w:r>
      <w:r>
        <w:rPr>
          <w:rFonts w:ascii="Calibri" w:hAnsi="Calibri"/>
          <w:b w:val="0"/>
          <w:i w:val="0"/>
          <w:color w:val="212121"/>
          <w:sz w:val="22"/>
        </w:rPr>
        <w:t>i.e., Sore throat, Throat infection, Tonsillopharyngitis, Strep throat (when caused by Group A Streptococcus), “Gale ka infection / Gala kharab”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Pharyngitis is acute or chronic inflammation of the mucosa and underlying lymphoid tissue of the pharynx (often extending to the tonsils, when it is termed tonsillopharyngitis), presenting chiefly as sore throat with pain on swallowing (odynophagia). The great majority of acute cases are viral and self-limiting; the most important treatable bacterial cause is Group A beta-haemolytic Streptococcus (Streptococcus pyogenes, GAS), which matters mainly because of its non-suppurative immune sequelae — acute rheumatic fever, rheumatic heart disease and post-streptococcal glomerulonephritis. Chronic pharyngitis instead reflects sustained irritation from smoking, air pollution, allergy or acid reflux. It is one of the highest-volume presentations in Indian primary care and a major driver of avoidable antibiotic use.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Sore throat/pharyngitis is among the commonest reasons for outpatient and primary-care visits in India and worldwide. In a prospective South-Indian (Tamil Nadu) school cohort of 307 children aged 7–11 years followed for two years, 638 episodes of clinical pharyngitis were recorded, of which Group A streptococcus accounted for about 17% (with group G ~17% and group C ~5%), and culture positivity at the time of symptoms reflected true streptococcal pharyngitis in only about 26% of instances. Pooled Indian data estimate GAS pharyngitis at roughly 20.6 episodes per 100 child-years, rising to as high as 95 per 100 child-years in a crowded urban-slum household study — among the highest rates reported globally.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pharyngitis is a clinical diagnosis; the key task is to distinguish self-limiting viral sore throat from Group A streptococcal (GAS) pharyngitis that warrants antibiotics, and to exclude dangerous mimics. Supportive features and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sore throat with painful swallowing (odynophagia), of acute onset, with or without fever — the cardinal complaint; symptom duration under ~2 weeks defines acute pharyngitis;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scoring with the Centor / McIsaac criteria — tonsillar exudate, tender anterior cervical lymphadenopathy, history of fever &gt;38°C, and absence of cough (McIsaac adds age 3–14 years as a point and subtracts one for age ≥45) — to stratify the probability of GAS;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confirmatory testing when GAS is likely: a rapid antigen detection test (RADT) and/or throat swab culture on blood agar; in children a negative RADT is backed up by culture, because missed GAS risks rheumatic fever;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features pointing to a viral cause — cough, coryza, hoarseness, conjunctivitis, oral ulcers/vesicles or diarrhoea — which make GAS unlikely and mean testing and antibiotics are usually unnecessary;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recognition of specific pictures: a grey, adherent pseudomembrane that bleeds on removal in an under-immunised patient suggests diphtheria; posterior cervical nodes, marked fatigue and splenomegaly suggest infectious mononucleosis (EBV); a scarlatiniform rash with strawberry tongue suggests scarlet fever;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red-flag screen for airway/deep-space emergencies — drooling, trismus, muffled ‘hot-potato’ voice, unilateral swelling, stridor or severe neck pain — which indicate peritonsillar/retropharyngeal abscess or epiglottitis and need urgent referral.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Pharyngitis is grouped by clinical course, by causative agent, and by specific clinico-pathological pattern:</w:t>
      </w:r>
    </w:p>
    <w:p>
      <w:pPr>
        <w:spacing w:before="0" w:after="80"/>
      </w:pPr>
      <w:r>
        <w:rPr>
          <w:rFonts w:ascii="Calibri" w:hAnsi="Calibri"/>
          <w:b w:val="0"/>
          <w:i w:val="0"/>
          <w:color w:val="212121"/>
          <w:sz w:val="21"/>
        </w:rPr>
        <w:t>(1) By course — acute pharyngitis (symptoms &lt;2 weeks, usually infective and self-limiting) versus chronic or recurrent pharyngitis (persistent or repeated throat inflammation, more often from ongoing irritants such as tobacco smoke, air pollution, allergy, mouth-breathing or acid reflux);</w:t>
      </w:r>
    </w:p>
    <w:p>
      <w:pPr>
        <w:spacing w:before="0" w:after="80"/>
      </w:pPr>
      <w:r>
        <w:rPr>
          <w:rFonts w:ascii="Calibri" w:hAnsi="Calibri"/>
          <w:b w:val="0"/>
          <w:i w:val="0"/>
          <w:color w:val="212121"/>
          <w:sz w:val="21"/>
        </w:rPr>
        <w:t>(2) By aetiology — viral (the large majority: rhinovirus, adenovirus, coronaviruses, influenza and parainfluenza, Epstein–Barr virus, enteroviruses/coxsackie [herpangina] and herpes simplex) versus bacterial (Group A Streptococcus predominant; also group C and G streptococci, Fusobacterium necrophorum, Corynebacterium diphtheriae, Neisseria gonorrhoeae, Mycoplasma) versus non-infective (reflux/LPR, allergic, irritant/occupational, and post-nasal-drip pharyngitis);</w:t>
      </w:r>
    </w:p>
    <w:p>
      <w:pPr>
        <w:spacing w:before="0" w:after="80"/>
      </w:pPr>
      <w:r>
        <w:rPr>
          <w:rFonts w:ascii="Calibri" w:hAnsi="Calibri"/>
          <w:b w:val="0"/>
          <w:i w:val="0"/>
          <w:color w:val="212121"/>
          <w:sz w:val="21"/>
        </w:rPr>
        <w:t>(3) By specific pattern — streptococcal pharyngitis / strep throat, acute tonsillopharyngitis, membranous pharyngitis (diphtheria), ulcerative/vesicular pharyngitis (herpangina, herpetic, Vincent’s angina), and pharyngitis of infectious mononucleosis — each with distinctive examination findings and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Viral infection: The commonest cause of acute pharyngitis — rhinovirus, adenovirus, coronaviruses, influenza/parainfluenza, Epstein–Barr virus, enteroviruses and herpes simplex infect and inflame the pharyngeal mucosa, producing a self-limiting sore throat.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Group A beta-haemolytic Streptococcus (S. pyogenes): The key bacterial cause; important less for acute severity than for its immune sequelae (rheumatic fever, rheumatic heart disease, glomerulonephritis) and suppurative complications, and because it is antibiotic-responsive.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Other bacteria: Group C and G streptococci, Fusobacterium necrophorum (Lemierre’s syndrome), Corynebacterium diphtheriae (membranous pharyngitis in the under-immunised), Neisseria gonorrhoeae and Mycoplasma pneumoniae.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Person-to-person transmission &amp; crowding: Spread by respiratory droplets and close contact; overcrowded homes, schools, hostels and public transport amplify GAS and viral transmission, with an incubation of about 2–5 days.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Non-infective irritants: Active and passive tobacco smoke, ambient and indoor (biomass) air pollution, occupational fumes/dust, alcohol, dry air and vocal overuse drive irritant and chronic pharyngitis.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Gastro-oesophageal / laryngopharyngeal reflux: Retrograde acid and pepsin injure the posterior pharyngeal and laryngeal mucosa, a major cause of chronic non-infective sore throat and throat clearing.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Reduced host defence: Immature immunity in young children, immunosenescence in the elderly, uncontrolled diabetes, immunosuppression and micronutrient deficiency increase frequency, severity and complications.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School-age children (5–15 yr)</w:t>
            </w:r>
          </w:p>
        </w:tc>
        <w:tc>
          <w:tcPr>
            <w:tcW w:type="dxa" w:w="4276"/>
            <w:vAlign w:val="top"/>
          </w:tcPr>
          <w:p>
            <w:pPr>
              <w:spacing w:after="60" w:line="259" w:lineRule="auto"/>
            </w:pPr>
            <w:r>
              <w:rPr>
                <w:rFonts w:ascii="Calibri" w:hAnsi="Calibri"/>
                <w:b w:val="0"/>
                <w:i w:val="0"/>
                <w:color w:val="212121"/>
                <w:sz w:val="19"/>
              </w:rPr>
              <w:t>Immature immunity, first exposures to many organisms and intense close contact in schools make this the peak age for Group A streptococcal pharyngitis and the group in which missing GAS carries the greatest rheumatic-fever risk.</w:t>
            </w:r>
          </w:p>
          <w:p>
            <w:pPr>
              <w:spacing w:after="40" w:before="60" w:line="259" w:lineRule="auto"/>
            </w:pPr>
            <w:r>
              <w:rPr>
                <w:rFonts w:ascii="Calibri" w:hAnsi="Calibri"/>
                <w:b w:val="0"/>
                <w:i w:val="0"/>
                <w:color w:val="212121"/>
                <w:sz w:val="19"/>
              </w:rPr>
              <w:t>Group A strep causes about 20–30% of pharyngitis episodes in children (versus only 5–15% in adults), and is most common between 5 and 15 years and rare under 3 years.</w:t>
            </w:r>
          </w:p>
          <w:p>
            <w:pPr>
              <w:spacing w:after="40" w:line="252" w:lineRule="auto"/>
            </w:pPr>
            <w:hyperlink r:id="rId9">
              <w:r>
                <w:rPr>
                  <w:rFonts w:ascii="Calibri" w:hAnsi="Calibri" w:cs="Calibri"/>
                  <w:sz w:val="18"/>
                  <w:color w:val="1155CC"/>
                  <w:u w:val="single"/>
                </w:rPr>
                <w:t xml:space="preserve">cdc.gov — group A strep pharyngitis clinical guidance</w:t>
              </w:r>
            </w:hyperlink>
          </w:p>
          <w:p>
            <w:pPr>
              <w:spacing w:before="60" w:after="40"/>
            </w:pPr>
            <w:r>
              <w:rPr>
                <w:rFonts w:ascii="Calibri" w:hAnsi="Calibri"/>
                <w:b w:val="0"/>
                <w:i w:val="0"/>
                <w:color w:val="5A5A5A"/>
                <w:sz w:val="18"/>
              </w:rPr>
              <w:t>#strepthroat  #schoolage  #GAS  #rheumaticfever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In adults the great majority of sore throats are viral and self-limiting; over-testing and empirical antibiotics are the main pitfalls, driving avoidable antimicrobial use.</w:t>
            </w:r>
          </w:p>
          <w:p>
            <w:pPr>
              <w:spacing w:after="40" w:before="60" w:line="259" w:lineRule="auto"/>
            </w:pPr>
            <w:r>
              <w:rPr>
                <w:rFonts w:ascii="Calibri" w:hAnsi="Calibri"/>
                <w:b w:val="0"/>
                <w:i w:val="0"/>
                <w:color w:val="212121"/>
                <w:sz w:val="19"/>
              </w:rPr>
              <w:t>Among adults seeking care for sore throat, only about 10–15% have streptococcal pharyngitis — the rest are predominantly viral.</w:t>
            </w:r>
          </w:p>
          <w:p>
            <w:pPr>
              <w:spacing w:after="40" w:line="252" w:lineRule="auto"/>
            </w:pPr>
            <w:hyperlink r:id="rId10">
              <w:r>
                <w:rPr>
                  <w:rFonts w:ascii="Calibri" w:hAnsi="Calibri" w:cs="Calibri"/>
                  <w:sz w:val="18"/>
                  <w:color w:val="1155CC"/>
                  <w:u w:val="single"/>
                </w:rPr>
                <w:t xml:space="preserve">ncbi.nlm.nih.gov — StatPearls, Streptococcal Pharyngitis</w:t>
              </w:r>
            </w:hyperlink>
          </w:p>
          <w:p>
            <w:pPr>
              <w:spacing w:before="60" w:after="40"/>
            </w:pPr>
            <w:r>
              <w:rPr>
                <w:rFonts w:ascii="Calibri" w:hAnsi="Calibri"/>
                <w:b w:val="0"/>
                <w:i w:val="0"/>
                <w:color w:val="5A5A5A"/>
                <w:sz w:val="18"/>
              </w:rPr>
              <w:t>#adults  #viralpharyngitis  #antibioticstewardship  #selflimiting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Immunosenescence and comorbidity (diabetes, COPD, malignancy, dentures/reflux) mean sore throat in older adults is less often streptococcal but more likely to reflect reflux, candidiasis, drug effects or, rarely, malignancy, and to be complicated.</w:t>
            </w:r>
          </w:p>
          <w:p>
            <w:pPr>
              <w:spacing w:after="40" w:before="60" w:line="259" w:lineRule="auto"/>
            </w:pPr>
            <w:r>
              <w:rPr>
                <w:rFonts w:ascii="Calibri" w:hAnsi="Calibri"/>
                <w:b w:val="0"/>
                <w:i w:val="0"/>
                <w:color w:val="212121"/>
                <w:sz w:val="19"/>
              </w:rPr>
              <w:t>GAS pharyngitis incidence falls with age to roughly 1.1 per 1,000 person-years in adults aged 40–65, against about 93 per 1,000 in children aged 3–9.</w:t>
            </w:r>
          </w:p>
          <w:p>
            <w:pPr>
              <w:spacing w:after="40" w:line="252" w:lineRule="auto"/>
            </w:pPr>
            <w:hyperlink r:id="rId10">
              <w:r>
                <w:rPr>
                  <w:rFonts w:ascii="Calibri" w:hAnsi="Calibri" w:cs="Calibri"/>
                  <w:sz w:val="18"/>
                  <w:color w:val="1155CC"/>
                  <w:u w:val="single"/>
                </w:rPr>
                <w:t xml:space="preserve">ncbi.nlm.nih.gov — StatPearls, Streptococcal Pharyngitis</w:t>
              </w:r>
            </w:hyperlink>
          </w:p>
          <w:p>
            <w:pPr>
              <w:spacing w:before="60" w:after="40"/>
            </w:pPr>
            <w:r>
              <w:rPr>
                <w:rFonts w:ascii="Calibri" w:hAnsi="Calibri"/>
                <w:b w:val="0"/>
                <w:i w:val="0"/>
                <w:color w:val="5A5A5A"/>
                <w:sz w:val="18"/>
              </w:rPr>
              <w:t>#elderly  #reflux  #immunosenescence  #redflags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males (chronic pharyngitis)</w:t>
            </w:r>
          </w:p>
        </w:tc>
        <w:tc>
          <w:tcPr>
            <w:tcW w:type="dxa" w:w="4276"/>
            <w:vAlign w:val="top"/>
          </w:tcPr>
          <w:p>
            <w:pPr>
              <w:spacing w:after="60" w:line="259" w:lineRule="auto"/>
            </w:pPr>
            <w:r>
              <w:rPr>
                <w:rFonts w:ascii="Calibri" w:hAnsi="Calibri"/>
                <w:b w:val="0"/>
                <w:i w:val="0"/>
                <w:color w:val="212121"/>
                <w:sz w:val="19"/>
              </w:rPr>
              <w:t>Higher rates of smoking, alcohol and occupational irritant exposure in Indian men contribute to a male preponderance of chronic irritant pharyngitis, while acute infective pharyngitis affects both sexes similarly (with a slight excess in boys in early childhood).</w:t>
            </w:r>
          </w:p>
          <w:p>
            <w:pPr>
              <w:spacing w:after="40" w:before="60" w:line="259" w:lineRule="auto"/>
            </w:pPr>
            <w:r>
              <w:rPr>
                <w:rFonts w:ascii="Calibri" w:hAnsi="Calibri"/>
                <w:b w:val="0"/>
                <w:i w:val="0"/>
                <w:color w:val="212121"/>
                <w:sz w:val="19"/>
              </w:rPr>
              <w:t>Male sex and advancing age are listed among the recognised risk factors for chronic pharyngitis.</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#malesex  #chronicpharyngitis  #smoking  #irritants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Overcrowded, low-income households</w:t>
            </w:r>
          </w:p>
        </w:tc>
        <w:tc>
          <w:tcPr>
            <w:tcW w:type="dxa" w:w="4276"/>
            <w:vAlign w:val="top"/>
          </w:tcPr>
          <w:p>
            <w:pPr>
              <w:spacing w:after="60" w:line="259" w:lineRule="auto"/>
            </w:pPr>
            <w:r>
              <w:rPr>
                <w:rFonts w:ascii="Calibri" w:hAnsi="Calibri"/>
                <w:b w:val="0"/>
                <w:i w:val="0"/>
                <w:color w:val="212121"/>
                <w:sz w:val="19"/>
              </w:rPr>
              <w:t>Crowding, shared rooms and bedding, poor ventilation and limited hand hygiene accelerate droplet transmission of GAS and respiratory viruses and cluster infection within families — a key driver of rheumatic-fever risk in disadvantaged Indian communities.</w:t>
            </w:r>
          </w:p>
          <w:p>
            <w:pPr>
              <w:spacing w:after="40" w:before="60" w:line="259" w:lineRule="auto"/>
            </w:pPr>
            <w:r>
              <w:rPr>
                <w:rFonts w:ascii="Calibri" w:hAnsi="Calibri"/>
                <w:b w:val="0"/>
                <w:i w:val="0"/>
                <w:color w:val="212121"/>
                <w:sz w:val="19"/>
              </w:rPr>
              <w:t>An Indian urban-slum household study recorded about 95 GAS pharyngitis episodes per 100 child-years — among the highest incidences reported anywhere.</w:t>
            </w:r>
          </w:p>
          <w:p>
            <w:pPr>
              <w:spacing w:after="40" w:line="252" w:lineRule="auto"/>
            </w:pPr>
            <w:hyperlink r:id="rId12">
              <w:r>
                <w:rPr>
                  <w:rFonts w:ascii="Calibri" w:hAnsi="Calibri" w:cs="Calibri"/>
                  <w:sz w:val="18"/>
                  <w:color w:val="1155CC"/>
                  <w:u w:val="single"/>
                </w:rPr>
                <w:t xml:space="preserve">journals.plos.org — sore throat &amp; GAS in high-risk children (meta-analysis)</w:t>
              </w:r>
            </w:hyperlink>
          </w:p>
          <w:p>
            <w:pPr>
              <w:spacing w:before="60" w:after="40"/>
            </w:pPr>
            <w:r>
              <w:rPr>
                <w:rFonts w:ascii="Calibri" w:hAnsi="Calibri"/>
                <w:b w:val="0"/>
                <w:i w:val="0"/>
                <w:color w:val="5A5A5A"/>
                <w:sz w:val="18"/>
              </w:rPr>
              <w:t>#overcrowding  #poverty  #transmission  #slum</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school children</w:t>
            </w:r>
          </w:p>
        </w:tc>
        <w:tc>
          <w:tcPr>
            <w:tcW w:type="dxa" w:w="4276"/>
            <w:vAlign w:val="top"/>
          </w:tcPr>
          <w:p>
            <w:pPr>
              <w:spacing w:after="60" w:line="259" w:lineRule="auto"/>
            </w:pPr>
            <w:r>
              <w:rPr>
                <w:rFonts w:ascii="Calibri" w:hAnsi="Calibri"/>
                <w:b w:val="0"/>
                <w:i w:val="0"/>
                <w:color w:val="212121"/>
                <w:sz w:val="19"/>
              </w:rPr>
              <w:t>High streptococcal colonisation and transmission in Indian school settings mean sore throat is very common, yet frequent carriage makes it hard to know when a positive swab represents true infection — complicating antibiotic decisions.</w:t>
            </w:r>
          </w:p>
          <w:p>
            <w:pPr>
              <w:spacing w:after="40" w:before="60" w:line="259" w:lineRule="auto"/>
            </w:pPr>
            <w:r>
              <w:rPr>
                <w:rFonts w:ascii="Calibri" w:hAnsi="Calibri"/>
                <w:b w:val="0"/>
                <w:i w:val="0"/>
                <w:color w:val="212121"/>
                <w:sz w:val="19"/>
              </w:rPr>
              <w:t>A Tamil Nadu cohort recorded 638 pharyngitis episodes among 307 children (7–11 yr) over 2 years; culture positivity reflected true streptococcal pharyngitis in only ~26% of clinical episodes.</w:t>
            </w:r>
          </w:p>
          <w:p>
            <w:pPr>
              <w:spacing w:after="40" w:line="252" w:lineRule="auto"/>
            </w:pPr>
            <w:hyperlink r:id="rId13">
              <w:r>
                <w:rPr>
                  <w:rFonts w:ascii="Calibri" w:hAnsi="Calibri" w:cs="Calibri"/>
                  <w:sz w:val="18"/>
                  <w:color w:val="1155CC"/>
                  <w:u w:val="single"/>
                </w:rPr>
                <w:t xml:space="preserve">cambridge.org — streptococcal pharyngitis in S. Indian school children</w:t>
              </w:r>
            </w:hyperlink>
          </w:p>
          <w:p>
            <w:pPr>
              <w:spacing w:before="60" w:after="40"/>
            </w:pPr>
            <w:r>
              <w:rPr>
                <w:rFonts w:ascii="Calibri" w:hAnsi="Calibri"/>
                <w:b w:val="0"/>
                <w:i w:val="0"/>
                <w:color w:val="5A5A5A"/>
                <w:sz w:val="18"/>
              </w:rPr>
              <w:t>#southindia  #carriage  #tamilnadu  #overdiagnosis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Immunisation coverage</w:t>
            </w:r>
          </w:p>
        </w:tc>
        <w:tc>
          <w:tcPr>
            <w:tcW w:type="dxa" w:w="2160"/>
            <w:vAlign w:val="top"/>
          </w:tcPr>
          <w:p>
            <w:pPr>
              <w:spacing w:after="40" w:before="0" w:line="259" w:lineRule="auto"/>
            </w:pPr>
            <w:r>
              <w:rPr>
                <w:rFonts w:ascii="Calibri" w:hAnsi="Calibri"/>
                <w:b w:val="0"/>
                <w:i w:val="0"/>
                <w:color w:val="212121"/>
                <w:sz w:val="19"/>
              </w:rPr>
              <w:t>Under-immunised pockets (diphtheria)</w:t>
            </w:r>
          </w:p>
        </w:tc>
        <w:tc>
          <w:tcPr>
            <w:tcW w:type="dxa" w:w="4276"/>
            <w:vAlign w:val="top"/>
          </w:tcPr>
          <w:p>
            <w:pPr>
              <w:spacing w:after="60" w:line="259" w:lineRule="auto"/>
            </w:pPr>
            <w:r>
              <w:rPr>
                <w:rFonts w:ascii="Calibri" w:hAnsi="Calibri"/>
                <w:b w:val="0"/>
                <w:i w:val="0"/>
                <w:color w:val="212121"/>
                <w:sz w:val="19"/>
              </w:rPr>
              <w:t>In under-vaccinated communities — seen in parts of Rajasthan, Haryana, Uttar Pradesh, Bihar and some urban migrant areas — Corynebacterium diphtheriae can cause a life-threatening membranous pharyngitis with airway obstruction and toxin-mediated myocarditis.</w:t>
            </w:r>
          </w:p>
          <w:p>
            <w:pPr>
              <w:spacing w:after="40" w:before="60" w:line="259" w:lineRule="auto"/>
            </w:pPr>
            <w:r>
              <w:rPr>
                <w:rFonts w:ascii="Calibri" w:hAnsi="Calibri"/>
                <w:b w:val="0"/>
                <w:i w:val="0"/>
                <w:color w:val="212121"/>
                <w:sz w:val="19"/>
              </w:rPr>
              <w:t>Among reported Indian diphtheria cases, only about 27% were fully immunised (with ~44% partially immunised), and around 41% were older than 10 years.</w:t>
            </w:r>
          </w:p>
          <w:p>
            <w:pPr>
              <w:spacing w:after="40" w:line="252" w:lineRule="auto"/>
            </w:pPr>
            <w:hyperlink r:id="rId14">
              <w:r>
                <w:rPr>
                  <w:rFonts w:ascii="Calibri" w:hAnsi="Calibri" w:cs="Calibri"/>
                  <w:sz w:val="18"/>
                  <w:color w:val="1155CC"/>
                  <w:u w:val="single"/>
                </w:rPr>
                <w:t xml:space="preserve">ijmedri.com — diphtheria in India over the last 10 years</w:t>
              </w:r>
            </w:hyperlink>
          </w:p>
          <w:p>
            <w:pPr>
              <w:spacing w:before="60" w:after="40"/>
            </w:pPr>
            <w:r>
              <w:rPr>
                <w:rFonts w:ascii="Calibri" w:hAnsi="Calibri"/>
                <w:b w:val="0"/>
                <w:i w:val="0"/>
                <w:color w:val="5A5A5A"/>
                <w:sz w:val="18"/>
              </w:rPr>
              <w:t>#diphtheria  #pseudomembrane  #immunisationgap  #DPT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Air pollution / climate</w:t>
            </w:r>
          </w:p>
        </w:tc>
        <w:tc>
          <w:tcPr>
            <w:tcW w:type="dxa" w:w="2160"/>
            <w:vAlign w:val="top"/>
          </w:tcPr>
          <w:p>
            <w:pPr>
              <w:spacing w:after="40" w:before="0" w:line="259" w:lineRule="auto"/>
            </w:pPr>
            <w:r>
              <w:rPr>
                <w:rFonts w:ascii="Calibri" w:hAnsi="Calibri"/>
                <w:b w:val="0"/>
                <w:i w:val="0"/>
                <w:color w:val="212121"/>
                <w:sz w:val="19"/>
              </w:rPr>
              <w:t>Residents of high-PM2.5 cities &amp; cold-dry seasons</w:t>
            </w:r>
          </w:p>
        </w:tc>
        <w:tc>
          <w:tcPr>
            <w:tcW w:type="dxa" w:w="4276"/>
            <w:vAlign w:val="top"/>
          </w:tcPr>
          <w:p>
            <w:pPr>
              <w:spacing w:after="60" w:line="259" w:lineRule="auto"/>
            </w:pPr>
            <w:r>
              <w:rPr>
                <w:rFonts w:ascii="Calibri" w:hAnsi="Calibri"/>
                <w:b w:val="0"/>
                <w:i w:val="0"/>
                <w:color w:val="212121"/>
                <w:sz w:val="19"/>
              </w:rPr>
              <w:t>Chronic exposure to high ambient particulate matter (e.g., Delhi and the Indo-Gangetic plain), household biomass smoke, and cold dry winter or damp monsoon air irritate and dry the pharyngeal mucosa and favour viral survival, raising both chronic irritant and seasonal infective pharyngitis.</w:t>
            </w:r>
          </w:p>
          <w:p>
            <w:pPr>
              <w:spacing w:after="40" w:before="60" w:line="259" w:lineRule="auto"/>
            </w:pPr>
            <w:r>
              <w:rPr>
                <w:rFonts w:ascii="Calibri" w:hAnsi="Calibri"/>
                <w:b w:val="0"/>
                <w:i w:val="0"/>
                <w:color w:val="212121"/>
                <w:sz w:val="19"/>
              </w:rPr>
              <w:t>High-pollution geographic locations are a recognised risk factor for chronic pharyngitis; respiratory-virus pharyngitis peaks in the colder months.</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#airpollution  #pm25  #winter  #monsoon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Active &amp; passive (second-hand) smokers</w:t>
            </w:r>
          </w:p>
        </w:tc>
        <w:tc>
          <w:tcPr>
            <w:tcW w:type="dxa" w:w="4276"/>
            <w:vAlign w:val="top"/>
          </w:tcPr>
          <w:p>
            <w:pPr>
              <w:spacing w:after="60" w:line="259" w:lineRule="auto"/>
            </w:pPr>
            <w:r>
              <w:rPr>
                <w:rFonts w:ascii="Calibri" w:hAnsi="Calibri"/>
                <w:b w:val="0"/>
                <w:i w:val="0"/>
                <w:color w:val="212121"/>
                <w:sz w:val="19"/>
              </w:rPr>
              <w:t>Tobacco (and bidi) smoke is a direct pharyngeal irritant that inflames the mucosa and impairs mucociliary clearance, causing chronic sore throat and throat-clearing and predisposing to recurrent infection; children in smoking households are affected passively.</w:t>
            </w:r>
          </w:p>
          <w:p>
            <w:pPr>
              <w:spacing w:after="40" w:before="60" w:line="259" w:lineRule="auto"/>
            </w:pPr>
            <w:r>
              <w:rPr>
                <w:rFonts w:ascii="Calibri" w:hAnsi="Calibri"/>
                <w:b w:val="0"/>
                <w:i w:val="0"/>
                <w:color w:val="212121"/>
                <w:sz w:val="19"/>
              </w:rPr>
              <w:t>Smoking is described as a major irritant that can lead to chronic throat inflammation.</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#smoking  #bidi  #passivesmoke  #chronicpharyngitis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Alcohol dries and irritates the pharyngeal lining, promotes acid reflux and blunts immune defence, contributing to chronic pharyngitis and slower recovery from infective episodes.</w:t>
            </w:r>
          </w:p>
          <w:p>
            <w:pPr>
              <w:spacing w:after="40" w:before="60" w:line="259" w:lineRule="auto"/>
            </w:pPr>
            <w:r>
              <w:rPr>
                <w:rFonts w:ascii="Calibri" w:hAnsi="Calibri"/>
                <w:b w:val="0"/>
                <w:i w:val="0"/>
                <w:color w:val="212121"/>
                <w:sz w:val="19"/>
              </w:rPr>
              <w:t>Excessive alcohol consumption is listed among the lifestyle irritants that contribute to chronic pharyngitis.</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#alcohol  #irritant  #reflux  #mucosa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vocal exposure</w:t>
            </w:r>
          </w:p>
        </w:tc>
        <w:tc>
          <w:tcPr>
            <w:tcW w:type="dxa" w:w="2160"/>
            <w:vAlign w:val="top"/>
          </w:tcPr>
          <w:p>
            <w:pPr>
              <w:spacing w:after="40" w:before="0" w:line="259" w:lineRule="auto"/>
            </w:pPr>
            <w:r>
              <w:rPr>
                <w:rFonts w:ascii="Calibri" w:hAnsi="Calibri"/>
                <w:b w:val="0"/>
                <w:i w:val="0"/>
                <w:color w:val="212121"/>
                <w:sz w:val="19"/>
              </w:rPr>
              <w:t>Teachers, singers, industrial &amp; dusty-trade workers</w:t>
            </w:r>
          </w:p>
        </w:tc>
        <w:tc>
          <w:tcPr>
            <w:tcW w:type="dxa" w:w="4276"/>
            <w:vAlign w:val="top"/>
          </w:tcPr>
          <w:p>
            <w:pPr>
              <w:spacing w:after="60" w:line="259" w:lineRule="auto"/>
            </w:pPr>
            <w:r>
              <w:rPr>
                <w:rFonts w:ascii="Calibri" w:hAnsi="Calibri"/>
                <w:b w:val="0"/>
                <w:i w:val="0"/>
                <w:color w:val="212121"/>
                <w:sz w:val="19"/>
              </w:rPr>
              <w:t>Prolonged voice use and inhalation of dust, chemical fumes or smoke in poorly ventilated workplaces keep the pharyngeal and laryngeal mucosa chronically irritated, producing persistent sore throat and hoarseness.</w:t>
            </w:r>
          </w:p>
          <w:p>
            <w:pPr>
              <w:spacing w:after="40" w:before="60" w:line="259" w:lineRule="auto"/>
            </w:pPr>
            <w:r>
              <w:rPr>
                <w:rFonts w:ascii="Calibri" w:hAnsi="Calibri"/>
                <w:b w:val="0"/>
                <w:i w:val="0"/>
                <w:color w:val="212121"/>
                <w:sz w:val="19"/>
              </w:rPr>
              <w:t>Exposure to smoke, pollution, allergens and occupational irritants is a recognised driver of chronic pharyngitis.</w:t>
            </w:r>
          </w:p>
          <w:p>
            <w:pPr>
              <w:spacing w:before="60" w:after="40"/>
            </w:pPr>
            <w:r>
              <w:rPr>
                <w:rFonts w:ascii="Calibri" w:hAnsi="Calibri"/>
                <w:b w:val="0"/>
                <w:i w:val="0"/>
                <w:color w:val="5A5A5A"/>
                <w:sz w:val="18"/>
              </w:rPr>
              <w:t>#occupational  #voiceoveruse  #dust  #fumes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 immune fitness</w:t>
            </w:r>
          </w:p>
        </w:tc>
        <w:tc>
          <w:tcPr>
            <w:tcW w:type="dxa" w:w="2160"/>
            <w:vAlign w:val="top"/>
          </w:tcPr>
          <w:p>
            <w:pPr>
              <w:spacing w:after="40" w:before="0" w:line="259" w:lineRule="auto"/>
            </w:pPr>
            <w:r>
              <w:rPr>
                <w:rFonts w:ascii="Calibri" w:hAnsi="Calibri"/>
                <w:b w:val="0"/>
                <w:i w:val="0"/>
                <w:color w:val="212121"/>
                <w:sz w:val="19"/>
              </w:rPr>
              <w:t>Short sleepers &amp; run-down individuals</w:t>
            </w:r>
          </w:p>
        </w:tc>
        <w:tc>
          <w:tcPr>
            <w:tcW w:type="dxa" w:w="4276"/>
            <w:vAlign w:val="top"/>
          </w:tcPr>
          <w:p>
            <w:pPr>
              <w:spacing w:after="60" w:line="259" w:lineRule="auto"/>
            </w:pPr>
            <w:r>
              <w:rPr>
                <w:rFonts w:ascii="Calibri" w:hAnsi="Calibri"/>
                <w:b w:val="0"/>
                <w:i w:val="0"/>
                <w:color w:val="212121"/>
                <w:sz w:val="19"/>
              </w:rPr>
              <w:t>Short or poor-quality sleep and physical exhaustion dysregulate immunity and increase susceptibility to the respiratory viruses that cause most sore throats.</w:t>
            </w:r>
          </w:p>
          <w:p>
            <w:pPr>
              <w:spacing w:after="40" w:before="60" w:line="259" w:lineRule="auto"/>
            </w:pPr>
            <w:r>
              <w:rPr>
                <w:rFonts w:ascii="Calibri" w:hAnsi="Calibri"/>
                <w:b w:val="0"/>
                <w:i w:val="0"/>
                <w:color w:val="212121"/>
                <w:sz w:val="19"/>
              </w:rPr>
              <w:t>Inadequate sleep and being run-down are associated with greater susceptibility to upper-respiratory infections that present with sore throat.</w:t>
            </w:r>
          </w:p>
          <w:p>
            <w:pPr>
              <w:spacing w:before="60" w:after="40"/>
            </w:pPr>
            <w:r>
              <w:rPr>
                <w:rFonts w:ascii="Calibri" w:hAnsi="Calibri"/>
                <w:b w:val="0"/>
                <w:i w:val="0"/>
                <w:color w:val="5A5A5A"/>
                <w:sz w:val="18"/>
              </w:rPr>
              <w:t>#sleep  #immunity  #susceptibility  #runningdown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Reflux-triggering diet</w:t>
            </w:r>
          </w:p>
        </w:tc>
        <w:tc>
          <w:tcPr>
            <w:tcW w:type="dxa" w:w="2160"/>
            <w:vAlign w:val="top"/>
          </w:tcPr>
          <w:p>
            <w:pPr>
              <w:spacing w:after="40" w:before="0" w:line="259" w:lineRule="auto"/>
            </w:pPr>
            <w:r>
              <w:rPr>
                <w:rFonts w:ascii="Calibri" w:hAnsi="Calibri"/>
                <w:b w:val="0"/>
                <w:i w:val="0"/>
                <w:color w:val="212121"/>
                <w:sz w:val="19"/>
              </w:rPr>
              <w:t>High intake of spicy, acidic, fried foods &amp; caffeine</w:t>
            </w:r>
          </w:p>
        </w:tc>
        <w:tc>
          <w:tcPr>
            <w:tcW w:type="dxa" w:w="4276"/>
            <w:vAlign w:val="top"/>
          </w:tcPr>
          <w:p>
            <w:pPr>
              <w:spacing w:after="60" w:line="259" w:lineRule="auto"/>
            </w:pPr>
            <w:r>
              <w:rPr>
                <w:rFonts w:ascii="Calibri" w:hAnsi="Calibri"/>
                <w:b w:val="0"/>
                <w:i w:val="0"/>
                <w:color w:val="212121"/>
                <w:sz w:val="19"/>
              </w:rPr>
              <w:t>Spicy, acidic and fried foods, caffeine and large late-night meals promote gastro-oesophageal and laryngopharyngeal reflux, whose acid injures the posterior pharynx and sustains chronic sore throat and throat-clearing.</w:t>
            </w:r>
          </w:p>
          <w:p>
            <w:pPr>
              <w:spacing w:after="40" w:before="60" w:line="259" w:lineRule="auto"/>
            </w:pPr>
            <w:r>
              <w:rPr>
                <w:rFonts w:ascii="Calibri" w:hAnsi="Calibri"/>
                <w:b w:val="0"/>
                <w:i w:val="0"/>
                <w:color w:val="212121"/>
                <w:sz w:val="19"/>
              </w:rPr>
              <w:t>Dietary irritants such as spicy foods, acidic foods and caffeine are implicated in chronic pharyngitis.</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#spicyfood  #reflux  #caffeine  #LPR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Low fruit/vegetable, vitamin- or protein-deficient diets</w:t>
            </w:r>
          </w:p>
        </w:tc>
        <w:tc>
          <w:tcPr>
            <w:tcW w:type="dxa" w:w="4276"/>
            <w:vAlign w:val="top"/>
          </w:tcPr>
          <w:p>
            <w:pPr>
              <w:spacing w:after="60" w:line="259" w:lineRule="auto"/>
            </w:pPr>
            <w:r>
              <w:rPr>
                <w:rFonts w:ascii="Calibri" w:hAnsi="Calibri"/>
                <w:b w:val="0"/>
                <w:i w:val="0"/>
                <w:color w:val="212121"/>
                <w:sz w:val="19"/>
              </w:rPr>
              <w:t>Deficiency of vitamins A, C and D, zinc and protein weakens mucosal and innate defences of the upper airway, increasing the frequency and duration of infective pharyngitis, especially in undernourished children.</w:t>
            </w:r>
          </w:p>
          <w:p>
            <w:pPr>
              <w:spacing w:after="40" w:before="60" w:line="259" w:lineRule="auto"/>
            </w:pPr>
            <w:r>
              <w:rPr>
                <w:rFonts w:ascii="Calibri" w:hAnsi="Calibri"/>
                <w:b w:val="0"/>
                <w:i w:val="0"/>
                <w:color w:val="212121"/>
                <w:sz w:val="19"/>
              </w:rPr>
              <w:t>Micronutrient and protein deficiency are established amplifiers of upper-respiratory infection frequency and severity in children.</w:t>
            </w:r>
          </w:p>
          <w:p>
            <w:pPr>
              <w:spacing w:before="60" w:after="40"/>
            </w:pPr>
            <w:r>
              <w:rPr>
                <w:rFonts w:ascii="Calibri" w:hAnsi="Calibri"/>
                <w:b w:val="0"/>
                <w:i w:val="0"/>
                <w:color w:val="5A5A5A"/>
                <w:sz w:val="18"/>
              </w:rPr>
              <w:t>#micronutrients  #vitaminC  #zinc  #undernutrition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Atopy / family history</w:t>
            </w:r>
          </w:p>
        </w:tc>
        <w:tc>
          <w:tcPr>
            <w:tcW w:type="dxa" w:w="2160"/>
            <w:vAlign w:val="top"/>
          </w:tcPr>
          <w:p>
            <w:pPr>
              <w:spacing w:after="40" w:before="0" w:line="259" w:lineRule="auto"/>
            </w:pPr>
            <w:r>
              <w:rPr>
                <w:rFonts w:ascii="Calibri" w:hAnsi="Calibri"/>
                <w:b w:val="0"/>
                <w:i w:val="0"/>
                <w:color w:val="212121"/>
                <w:sz w:val="19"/>
              </w:rPr>
              <w:t>Atopic individuals &amp; families with recurrent tonsillitis</w:t>
            </w:r>
          </w:p>
        </w:tc>
        <w:tc>
          <w:tcPr>
            <w:tcW w:type="dxa" w:w="4276"/>
            <w:vAlign w:val="top"/>
          </w:tcPr>
          <w:p>
            <w:pPr>
              <w:spacing w:after="60" w:line="259" w:lineRule="auto"/>
            </w:pPr>
            <w:r>
              <w:rPr>
                <w:rFonts w:ascii="Calibri" w:hAnsi="Calibri"/>
                <w:b w:val="0"/>
                <w:i w:val="0"/>
                <w:color w:val="212121"/>
                <w:sz w:val="19"/>
              </w:rPr>
              <w:t>An atopic/allergic constitution predisposes to allergic and post-nasal-drip pharyngitis, while familial clustering of recurrent tonsillopharyngitis (and syndromes such as PFAPA) reflects inherited immune and anatomical susceptibility.</w:t>
            </w:r>
          </w:p>
          <w:p>
            <w:pPr>
              <w:spacing w:after="40" w:before="60" w:line="259" w:lineRule="auto"/>
            </w:pPr>
            <w:r>
              <w:rPr>
                <w:rFonts w:ascii="Calibri" w:hAnsi="Calibri"/>
                <w:b w:val="0"/>
                <w:i w:val="0"/>
                <w:color w:val="212121"/>
                <w:sz w:val="19"/>
              </w:rPr>
              <w:t>Allergy and an atopic constitution are recognised contributors to chronic and recurrent pharyngitis.</w:t>
            </w:r>
          </w:p>
          <w:p>
            <w:pPr>
              <w:spacing w:before="60" w:after="40"/>
            </w:pPr>
            <w:r>
              <w:rPr>
                <w:rFonts w:ascii="Calibri" w:hAnsi="Calibri"/>
                <w:b w:val="0"/>
                <w:i w:val="0"/>
                <w:color w:val="5A5A5A"/>
                <w:sz w:val="18"/>
              </w:rPr>
              <w:t>#atopy  #allergy  #recurrenttonsillitis  #PFAPA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 / post-nasal drip</w:t>
            </w:r>
          </w:p>
        </w:tc>
        <w:tc>
          <w:tcPr>
            <w:tcW w:type="dxa" w:w="2160"/>
            <w:vAlign w:val="top"/>
          </w:tcPr>
          <w:p>
            <w:pPr>
              <w:spacing w:after="40" w:before="0" w:line="259" w:lineRule="auto"/>
            </w:pPr>
            <w:r>
              <w:rPr>
                <w:rFonts w:ascii="Calibri" w:hAnsi="Calibri"/>
                <w:b w:val="0"/>
                <w:i w:val="0"/>
                <w:color w:val="212121"/>
                <w:sz w:val="19"/>
              </w:rPr>
              <w:t>Patients with allergic rhinitis / sinusitis</w:t>
            </w:r>
          </w:p>
        </w:tc>
        <w:tc>
          <w:tcPr>
            <w:tcW w:type="dxa" w:w="4276"/>
            <w:vAlign w:val="top"/>
          </w:tcPr>
          <w:p>
            <w:pPr>
              <w:spacing w:after="60" w:line="259" w:lineRule="auto"/>
            </w:pPr>
            <w:r>
              <w:rPr>
                <w:rFonts w:ascii="Calibri" w:hAnsi="Calibri"/>
                <w:b w:val="0"/>
                <w:i w:val="0"/>
                <w:color w:val="212121"/>
                <w:sz w:val="19"/>
              </w:rPr>
              <w:t>Allergic inflammation and post-nasal drip of mucus onto the pharyngeal wall cause chronic throat irritation, cough and throat-clearing that overlap with and predispose to infective pharyngitis.</w:t>
            </w:r>
          </w:p>
          <w:p>
            <w:pPr>
              <w:spacing w:after="40" w:before="60" w:line="259" w:lineRule="auto"/>
            </w:pPr>
            <w:r>
              <w:rPr>
                <w:rFonts w:ascii="Calibri" w:hAnsi="Calibri"/>
                <w:b w:val="0"/>
                <w:i w:val="0"/>
                <w:color w:val="212121"/>
                <w:sz w:val="19"/>
              </w:rPr>
              <w:t>Allergies and post-nasal drip are among the commonest causes of chronic, non-infective sore throat.</w:t>
            </w:r>
          </w:p>
          <w:p>
            <w:pPr>
              <w:spacing w:before="60" w:after="40"/>
            </w:pPr>
            <w:r>
              <w:rPr>
                <w:rFonts w:ascii="Calibri" w:hAnsi="Calibri"/>
                <w:b w:val="0"/>
                <w:i w:val="0"/>
                <w:color w:val="5A5A5A"/>
                <w:sz w:val="18"/>
              </w:rPr>
              <w:t>#allergicrhinitis  #postnasaldrip  #sinusitis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laryngopharyngeal reflux</w:t>
            </w:r>
          </w:p>
        </w:tc>
        <w:tc>
          <w:tcPr>
            <w:tcW w:type="dxa" w:w="2160"/>
            <w:vAlign w:val="top"/>
          </w:tcPr>
          <w:p>
            <w:pPr>
              <w:spacing w:after="40" w:before="0" w:line="259" w:lineRule="auto"/>
            </w:pPr>
            <w:r>
              <w:rPr>
                <w:rFonts w:ascii="Calibri" w:hAnsi="Calibri"/>
                <w:b w:val="0"/>
                <w:i w:val="0"/>
                <w:color w:val="212121"/>
                <w:sz w:val="19"/>
              </w:rPr>
              <w:t>Patients with acid reflux / LPR</w:t>
            </w:r>
          </w:p>
        </w:tc>
        <w:tc>
          <w:tcPr>
            <w:tcW w:type="dxa" w:w="4276"/>
            <w:vAlign w:val="top"/>
          </w:tcPr>
          <w:p>
            <w:pPr>
              <w:spacing w:after="60" w:line="259" w:lineRule="auto"/>
            </w:pPr>
            <w:r>
              <w:rPr>
                <w:rFonts w:ascii="Calibri" w:hAnsi="Calibri"/>
                <w:b w:val="0"/>
                <w:i w:val="0"/>
                <w:color w:val="212121"/>
                <w:sz w:val="19"/>
              </w:rPr>
              <w:t>Retrograde acid and pepsin injure the posterior pharynx and larynx, producing persistent sore throat, globus, hoarseness and throat-clearing that are frequently misdiagnosed and treated as recurrent infection.</w:t>
            </w:r>
          </w:p>
          <w:p>
            <w:pPr>
              <w:spacing w:after="40" w:before="60" w:line="259" w:lineRule="auto"/>
            </w:pPr>
            <w:r>
              <w:rPr>
                <w:rFonts w:ascii="Calibri" w:hAnsi="Calibri"/>
                <w:b w:val="0"/>
                <w:i w:val="0"/>
                <w:color w:val="212121"/>
                <w:sz w:val="19"/>
              </w:rPr>
              <w:t>GERD is a well-recognised cause of chronic pharyngitis and persistent throat symptoms.</w:t>
            </w:r>
          </w:p>
          <w:p>
            <w:pPr>
              <w:spacing w:after="40" w:line="252" w:lineRule="auto"/>
            </w:pPr>
            <w:hyperlink r:id="rId11">
              <w:r>
                <w:rPr>
                  <w:rFonts w:ascii="Calibri" w:hAnsi="Calibri" w:cs="Calibri"/>
                  <w:sz w:val="18"/>
                  <w:color w:val="1155CC"/>
                  <w:u w:val="single"/>
                </w:rPr>
                <w:t xml:space="preserve">apollohospitals.com — chronic pharyngitis</w:t>
              </w:r>
            </w:hyperlink>
          </w:p>
          <w:p>
            <w:pPr>
              <w:spacing w:before="60" w:after="40"/>
            </w:pPr>
            <w:r>
              <w:rPr>
                <w:rFonts w:ascii="Calibri" w:hAnsi="Calibri"/>
                <w:b w:val="0"/>
                <w:i w:val="0"/>
                <w:color w:val="5A5A5A"/>
                <w:sz w:val="18"/>
              </w:rPr>
              <w:t>#GERD  #LPR  #globus  #chronicsorethroat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Tonsillar / adenoid hypertrophy</w:t>
            </w:r>
          </w:p>
        </w:tc>
        <w:tc>
          <w:tcPr>
            <w:tcW w:type="dxa" w:w="2160"/>
            <w:vAlign w:val="top"/>
          </w:tcPr>
          <w:p>
            <w:pPr>
              <w:spacing w:after="40" w:before="0" w:line="259" w:lineRule="auto"/>
            </w:pPr>
            <w:r>
              <w:rPr>
                <w:rFonts w:ascii="Calibri" w:hAnsi="Calibri"/>
                <w:b w:val="0"/>
                <w:i w:val="0"/>
                <w:color w:val="212121"/>
                <w:sz w:val="19"/>
              </w:rPr>
              <w:t>Children with enlarged tonsils/adenoids</w:t>
            </w:r>
          </w:p>
        </w:tc>
        <w:tc>
          <w:tcPr>
            <w:tcW w:type="dxa" w:w="4276"/>
            <w:vAlign w:val="top"/>
          </w:tcPr>
          <w:p>
            <w:pPr>
              <w:spacing w:after="60" w:line="259" w:lineRule="auto"/>
            </w:pPr>
            <w:r>
              <w:rPr>
                <w:rFonts w:ascii="Calibri" w:hAnsi="Calibri"/>
                <w:b w:val="0"/>
                <w:i w:val="0"/>
                <w:color w:val="212121"/>
                <w:sz w:val="19"/>
              </w:rPr>
              <w:t>Hypertrophied tonsils and adenoids trap organisms, promote mouth-breathing and predispose to recurrent tonsillopharyngitis, obstructive symptoms and middle-ear effusions in children.</w:t>
            </w:r>
          </w:p>
          <w:p>
            <w:pPr>
              <w:spacing w:after="40" w:before="60" w:line="259" w:lineRule="auto"/>
            </w:pPr>
            <w:r>
              <w:rPr>
                <w:rFonts w:ascii="Calibri" w:hAnsi="Calibri"/>
                <w:b w:val="0"/>
                <w:i w:val="0"/>
                <w:color w:val="212121"/>
                <w:sz w:val="19"/>
              </w:rPr>
              <w:t>Adenotonsillar hypertrophy predisposes to recurrent tonsillopharyngitis and mouth-breathing in children.</w:t>
            </w:r>
          </w:p>
          <w:p>
            <w:pPr>
              <w:spacing w:before="60" w:after="40"/>
            </w:pPr>
            <w:r>
              <w:rPr>
                <w:rFonts w:ascii="Calibri" w:hAnsi="Calibri"/>
                <w:b w:val="0"/>
                <w:i w:val="0"/>
                <w:color w:val="5A5A5A"/>
                <w:sz w:val="18"/>
              </w:rPr>
              <w:t>#tonsillarhypertrophy  #adenoids  #mouthbreathing  #recurrent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Immunocompromise / diabetes</w:t>
            </w:r>
          </w:p>
        </w:tc>
        <w:tc>
          <w:tcPr>
            <w:tcW w:type="dxa" w:w="2160"/>
            <w:vAlign w:val="top"/>
          </w:tcPr>
          <w:p>
            <w:pPr>
              <w:spacing w:after="40" w:before="0" w:line="259" w:lineRule="auto"/>
            </w:pPr>
            <w:r>
              <w:rPr>
                <w:rFonts w:ascii="Calibri" w:hAnsi="Calibri"/>
                <w:b w:val="0"/>
                <w:i w:val="0"/>
                <w:color w:val="212121"/>
                <w:sz w:val="19"/>
              </w:rPr>
              <w:t>Diabetic &amp; immunocompromised patients</w:t>
            </w:r>
          </w:p>
        </w:tc>
        <w:tc>
          <w:tcPr>
            <w:tcW w:type="dxa" w:w="4276"/>
            <w:vAlign w:val="top"/>
          </w:tcPr>
          <w:p>
            <w:pPr>
              <w:spacing w:after="60" w:line="259" w:lineRule="auto"/>
            </w:pPr>
            <w:r>
              <w:rPr>
                <w:rFonts w:ascii="Calibri" w:hAnsi="Calibri"/>
                <w:b w:val="0"/>
                <w:i w:val="0"/>
                <w:color w:val="212121"/>
                <w:sz w:val="19"/>
              </w:rPr>
              <w:t>Impaired immunity from uncontrolled diabetes, HIV, chemotherapy or immunosuppression leads to more frequent, prolonged and complicated pharyngitis, and to opportunistic causes such as oropharyngeal candidiasis.</w:t>
            </w:r>
          </w:p>
          <w:p>
            <w:pPr>
              <w:spacing w:after="40" w:before="60" w:line="259" w:lineRule="auto"/>
            </w:pPr>
            <w:r>
              <w:rPr>
                <w:rFonts w:ascii="Calibri" w:hAnsi="Calibri"/>
                <w:b w:val="0"/>
                <w:i w:val="0"/>
                <w:color w:val="212121"/>
                <w:sz w:val="19"/>
              </w:rPr>
              <w:t>Weakened immunity increases the frequency, severity and complication risk of pharyngeal infection and adds opportunistic causes.</w:t>
            </w:r>
          </w:p>
          <w:p>
            <w:pPr>
              <w:spacing w:before="60" w:after="40"/>
            </w:pPr>
            <w:r>
              <w:rPr>
                <w:rFonts w:ascii="Calibri" w:hAnsi="Calibri"/>
                <w:b w:val="0"/>
                <w:i w:val="0"/>
                <w:color w:val="5A5A5A"/>
                <w:sz w:val="18"/>
              </w:rPr>
              <w:t>#diabetes  #immunocompromised  #candidiasis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rheumatic fever / RHD</w:t>
            </w:r>
          </w:p>
        </w:tc>
        <w:tc>
          <w:tcPr>
            <w:tcW w:type="dxa" w:w="2160"/>
            <w:vAlign w:val="top"/>
          </w:tcPr>
          <w:p>
            <w:pPr>
              <w:spacing w:after="40" w:before="0" w:line="259" w:lineRule="auto"/>
            </w:pPr>
            <w:r>
              <w:rPr>
                <w:rFonts w:ascii="Calibri" w:hAnsi="Calibri"/>
                <w:b w:val="0"/>
                <w:i w:val="0"/>
                <w:color w:val="212121"/>
                <w:sz w:val="19"/>
              </w:rPr>
              <w:t>Patients with previous ARF or rheumatic heart disease</w:t>
            </w:r>
          </w:p>
        </w:tc>
        <w:tc>
          <w:tcPr>
            <w:tcW w:type="dxa" w:w="4276"/>
            <w:vAlign w:val="top"/>
          </w:tcPr>
          <w:p>
            <w:pPr>
              <w:spacing w:after="60" w:line="259" w:lineRule="auto"/>
            </w:pPr>
            <w:r>
              <w:rPr>
                <w:rFonts w:ascii="Calibri" w:hAnsi="Calibri"/>
                <w:b w:val="0"/>
                <w:i w:val="0"/>
                <w:color w:val="212121"/>
                <w:sz w:val="19"/>
              </w:rPr>
              <w:t>A prior attack of rheumatic fever primes the immune system so that each new GAS pharyngitis can trigger recurrence and progressive valve damage — the rationale for long-term secondary penicillin prophylaxis.</w:t>
            </w:r>
          </w:p>
          <w:p>
            <w:pPr>
              <w:spacing w:after="40" w:before="60" w:line="259" w:lineRule="auto"/>
            </w:pPr>
            <w:r>
              <w:rPr>
                <w:rFonts w:ascii="Calibri" w:hAnsi="Calibri"/>
                <w:b w:val="0"/>
                <w:i w:val="0"/>
                <w:color w:val="212121"/>
                <w:sz w:val="19"/>
              </w:rPr>
              <w:t>India carries an estimated 3.6 million-plus RHD patients; echocardiographic screening detects subclinical RHD in roughly 20 per 1,000 school children in high-burden districts.</w:t>
            </w:r>
          </w:p>
          <w:p>
            <w:pPr>
              <w:spacing w:after="40" w:line="252" w:lineRule="auto"/>
            </w:pPr>
            <w:hyperlink r:id="rId15">
              <w:r>
                <w:rPr>
                  <w:rFonts w:ascii="Calibri" w:hAnsi="Calibri" w:cs="Calibri"/>
                  <w:sz w:val="18"/>
                  <w:color w:val="1155CC"/>
                  <w:u w:val="single"/>
                </w:rPr>
                <w:t xml:space="preserve">scienceopen.com — current status of rheumatic heart disease in India</w:t>
              </w:r>
            </w:hyperlink>
          </w:p>
          <w:p>
            <w:pPr>
              <w:spacing w:before="60" w:after="40"/>
            </w:pPr>
            <w:r>
              <w:rPr>
                <w:rFonts w:ascii="Calibri" w:hAnsi="Calibri"/>
                <w:b w:val="0"/>
                <w:i w:val="0"/>
                <w:color w:val="5A5A5A"/>
                <w:sz w:val="18"/>
              </w:rPr>
              <w:t>#rheumaticfever  #RHD  #secondaryprophylaxis  #valvedisease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cause of pharyngitis, but regular moderate exercise supports immune defence and lowers upper-respiratory-infection frequency, whereas prolonged exhausting exertion transiently raises susceptibility.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Micronutrient- and protein-deficient diets weaken mucosal defence and increase infective pharyngitis, while spicy, acidic, fried foods and large late meals promote reflux that drives chronic sore throat.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and poor-quality sleep dysregulate immunity and increase susceptibility to the respiratory viruses that cause most sore throats.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tobacco/bidi smoke is a major pharyngeal irritant that inflames the mucosa, impairs mucociliary clearance and is a leading cause of chronic pharyngitis and recurrent throat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dries and irritates the pharyngeal lining, promotes acid reflux and blunts immune defence, contributing to chronic pharyngitis and slower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Sustained psychological stress modestly lowers antiviral immunity and heightens throat symptom perception (globus), though it is not a primary cause of pharyngitis.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keeps the pharyngeal mucosa moist and eases soreness and throat-clearing; dehydration and mouth-breathing dry the throat and worsen irritation.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drying and reflux-promoting effect that can aggravate chronic throat irritation, but little direct role in infective pharyngitis.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and respiratory etiquette reduce droplet transmission of streptococci and respiratory viruses; good oral hygiene limits bacterial load, while sharing utensils and crowding increase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Close contact with infected people, crowding and poor ventilation, cold or dry air, tobacco smoke, air pollution, allergens, vocal overuse and acid reflux are direct provokers of pharyngeal inflammation, with an infective incubation of about 2–5 days.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Reclining or bending soon after meals and eating late at night promote laryngopharyngeal reflux, a recognised contributor to chronic sore throat; posture is otherwise not relevant to acute pharyngitis.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&amp; respiratory etiquette</w:t>
            </w:r>
          </w:p>
        </w:tc>
        <w:tc>
          <w:tcPr>
            <w:tcW w:type="dxa" w:w="1655"/>
            <w:vAlign w:val="top"/>
          </w:tcPr>
          <w:p>
            <w:pPr>
              <w:spacing w:after="40" w:before="0" w:line="259" w:lineRule="auto"/>
            </w:pPr>
            <w:r>
              <w:rPr>
                <w:rFonts w:ascii="Calibri" w:hAnsi="Calibri"/>
                <w:b w:val="0"/>
                <w:i w:val="0"/>
                <w:color w:val="212121"/>
                <w:sz w:val="19"/>
              </w:rPr>
              <w:t>All ages, households, schools</w:t>
            </w:r>
          </w:p>
        </w:tc>
        <w:tc>
          <w:tcPr>
            <w:tcW w:type="dxa" w:w="1512"/>
            <w:vAlign w:val="top"/>
          </w:tcPr>
          <w:p>
            <w:pPr>
              <w:spacing w:after="40" w:before="0" w:line="259" w:lineRule="auto"/>
            </w:pPr>
            <w:r>
              <w:rPr>
                <w:rFonts w:ascii="Calibri" w:hAnsi="Calibri"/>
                <w:b w:val="0"/>
                <w:i w:val="0"/>
                <w:color w:val="212121"/>
                <w:sz w:val="19"/>
              </w:rPr>
              <w:t>Wash hands with soap at key moments; cover coughs/sneezes; avoid sharing utensils/cups</w:t>
            </w:r>
          </w:p>
        </w:tc>
        <w:tc>
          <w:tcPr>
            <w:tcW w:type="dxa" w:w="1512"/>
            <w:vAlign w:val="top"/>
          </w:tcPr>
          <w:p>
            <w:pPr>
              <w:spacing w:after="40" w:before="0" w:line="259" w:lineRule="auto"/>
            </w:pPr>
            <w:r>
              <w:rPr>
                <w:rFonts w:ascii="Calibri" w:hAnsi="Calibri"/>
                <w:b w:val="0"/>
                <w:i w:val="0"/>
                <w:color w:val="212121"/>
                <w:sz w:val="19"/>
              </w:rPr>
              <w:t>Infrequent hand-washing; close contact with a sore-throat case in a crowded home</w:t>
            </w:r>
          </w:p>
        </w:tc>
        <w:tc>
          <w:tcPr>
            <w:tcW w:type="dxa" w:w="1468"/>
            <w:vAlign w:val="top"/>
          </w:tcPr>
          <w:p>
            <w:pPr>
              <w:spacing w:after="60" w:line="259" w:lineRule="auto"/>
            </w:pPr>
            <w:r>
              <w:rPr>
                <w:rFonts w:ascii="Calibri" w:hAnsi="Calibri"/>
                <w:b w:val="0"/>
                <w:i w:val="0"/>
                <w:color w:val="212121"/>
                <w:sz w:val="19"/>
              </w:rPr>
              <w:t>Close contact with an infected person is the main risk factor; GAS incubates in ~2–5 days</w:t>
            </w:r>
          </w:p>
          <w:p>
            <w:pPr>
              <w:spacing w:after="40" w:line="252" w:lineRule="auto"/>
            </w:pPr>
            <w:hyperlink r:id="rId9">
              <w:r>
                <w:rPr>
                  <w:rFonts w:ascii="Calibri" w:hAnsi="Calibri" w:cs="Calibri"/>
                  <w:sz w:val="18"/>
                  <w:color w:val="1155CC"/>
                  <w:u w:val="single"/>
                </w:rPr>
                <w:t xml:space="preserve">https://www.cdc.gov/group-a-strep/hcp/clinical-guidance/strep-throat.html</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 second-hand exposure</w:t>
            </w:r>
          </w:p>
        </w:tc>
        <w:tc>
          <w:tcPr>
            <w:tcW w:type="dxa" w:w="1655"/>
            <w:vAlign w:val="top"/>
          </w:tcPr>
          <w:p>
            <w:pPr>
              <w:spacing w:after="40" w:before="0" w:line="259" w:lineRule="auto"/>
            </w:pPr>
            <w:r>
              <w:rPr>
                <w:rFonts w:ascii="Calibri" w:hAnsi="Calibri"/>
                <w:b w:val="0"/>
                <w:i w:val="0"/>
                <w:color w:val="212121"/>
                <w:sz w:val="19"/>
              </w:rPr>
              <w:t>Smokers, household contacts, children</w:t>
            </w:r>
          </w:p>
        </w:tc>
        <w:tc>
          <w:tcPr>
            <w:tcW w:type="dxa" w:w="1512"/>
            <w:vAlign w:val="top"/>
          </w:tcPr>
          <w:p>
            <w:pPr>
              <w:spacing w:after="40" w:before="0" w:line="259" w:lineRule="auto"/>
            </w:pPr>
            <w:r>
              <w:rPr>
                <w:rFonts w:ascii="Calibri" w:hAnsi="Calibri"/>
                <w:b w:val="0"/>
                <w:i w:val="0"/>
                <w:color w:val="212121"/>
                <w:sz w:val="19"/>
              </w:rPr>
              <w:t>0 (no active or second-hand smoke exposure)</w:t>
            </w:r>
          </w:p>
        </w:tc>
        <w:tc>
          <w:tcPr>
            <w:tcW w:type="dxa" w:w="1512"/>
            <w:vAlign w:val="top"/>
          </w:tcPr>
          <w:p>
            <w:pPr>
              <w:spacing w:after="40" w:before="0" w:line="259" w:lineRule="auto"/>
            </w:pPr>
            <w:r>
              <w:rPr>
                <w:rFonts w:ascii="Calibri" w:hAnsi="Calibri"/>
                <w:b w:val="0"/>
                <w:i w:val="0"/>
                <w:color w:val="212121"/>
                <w:sz w:val="19"/>
              </w:rPr>
              <w:t>Any active smoking or household smoke exposure</w:t>
            </w:r>
          </w:p>
        </w:tc>
        <w:tc>
          <w:tcPr>
            <w:tcW w:type="dxa" w:w="1468"/>
            <w:vAlign w:val="top"/>
          </w:tcPr>
          <w:p>
            <w:pPr>
              <w:spacing w:after="60" w:line="259" w:lineRule="auto"/>
            </w:pPr>
            <w:r>
              <w:rPr>
                <w:rFonts w:ascii="Calibri" w:hAnsi="Calibri"/>
                <w:b w:val="0"/>
                <w:i w:val="0"/>
                <w:color w:val="212121"/>
                <w:sz w:val="19"/>
              </w:rPr>
              <w:t>Smoking is a major irritant causing chronic throat inflammation</w:t>
            </w:r>
          </w:p>
          <w:p>
            <w:pPr>
              <w:spacing w:after="40" w:line="252" w:lineRule="auto"/>
            </w:pPr>
            <w:hyperlink r:id="rId11">
              <w:r>
                <w:rPr>
                  <w:rFonts w:ascii="Calibri" w:hAnsi="Calibri" w:cs="Calibri"/>
                  <w:sz w:val="18"/>
                  <w:color w:val="1155CC"/>
                  <w:u w:val="single"/>
                </w:rPr>
                <w:t xml:space="preserve">https://www.apollohospitals.com/diseases-and-conditions/chronic-pharyngitis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 avoid during an acute episode</w:t>
            </w:r>
          </w:p>
        </w:tc>
        <w:tc>
          <w:tcPr>
            <w:tcW w:type="dxa" w:w="1512"/>
            <w:vAlign w:val="top"/>
          </w:tcPr>
          <w:p>
            <w:pPr>
              <w:spacing w:after="40" w:before="0" w:line="259" w:lineRule="auto"/>
            </w:pPr>
            <w:r>
              <w:rPr>
                <w:rFonts w:ascii="Calibri" w:hAnsi="Calibri"/>
                <w:b w:val="0"/>
                <w:i w:val="0"/>
                <w:color w:val="212121"/>
                <w:sz w:val="19"/>
              </w:rPr>
              <w:t>Heavy/regular drinking</w:t>
            </w:r>
          </w:p>
        </w:tc>
        <w:tc>
          <w:tcPr>
            <w:tcW w:type="dxa" w:w="1468"/>
            <w:vAlign w:val="top"/>
          </w:tcPr>
          <w:p>
            <w:pPr>
              <w:spacing w:after="40" w:before="0" w:line="259" w:lineRule="auto"/>
            </w:pPr>
            <w:r>
              <w:rPr>
                <w:rFonts w:ascii="Calibri" w:hAnsi="Calibri"/>
                <w:b w:val="0"/>
                <w:i w:val="0"/>
                <w:color w:val="212121"/>
                <w:sz w:val="19"/>
              </w:rPr>
              <w:t>Alcohol irritates the mucosa and promotes reflux, aggravating chronic pharyngitis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(reflux risk)</w:t>
            </w:r>
          </w:p>
        </w:tc>
        <w:tc>
          <w:tcPr>
            <w:tcW w:type="dxa" w:w="1655"/>
            <w:vAlign w:val="top"/>
          </w:tcPr>
          <w:p>
            <w:pPr>
              <w:spacing w:after="40" w:before="0" w:line="259" w:lineRule="auto"/>
            </w:pPr>
            <w:r>
              <w:rPr>
                <w:rFonts w:ascii="Calibri" w:hAnsi="Calibri"/>
                <w:b w:val="0"/>
                <w:i w:val="0"/>
                <w:color w:val="212121"/>
                <w:sz w:val="19"/>
              </w:rPr>
              <w:t>Adults with throat symptoms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(overweight/obesity increases GERD/LPR)</w:t>
            </w:r>
          </w:p>
        </w:tc>
        <w:tc>
          <w:tcPr>
            <w:tcW w:type="dxa" w:w="1468"/>
            <w:vAlign w:val="top"/>
          </w:tcPr>
          <w:p>
            <w:pPr>
              <w:spacing w:after="40" w:before="0" w:line="259" w:lineRule="auto"/>
            </w:pPr>
            <w:r>
              <w:rPr>
                <w:rFonts w:ascii="Calibri" w:hAnsi="Calibri"/>
                <w:b w:val="0"/>
                <w:i w:val="0"/>
                <w:color w:val="212121"/>
                <w:sz w:val="19"/>
              </w:rPr>
              <w:t>Higher BMI raises reflux, a key driver of chronic non-infective sore throat</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7–9 h/night, good quality</w:t>
            </w:r>
          </w:p>
        </w:tc>
        <w:tc>
          <w:tcPr>
            <w:tcW w:type="dxa" w:w="1512"/>
            <w:vAlign w:val="top"/>
          </w:tcPr>
          <w:p>
            <w:pPr>
              <w:spacing w:after="40" w:before="0" w:line="259" w:lineRule="auto"/>
            </w:pPr>
            <w:r>
              <w:rPr>
                <w:rFonts w:ascii="Calibri" w:hAnsi="Calibri"/>
                <w:b w:val="0"/>
                <w:i w:val="0"/>
                <w:color w:val="212121"/>
                <w:sz w:val="19"/>
              </w:rPr>
              <w:t>&lt; 6–7 h or fragmented sleep</w:t>
            </w:r>
          </w:p>
        </w:tc>
        <w:tc>
          <w:tcPr>
            <w:tcW w:type="dxa" w:w="1468"/>
            <w:vAlign w:val="top"/>
          </w:tcPr>
          <w:p>
            <w:pPr>
              <w:spacing w:after="40" w:before="0" w:line="259" w:lineRule="auto"/>
            </w:pPr>
            <w:r>
              <w:rPr>
                <w:rFonts w:ascii="Calibri" w:hAnsi="Calibri"/>
                <w:b w:val="0"/>
                <w:i w:val="0"/>
                <w:color w:val="212121"/>
                <w:sz w:val="19"/>
              </w:rPr>
              <w:t>Short sleep increases susceptibility to viral upper-respiratory infection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All, especially febrile patients &amp; voice users</w:t>
            </w:r>
          </w:p>
        </w:tc>
        <w:tc>
          <w:tcPr>
            <w:tcW w:type="dxa" w:w="1512"/>
            <w:vAlign w:val="top"/>
          </w:tcPr>
          <w:p>
            <w:pPr>
              <w:spacing w:after="40" w:before="0" w:line="259" w:lineRule="auto"/>
            </w:pPr>
            <w:r>
              <w:rPr>
                <w:rFonts w:ascii="Calibri" w:hAnsi="Calibri"/>
                <w:b w:val="0"/>
                <w:i w:val="0"/>
                <w:color w:val="212121"/>
                <w:sz w:val="19"/>
              </w:rPr>
              <w:t>~2–3 L/day (adjust for age/fever/climate)</w:t>
            </w:r>
          </w:p>
        </w:tc>
        <w:tc>
          <w:tcPr>
            <w:tcW w:type="dxa" w:w="1512"/>
            <w:vAlign w:val="top"/>
          </w:tcPr>
          <w:p>
            <w:pPr>
              <w:spacing w:after="40" w:before="0" w:line="259" w:lineRule="auto"/>
            </w:pPr>
            <w:r>
              <w:rPr>
                <w:rFonts w:ascii="Calibri" w:hAnsi="Calibri"/>
                <w:b w:val="0"/>
                <w:i w:val="0"/>
                <w:color w:val="212121"/>
                <w:sz w:val="19"/>
              </w:rPr>
              <w:t>Inadequate intake; mouth-breathing; dry throat</w:t>
            </w:r>
          </w:p>
        </w:tc>
        <w:tc>
          <w:tcPr>
            <w:tcW w:type="dxa" w:w="1468"/>
            <w:vAlign w:val="top"/>
          </w:tcPr>
          <w:p>
            <w:pPr>
              <w:spacing w:after="40" w:before="0" w:line="259" w:lineRule="auto"/>
            </w:pPr>
            <w:r>
              <w:rPr>
                <w:rFonts w:ascii="Calibri" w:hAnsi="Calibri"/>
                <w:b w:val="0"/>
                <w:i w:val="0"/>
                <w:color w:val="212121"/>
                <w:sz w:val="19"/>
              </w:rPr>
              <w:t>Adequate hydration keeps pharyngeal mucosa moist and eases soreness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Ambient / indoor air quality (PM2.5)</w:t>
            </w:r>
          </w:p>
        </w:tc>
        <w:tc>
          <w:tcPr>
            <w:tcW w:type="dxa" w:w="1655"/>
            <w:vAlign w:val="top"/>
          </w:tcPr>
          <w:p>
            <w:pPr>
              <w:spacing w:after="40" w:before="0" w:line="259" w:lineRule="auto"/>
            </w:pPr>
            <w:r>
              <w:rPr>
                <w:rFonts w:ascii="Calibri" w:hAnsi="Calibri"/>
                <w:b w:val="0"/>
                <w:i w:val="0"/>
                <w:color w:val="212121"/>
                <w:sz w:val="19"/>
              </w:rPr>
              <w:t>Urban residents, biomass-fuel homes</w:t>
            </w:r>
          </w:p>
        </w:tc>
        <w:tc>
          <w:tcPr>
            <w:tcW w:type="dxa" w:w="1512"/>
            <w:vAlign w:val="top"/>
          </w:tcPr>
          <w:p>
            <w:pPr>
              <w:spacing w:after="40" w:before="0" w:line="259" w:lineRule="auto"/>
            </w:pPr>
            <w:r>
              <w:rPr>
                <w:rFonts w:ascii="Calibri" w:hAnsi="Calibri"/>
                <w:b w:val="0"/>
                <w:i w:val="0"/>
                <w:color w:val="212121"/>
                <w:sz w:val="19"/>
              </w:rPr>
              <w:t>WHO 24-h PM2.5 ≤ 15 µg/m³</w:t>
            </w:r>
          </w:p>
        </w:tc>
        <w:tc>
          <w:tcPr>
            <w:tcW w:type="dxa" w:w="1512"/>
            <w:vAlign w:val="top"/>
          </w:tcPr>
          <w:p>
            <w:pPr>
              <w:spacing w:after="40" w:before="0" w:line="259" w:lineRule="auto"/>
            </w:pPr>
            <w:r>
              <w:rPr>
                <w:rFonts w:ascii="Calibri" w:hAnsi="Calibri"/>
                <w:b w:val="0"/>
                <w:i w:val="0"/>
                <w:color w:val="212121"/>
                <w:sz w:val="19"/>
              </w:rPr>
              <w:t>High ambient PM2.5 or indoor biomass/tobacco smoke</w:t>
            </w:r>
          </w:p>
        </w:tc>
        <w:tc>
          <w:tcPr>
            <w:tcW w:type="dxa" w:w="1468"/>
            <w:vAlign w:val="top"/>
          </w:tcPr>
          <w:p>
            <w:pPr>
              <w:spacing w:after="60" w:line="259" w:lineRule="auto"/>
            </w:pPr>
            <w:r>
              <w:rPr>
                <w:rFonts w:ascii="Calibri" w:hAnsi="Calibri"/>
                <w:b w:val="0"/>
                <w:i w:val="0"/>
                <w:color w:val="212121"/>
                <w:sz w:val="19"/>
              </w:rPr>
              <w:t>High-pollution environments are a recognised risk factor for chronic pharyngitis</w:t>
            </w:r>
          </w:p>
          <w:p>
            <w:pPr>
              <w:spacing w:after="40" w:line="252" w:lineRule="auto"/>
            </w:pPr>
            <w:hyperlink r:id="rId11">
              <w:r>
                <w:rPr>
                  <w:rFonts w:ascii="Calibri" w:hAnsi="Calibri" w:cs="Calibri"/>
                  <w:sz w:val="18"/>
                  <w:color w:val="1155CC"/>
                  <w:u w:val="single"/>
                </w:rPr>
                <w:t xml:space="preserve">https://www.apollohospitals.com/diseases-and-conditions/chronic-pharyngitis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Appropriate antibiotic use (Centor/McIsaac-guided)</w:t>
            </w:r>
          </w:p>
        </w:tc>
        <w:tc>
          <w:tcPr>
            <w:tcW w:type="dxa" w:w="1655"/>
            <w:vAlign w:val="top"/>
          </w:tcPr>
          <w:p>
            <w:pPr>
              <w:spacing w:after="40" w:before="0" w:line="259" w:lineRule="auto"/>
            </w:pPr>
            <w:r>
              <w:rPr>
                <w:rFonts w:ascii="Calibri" w:hAnsi="Calibri"/>
                <w:b w:val="0"/>
                <w:i w:val="0"/>
                <w:color w:val="212121"/>
                <w:sz w:val="19"/>
              </w:rPr>
              <w:t>All sore-throat patients</w:t>
            </w:r>
          </w:p>
        </w:tc>
        <w:tc>
          <w:tcPr>
            <w:tcW w:type="dxa" w:w="1512"/>
            <w:vAlign w:val="top"/>
          </w:tcPr>
          <w:p>
            <w:pPr>
              <w:spacing w:after="40" w:before="0" w:line="259" w:lineRule="auto"/>
            </w:pPr>
            <w:r>
              <w:rPr>
                <w:rFonts w:ascii="Calibri" w:hAnsi="Calibri"/>
                <w:b w:val="0"/>
                <w:i w:val="0"/>
                <w:color w:val="212121"/>
                <w:sz w:val="19"/>
              </w:rPr>
              <w:t>Score/test before prescribing; antibiotics only for confirmed or high-probability GAS</w:t>
            </w:r>
          </w:p>
        </w:tc>
        <w:tc>
          <w:tcPr>
            <w:tcW w:type="dxa" w:w="1512"/>
            <w:vAlign w:val="top"/>
          </w:tcPr>
          <w:p>
            <w:pPr>
              <w:spacing w:after="40" w:before="0" w:line="259" w:lineRule="auto"/>
            </w:pPr>
            <w:r>
              <w:rPr>
                <w:rFonts w:ascii="Calibri" w:hAnsi="Calibri"/>
                <w:b w:val="0"/>
                <w:i w:val="0"/>
                <w:color w:val="212121"/>
                <w:sz w:val="19"/>
              </w:rPr>
              <w:t>Empirical antibiotics for every sore throat</w:t>
            </w:r>
          </w:p>
        </w:tc>
        <w:tc>
          <w:tcPr>
            <w:tcW w:type="dxa" w:w="1468"/>
            <w:vAlign w:val="top"/>
          </w:tcPr>
          <w:p>
            <w:pPr>
              <w:spacing w:after="60" w:line="259" w:lineRule="auto"/>
            </w:pPr>
            <w:r>
              <w:rPr>
                <w:rFonts w:ascii="Calibri" w:hAnsi="Calibri"/>
                <w:b w:val="0"/>
                <w:i w:val="0"/>
                <w:color w:val="212121"/>
                <w:sz w:val="19"/>
              </w:rPr>
              <w:t>An Indian teaching-hospital study found 100% of sore-throat patients were given antibiotics despite mostly viral features</w:t>
            </w:r>
          </w:p>
          <w:p>
            <w:pPr>
              <w:spacing w:after="40" w:line="252" w:lineRule="auto"/>
            </w:pPr>
            <w:hyperlink r:id="rId16">
              <w:r>
                <w:rPr>
                  <w:rFonts w:ascii="Calibri" w:hAnsi="Calibri" w:cs="Calibri"/>
                  <w:sz w:val="18"/>
                  <w:color w:val="1155CC"/>
                  <w:u w:val="single"/>
                </w:rPr>
                <w:t xml:space="preserve">https://biomedpharmajournal.org/vol12no2/patterns-of-antimicrobial-therapy-for-sore-throat-in-a-teaching-hospital-of-india/</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150–300 min/week moderate aerobic activity</w:t>
            </w:r>
          </w:p>
        </w:tc>
        <w:tc>
          <w:tcPr>
            <w:tcW w:type="dxa" w:w="1512"/>
            <w:vAlign w:val="top"/>
          </w:tcPr>
          <w:p>
            <w:pPr>
              <w:spacing w:after="40" w:before="0" w:line="259" w:lineRule="auto"/>
            </w:pPr>
            <w:r>
              <w:rPr>
                <w:rFonts w:ascii="Calibri" w:hAnsi="Calibri"/>
                <w:b w:val="0"/>
                <w:i w:val="0"/>
                <w:color w:val="212121"/>
                <w:sz w:val="19"/>
              </w:rPr>
              <w:t>Sedentary or prolonged exhausting exertion</w:t>
            </w:r>
          </w:p>
        </w:tc>
        <w:tc>
          <w:tcPr>
            <w:tcW w:type="dxa" w:w="1468"/>
            <w:vAlign w:val="top"/>
          </w:tcPr>
          <w:p>
            <w:pPr>
              <w:spacing w:after="40" w:before="0" w:line="259" w:lineRule="auto"/>
            </w:pPr>
            <w:r>
              <w:rPr>
                <w:rFonts w:ascii="Calibri" w:hAnsi="Calibri"/>
                <w:b w:val="0"/>
                <w:i w:val="0"/>
                <w:color w:val="212121"/>
                <w:sz w:val="19"/>
              </w:rPr>
              <w:t>Regular moderate activity supports immune defence against respiratory infection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Rapid Antigen Detection Test (RADT) for GAS</w:t>
            </w:r>
          </w:p>
        </w:tc>
        <w:tc>
          <w:tcPr>
            <w:tcW w:type="dxa" w:w="892"/>
            <w:vAlign w:val="top"/>
          </w:tcPr>
          <w:p>
            <w:pPr>
              <w:spacing w:after="40" w:before="0" w:line="259" w:lineRule="auto"/>
            </w:pPr>
            <w:r>
              <w:rPr>
                <w:rFonts w:ascii="Calibri" w:hAnsi="Calibri"/>
                <w:b w:val="0"/>
                <w:i w:val="0"/>
                <w:color w:val="212121"/>
                <w:sz w:val="16"/>
              </w:rPr>
              <w:t>Throat swab (tonsils/posterior pharynx)</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Group A strep antigen</w:t>
            </w:r>
          </w:p>
        </w:tc>
        <w:tc>
          <w:tcPr>
            <w:tcW w:type="dxa" w:w="1036"/>
            <w:vAlign w:val="top"/>
          </w:tcPr>
          <w:p>
            <w:pPr>
              <w:spacing w:after="40" w:before="0" w:line="259" w:lineRule="auto"/>
            </w:pPr>
            <w:r>
              <w:rPr>
                <w:rFonts w:ascii="Calibri" w:hAnsi="Calibri"/>
                <w:b w:val="0"/>
                <w:i w:val="0"/>
                <w:color w:val="212121"/>
                <w:sz w:val="16"/>
              </w:rPr>
              <w:t>A positive RADT confirms GAS and justifies antibiotics; high specificity, moderate sensitivity</w:t>
            </w:r>
          </w:p>
        </w:tc>
        <w:tc>
          <w:tcPr>
            <w:tcW w:type="dxa" w:w="1036"/>
            <w:vAlign w:val="top"/>
          </w:tcPr>
          <w:p>
            <w:pPr>
              <w:spacing w:after="40" w:before="0" w:line="259" w:lineRule="auto"/>
            </w:pPr>
            <w:r>
              <w:rPr>
                <w:rFonts w:ascii="Calibri" w:hAnsi="Calibri"/>
                <w:b w:val="0"/>
                <w:i w:val="0"/>
                <w:color w:val="212121"/>
                <w:sz w:val="16"/>
              </w:rPr>
              <w:t>Children/adults with Centor/McIsaac ≥3, no viral features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In children a negative RADT should be backed up by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Throat swab culture (blood agar)</w:t>
            </w:r>
          </w:p>
        </w:tc>
        <w:tc>
          <w:tcPr>
            <w:tcW w:type="dxa" w:w="892"/>
            <w:vAlign w:val="top"/>
          </w:tcPr>
          <w:p>
            <w:pPr>
              <w:spacing w:after="40" w:before="0" w:line="259" w:lineRule="auto"/>
            </w:pPr>
            <w:r>
              <w:rPr>
                <w:rFonts w:ascii="Calibri" w:hAnsi="Calibri"/>
                <w:b w:val="0"/>
                <w:i w:val="0"/>
                <w:color w:val="212121"/>
                <w:sz w:val="16"/>
              </w:rPr>
              <w:t>Throat swab</w:t>
            </w:r>
          </w:p>
        </w:tc>
        <w:tc>
          <w:tcPr>
            <w:tcW w:type="dxa" w:w="950"/>
            <w:vAlign w:val="top"/>
          </w:tcPr>
          <w:p>
            <w:pPr>
              <w:spacing w:after="40" w:before="0" w:line="259" w:lineRule="auto"/>
            </w:pPr>
            <w:r>
              <w:rPr>
                <w:rFonts w:ascii="Calibri" w:hAnsi="Calibri"/>
                <w:b w:val="0"/>
                <w:i w:val="0"/>
                <w:color w:val="212121"/>
                <w:sz w:val="16"/>
              </w:rPr>
              <w:t>No GAS growth</w:t>
            </w:r>
          </w:p>
        </w:tc>
        <w:tc>
          <w:tcPr>
            <w:tcW w:type="dxa" w:w="950"/>
            <w:vAlign w:val="top"/>
          </w:tcPr>
          <w:p>
            <w:pPr>
              <w:spacing w:after="40" w:before="0" w:line="259" w:lineRule="auto"/>
            </w:pPr>
            <w:r>
              <w:rPr>
                <w:rFonts w:ascii="Calibri" w:hAnsi="Calibri"/>
                <w:b w:val="0"/>
                <w:i w:val="0"/>
                <w:color w:val="212121"/>
                <w:sz w:val="16"/>
              </w:rPr>
              <w:t>Beta-haemolytic Group A strep growth</w:t>
            </w:r>
          </w:p>
        </w:tc>
        <w:tc>
          <w:tcPr>
            <w:tcW w:type="dxa" w:w="1036"/>
            <w:vAlign w:val="top"/>
          </w:tcPr>
          <w:p>
            <w:pPr>
              <w:spacing w:after="40" w:before="0" w:line="259" w:lineRule="auto"/>
            </w:pPr>
            <w:r>
              <w:rPr>
                <w:rFonts w:ascii="Calibri" w:hAnsi="Calibri"/>
                <w:b w:val="0"/>
                <w:i w:val="0"/>
                <w:color w:val="212121"/>
                <w:sz w:val="16"/>
              </w:rPr>
              <w:t>Reference standard for GAS; confirms RADT-negative cases and defines carriage vs infection</w:t>
            </w:r>
          </w:p>
        </w:tc>
        <w:tc>
          <w:tcPr>
            <w:tcW w:type="dxa" w:w="1036"/>
            <w:vAlign w:val="top"/>
          </w:tcPr>
          <w:p>
            <w:pPr>
              <w:spacing w:after="40" w:before="0" w:line="259" w:lineRule="auto"/>
            </w:pPr>
            <w:r>
              <w:rPr>
                <w:rFonts w:ascii="Calibri" w:hAnsi="Calibri"/>
                <w:b w:val="0"/>
                <w:i w:val="0"/>
                <w:color w:val="212121"/>
                <w:sz w:val="16"/>
              </w:rPr>
              <w:t>Children, RADT-negative high-suspicion, outbreaks, ARF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Carriage is common; 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Anti-Streptolysin O (ASO) titre / anti-DNase B</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ASO typically &lt; 200 IU/mL (age-dependent)</w:t>
            </w:r>
          </w:p>
        </w:tc>
        <w:tc>
          <w:tcPr>
            <w:tcW w:type="dxa" w:w="950"/>
            <w:vAlign w:val="top"/>
          </w:tcPr>
          <w:p>
            <w:pPr>
              <w:spacing w:after="40" w:before="0" w:line="259" w:lineRule="auto"/>
            </w:pPr>
            <w:r>
              <w:rPr>
                <w:rFonts w:ascii="Calibri" w:hAnsi="Calibri"/>
                <w:b w:val="0"/>
                <w:i w:val="0"/>
                <w:color w:val="212121"/>
                <w:sz w:val="16"/>
              </w:rPr>
              <w:t>Elevated or rising titre</w:t>
            </w:r>
          </w:p>
        </w:tc>
        <w:tc>
          <w:tcPr>
            <w:tcW w:type="dxa" w:w="1036"/>
            <w:vAlign w:val="top"/>
          </w:tcPr>
          <w:p>
            <w:pPr>
              <w:spacing w:after="40" w:before="0" w:line="259" w:lineRule="auto"/>
            </w:pPr>
            <w:r>
              <w:rPr>
                <w:rFonts w:ascii="Calibri" w:hAnsi="Calibri"/>
                <w:b w:val="0"/>
                <w:i w:val="0"/>
                <w:color w:val="212121"/>
                <w:sz w:val="16"/>
              </w:rPr>
              <w:t>Evidence of recent streptococcal infection; supports ARF/PSGN diagnosis, NOT acute pharyngitis</w:t>
            </w:r>
          </w:p>
        </w:tc>
        <w:tc>
          <w:tcPr>
            <w:tcW w:type="dxa" w:w="1036"/>
            <w:vAlign w:val="top"/>
          </w:tcPr>
          <w:p>
            <w:pPr>
              <w:spacing w:after="40" w:before="0" w:line="259" w:lineRule="auto"/>
            </w:pPr>
            <w:r>
              <w:rPr>
                <w:rFonts w:ascii="Calibri" w:hAnsi="Calibri"/>
                <w:b w:val="0"/>
                <w:i w:val="0"/>
                <w:color w:val="212121"/>
                <w:sz w:val="16"/>
              </w:rPr>
              <w:t>Suspected rheumatic fever or post-strep glomerulonephritis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Rises 1–3 weeks after infection; paired titres are most useful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Diphtheria smear &amp; culture (Albert/Neisser stain, Loeffler/tellurite)</w:t>
            </w:r>
          </w:p>
        </w:tc>
        <w:tc>
          <w:tcPr>
            <w:tcW w:type="dxa" w:w="892"/>
            <w:vAlign w:val="top"/>
          </w:tcPr>
          <w:p>
            <w:pPr>
              <w:spacing w:after="40" w:before="0" w:line="259" w:lineRule="auto"/>
            </w:pPr>
            <w:r>
              <w:rPr>
                <w:rFonts w:ascii="Calibri" w:hAnsi="Calibri"/>
                <w:b w:val="0"/>
                <w:i w:val="0"/>
                <w:color w:val="212121"/>
                <w:sz w:val="16"/>
              </w:rPr>
              <w:t>Swab from beneath the pseudomembrane</w:t>
            </w:r>
          </w:p>
        </w:tc>
        <w:tc>
          <w:tcPr>
            <w:tcW w:type="dxa" w:w="950"/>
            <w:vAlign w:val="top"/>
          </w:tcPr>
          <w:p>
            <w:pPr>
              <w:spacing w:after="40" w:before="0" w:line="259" w:lineRule="auto"/>
            </w:pPr>
            <w:r>
              <w:rPr>
                <w:rFonts w:ascii="Calibri" w:hAnsi="Calibri"/>
                <w:b w:val="0"/>
                <w:i w:val="0"/>
                <w:color w:val="212121"/>
                <w:sz w:val="16"/>
              </w:rPr>
              <w:t>No C. diphtheriae; no metachromatic granules</w:t>
            </w:r>
          </w:p>
        </w:tc>
        <w:tc>
          <w:tcPr>
            <w:tcW w:type="dxa" w:w="950"/>
            <w:vAlign w:val="top"/>
          </w:tcPr>
          <w:p>
            <w:pPr>
              <w:spacing w:after="40" w:before="0" w:line="259" w:lineRule="auto"/>
            </w:pPr>
            <w:r>
              <w:rPr>
                <w:rFonts w:ascii="Calibri" w:hAnsi="Calibri"/>
                <w:b w:val="0"/>
                <w:i w:val="0"/>
                <w:color w:val="212121"/>
                <w:sz w:val="16"/>
              </w:rPr>
              <w:t>Corynebacterium diphtheriae with metachromatic granules; toxigenicity (Elek) positive</w:t>
            </w:r>
          </w:p>
        </w:tc>
        <w:tc>
          <w:tcPr>
            <w:tcW w:type="dxa" w:w="1036"/>
            <w:vAlign w:val="top"/>
          </w:tcPr>
          <w:p>
            <w:pPr>
              <w:spacing w:after="40" w:before="0" w:line="259" w:lineRule="auto"/>
            </w:pPr>
            <w:r>
              <w:rPr>
                <w:rFonts w:ascii="Calibri" w:hAnsi="Calibri"/>
                <w:b w:val="0"/>
                <w:i w:val="0"/>
                <w:color w:val="212121"/>
                <w:sz w:val="16"/>
              </w:rPr>
              <w:t>Confirms diphtheria; toxin testing guides antitoxin and public-health response</w:t>
            </w:r>
          </w:p>
        </w:tc>
        <w:tc>
          <w:tcPr>
            <w:tcW w:type="dxa" w:w="1036"/>
            <w:vAlign w:val="top"/>
          </w:tcPr>
          <w:p>
            <w:pPr>
              <w:spacing w:after="40" w:before="0" w:line="259" w:lineRule="auto"/>
            </w:pPr>
            <w:r>
              <w:rPr>
                <w:rFonts w:ascii="Calibri" w:hAnsi="Calibri"/>
                <w:b w:val="0"/>
                <w:i w:val="0"/>
                <w:color w:val="212121"/>
                <w:sz w:val="16"/>
              </w:rPr>
              <w:t>Under-immunised patients with grey adherent membrane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(if suspected)</w:t>
            </w:r>
          </w:p>
        </w:tc>
        <w:tc>
          <w:tcPr>
            <w:tcW w:type="dxa" w:w="720"/>
            <w:vAlign w:val="top"/>
          </w:tcPr>
          <w:p>
            <w:pPr>
              <w:spacing w:after="40" w:before="0" w:line="259" w:lineRule="auto"/>
            </w:pPr>
            <w:r>
              <w:rPr>
                <w:rFonts w:ascii="Calibri" w:hAnsi="Calibri"/>
                <w:b w:val="0"/>
                <w:i w:val="0"/>
                <w:color w:val="212121"/>
                <w:sz w:val="16"/>
              </w:rPr>
              <w:t>Do not delay antitoxin for lab confirmation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with differential</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Normal counts</w:t>
            </w:r>
          </w:p>
        </w:tc>
        <w:tc>
          <w:tcPr>
            <w:tcW w:type="dxa" w:w="950"/>
            <w:vAlign w:val="top"/>
          </w:tcPr>
          <w:p>
            <w:pPr>
              <w:spacing w:after="40" w:before="0" w:line="259" w:lineRule="auto"/>
            </w:pPr>
            <w:r>
              <w:rPr>
                <w:rFonts w:ascii="Calibri" w:hAnsi="Calibri"/>
                <w:b w:val="0"/>
                <w:i w:val="0"/>
                <w:color w:val="212121"/>
                <w:sz w:val="16"/>
              </w:rPr>
              <w:t>Neutrophilia (bacterial) or atypical lymphocytosis (EBV)</w:t>
            </w:r>
          </w:p>
        </w:tc>
        <w:tc>
          <w:tcPr>
            <w:tcW w:type="dxa" w:w="1036"/>
            <w:vAlign w:val="top"/>
          </w:tcPr>
          <w:p>
            <w:pPr>
              <w:spacing w:after="40" w:before="0" w:line="259" w:lineRule="auto"/>
            </w:pPr>
            <w:r>
              <w:rPr>
                <w:rFonts w:ascii="Calibri" w:hAnsi="Calibri"/>
                <w:b w:val="0"/>
                <w:i w:val="0"/>
                <w:color w:val="212121"/>
                <w:sz w:val="16"/>
              </w:rPr>
              <w:t>Helps separate bacterial from viral/EBV causes and flag systemic illness</w:t>
            </w:r>
          </w:p>
        </w:tc>
        <w:tc>
          <w:tcPr>
            <w:tcW w:type="dxa" w:w="1036"/>
            <w:vAlign w:val="top"/>
          </w:tcPr>
          <w:p>
            <w:pPr>
              <w:spacing w:after="40" w:before="0" w:line="259" w:lineRule="auto"/>
            </w:pPr>
            <w:r>
              <w:rPr>
                <w:rFonts w:ascii="Calibri" w:hAnsi="Calibri"/>
                <w:b w:val="0"/>
                <w:i w:val="0"/>
                <w:color w:val="212121"/>
                <w:sz w:val="16"/>
              </w:rPr>
              <w:t>Prolonged, severe or atypical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&gt;10% atypical lymphocytes suggests infectious mononucleosis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Monospot / EBV-specific serology (VCA IgM)</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Heterophile/VCA-IgM positive</w:t>
            </w:r>
          </w:p>
        </w:tc>
        <w:tc>
          <w:tcPr>
            <w:tcW w:type="dxa" w:w="1036"/>
            <w:vAlign w:val="top"/>
          </w:tcPr>
          <w:p>
            <w:pPr>
              <w:spacing w:after="40" w:before="0" w:line="259" w:lineRule="auto"/>
            </w:pPr>
            <w:r>
              <w:rPr>
                <w:rFonts w:ascii="Calibri" w:hAnsi="Calibri"/>
                <w:b w:val="0"/>
                <w:i w:val="0"/>
                <w:color w:val="212121"/>
                <w:sz w:val="16"/>
              </w:rPr>
              <w:t>Confirms infectious mononucleosis; avoids amoxicillin (rash) and unnecessary GAS treatment</w:t>
            </w:r>
          </w:p>
        </w:tc>
        <w:tc>
          <w:tcPr>
            <w:tcW w:type="dxa" w:w="1036"/>
            <w:vAlign w:val="top"/>
          </w:tcPr>
          <w:p>
            <w:pPr>
              <w:spacing w:after="40" w:before="0" w:line="259" w:lineRule="auto"/>
            </w:pPr>
            <w:r>
              <w:rPr>
                <w:rFonts w:ascii="Calibri" w:hAnsi="Calibri"/>
                <w:b w:val="0"/>
                <w:i w:val="0"/>
                <w:color w:val="212121"/>
                <w:sz w:val="16"/>
              </w:rPr>
              <w:t>Adolescents/young adults with posterior nodes, fatigue, splenomegaly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Heterophile test may be falsely negative in the first week/young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 Procalcitonin</w:t>
            </w:r>
          </w:p>
        </w:tc>
        <w:tc>
          <w:tcPr>
            <w:tcW w:type="dxa" w:w="892"/>
            <w:vAlign w:val="top"/>
          </w:tcPr>
          <w:p>
            <w:pPr>
              <w:spacing w:after="40" w:before="0" w:line="259" w:lineRule="auto"/>
            </w:pPr>
            <w:r>
              <w:rPr>
                <w:rFonts w:ascii="Calibri" w:hAnsi="Calibri"/>
                <w:b w:val="0"/>
                <w:i w:val="0"/>
                <w:color w:val="212121"/>
                <w:sz w:val="16"/>
              </w:rPr>
              <w:t>Venous blood</w:t>
            </w:r>
          </w:p>
        </w:tc>
        <w:tc>
          <w:tcPr>
            <w:tcW w:type="dxa" w:w="950"/>
            <w:vAlign w:val="top"/>
          </w:tcPr>
          <w:p>
            <w:pPr>
              <w:spacing w:after="40" w:before="0" w:line="259" w:lineRule="auto"/>
            </w:pPr>
            <w:r>
              <w:rPr>
                <w:rFonts w:ascii="Calibri" w:hAnsi="Calibri"/>
                <w:b w:val="0"/>
                <w:i w:val="0"/>
                <w:color w:val="212121"/>
                <w:sz w:val="16"/>
              </w:rPr>
              <w:t>Low</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Marked elevation supports bacterial infection/complication and antibiotic decisions</w:t>
            </w:r>
          </w:p>
        </w:tc>
        <w:tc>
          <w:tcPr>
            <w:tcW w:type="dxa" w:w="1036"/>
            <w:vAlign w:val="top"/>
          </w:tcPr>
          <w:p>
            <w:pPr>
              <w:spacing w:after="40" w:before="0" w:line="259" w:lineRule="auto"/>
            </w:pPr>
            <w:r>
              <w:rPr>
                <w:rFonts w:ascii="Calibri" w:hAnsi="Calibri"/>
                <w:b w:val="0"/>
                <w:i w:val="0"/>
                <w:color w:val="212121"/>
                <w:sz w:val="16"/>
              </w:rPr>
              <w:t>Diagnostic uncertainty, systemically unwell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clinical findings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(only if indicated)</w:t>
            </w:r>
          </w:p>
        </w:tc>
        <w:tc>
          <w:tcPr>
            <w:tcW w:type="dxa" w:w="1036"/>
            <w:vAlign w:val="top"/>
          </w:tcPr>
          <w:p>
            <w:pPr>
              <w:spacing w:after="40" w:before="0" w:line="259" w:lineRule="auto"/>
            </w:pPr>
            <w:r>
              <w:rPr>
                <w:rFonts w:ascii="Calibri" w:hAnsi="Calibri"/>
                <w:b w:val="0"/>
                <w:i w:val="0"/>
                <w:color w:val="212121"/>
                <w:sz w:val="16"/>
              </w:rPr>
              <w:t>Neck/lateral soft-tissue X-ray, CT or ultrasound</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Normal soft tissues; no collection</w:t>
            </w:r>
          </w:p>
        </w:tc>
        <w:tc>
          <w:tcPr>
            <w:tcW w:type="dxa" w:w="950"/>
            <w:vAlign w:val="top"/>
          </w:tcPr>
          <w:p>
            <w:pPr>
              <w:spacing w:after="40" w:before="0" w:line="259" w:lineRule="auto"/>
            </w:pPr>
            <w:r>
              <w:rPr>
                <w:rFonts w:ascii="Calibri" w:hAnsi="Calibri"/>
                <w:b w:val="0"/>
                <w:i w:val="0"/>
                <w:color w:val="212121"/>
                <w:sz w:val="16"/>
              </w:rPr>
              <w:t>Peritonsillar/retropharyngeal collection; enlarged epiglottis (thumb sign)</w:t>
            </w:r>
          </w:p>
        </w:tc>
        <w:tc>
          <w:tcPr>
            <w:tcW w:type="dxa" w:w="1036"/>
            <w:vAlign w:val="top"/>
          </w:tcPr>
          <w:p>
            <w:pPr>
              <w:spacing w:after="40" w:before="0" w:line="259" w:lineRule="auto"/>
            </w:pPr>
            <w:r>
              <w:rPr>
                <w:rFonts w:ascii="Calibri" w:hAnsi="Calibri"/>
                <w:b w:val="0"/>
                <w:i w:val="0"/>
                <w:color w:val="212121"/>
                <w:sz w:val="16"/>
              </w:rPr>
              <w:t>Confirms deep-neck abscess or epiglottitis in patients with red-flag features</w:t>
            </w:r>
          </w:p>
        </w:tc>
        <w:tc>
          <w:tcPr>
            <w:tcW w:type="dxa" w:w="1036"/>
            <w:vAlign w:val="top"/>
          </w:tcPr>
          <w:p>
            <w:pPr>
              <w:spacing w:after="40" w:before="0" w:line="259" w:lineRule="auto"/>
            </w:pPr>
            <w:r>
              <w:rPr>
                <w:rFonts w:ascii="Calibri" w:hAnsi="Calibri"/>
                <w:b w:val="0"/>
                <w:i w:val="0"/>
                <w:color w:val="212121"/>
                <w:sz w:val="16"/>
              </w:rPr>
              <w:t>Trismus, drooling, neck swelling, muffled voice, stridor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Do not examine the throat of suspected epiglottitis without airway readiness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Sore throat, painful swallowing, fever, onset &amp; duration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sore throat ± fever; duration guides acute vs chronic</w:t>
            </w:r>
          </w:p>
        </w:tc>
        <w:tc>
          <w:tcPr>
            <w:tcW w:type="dxa" w:w="1036"/>
            <w:vAlign w:val="top"/>
          </w:tcPr>
          <w:p>
            <w:pPr>
              <w:spacing w:after="40" w:before="0" w:line="259" w:lineRule="auto"/>
            </w:pPr>
            <w:r>
              <w:rPr>
                <w:rFonts w:ascii="Calibri" w:hAnsi="Calibri"/>
                <w:b w:val="0"/>
                <w:i w:val="0"/>
                <w:color w:val="212121"/>
                <w:sz w:val="16"/>
              </w:rPr>
              <w:t>Defines the syndrome and separates acute infective from chronic irritant pharyngitis</w:t>
            </w:r>
          </w:p>
        </w:tc>
        <w:tc>
          <w:tcPr>
            <w:tcW w:type="dxa" w:w="1036"/>
            <w:vAlign w:val="top"/>
          </w:tcPr>
          <w:p>
            <w:pPr>
              <w:spacing w:after="40" w:before="0" w:line="259" w:lineRule="auto"/>
            </w:pPr>
            <w:r>
              <w:rPr>
                <w:rFonts w:ascii="Calibri" w:hAnsi="Calibri"/>
                <w:b w:val="0"/>
                <w:i w:val="0"/>
                <w:color w:val="212121"/>
                <w:sz w:val="16"/>
              </w:rPr>
              <w:t>All ages presenting acutely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Duration &lt;2 weeks = acute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Centor / McIsaac scoring</w:t>
            </w:r>
          </w:p>
        </w:tc>
        <w:tc>
          <w:tcPr>
            <w:tcW w:type="dxa" w:w="979"/>
            <w:vAlign w:val="top"/>
          </w:tcPr>
          <w:p>
            <w:pPr>
              <w:spacing w:after="40" w:before="0" w:line="259" w:lineRule="auto"/>
            </w:pPr>
            <w:r>
              <w:rPr>
                <w:rFonts w:ascii="Calibri" w:hAnsi="Calibri"/>
                <w:b w:val="0"/>
                <w:i w:val="0"/>
                <w:color w:val="212121"/>
                <w:sz w:val="16"/>
              </w:rPr>
              <w:t>Fever &gt;38°C, absence of cough, tender anterior nodes, tonsillar exudate, age</w:t>
            </w:r>
          </w:p>
        </w:tc>
        <w:tc>
          <w:tcPr>
            <w:tcW w:type="dxa" w:w="950"/>
            <w:vAlign w:val="top"/>
          </w:tcPr>
          <w:p>
            <w:pPr>
              <w:spacing w:after="40" w:before="0" w:line="259" w:lineRule="auto"/>
            </w:pPr>
            <w:r>
              <w:rPr>
                <w:rFonts w:ascii="Calibri" w:hAnsi="Calibri"/>
                <w:b w:val="0"/>
                <w:i w:val="0"/>
                <w:color w:val="212121"/>
                <w:sz w:val="16"/>
              </w:rPr>
              <w:t>Low score (0–1) — GAS unlikely</w:t>
            </w:r>
          </w:p>
        </w:tc>
        <w:tc>
          <w:tcPr>
            <w:tcW w:type="dxa" w:w="950"/>
            <w:vAlign w:val="top"/>
          </w:tcPr>
          <w:p>
            <w:pPr>
              <w:spacing w:after="40" w:before="0" w:line="259" w:lineRule="auto"/>
            </w:pPr>
            <w:r>
              <w:rPr>
                <w:rFonts w:ascii="Calibri" w:hAnsi="Calibri"/>
                <w:b w:val="0"/>
                <w:i w:val="0"/>
                <w:color w:val="212121"/>
                <w:sz w:val="16"/>
              </w:rPr>
              <w:t>High score (3–5) — GAS more likely</w:t>
            </w:r>
          </w:p>
        </w:tc>
        <w:tc>
          <w:tcPr>
            <w:tcW w:type="dxa" w:w="1036"/>
            <w:vAlign w:val="top"/>
          </w:tcPr>
          <w:p>
            <w:pPr>
              <w:spacing w:after="40" w:before="0" w:line="259" w:lineRule="auto"/>
            </w:pPr>
            <w:r>
              <w:rPr>
                <w:rFonts w:ascii="Calibri" w:hAnsi="Calibri"/>
                <w:b w:val="0"/>
                <w:i w:val="0"/>
                <w:color w:val="212121"/>
                <w:sz w:val="16"/>
              </w:rPr>
              <w:t>Stratifies streptococcal probability and directs testing/antibiotic decisions</w:t>
            </w:r>
          </w:p>
        </w:tc>
        <w:tc>
          <w:tcPr>
            <w:tcW w:type="dxa" w:w="1036"/>
            <w:vAlign w:val="top"/>
          </w:tcPr>
          <w:p>
            <w:pPr>
              <w:spacing w:after="40" w:before="0" w:line="259" w:lineRule="auto"/>
            </w:pPr>
            <w:r>
              <w:rPr>
                <w:rFonts w:ascii="Calibri" w:hAnsi="Calibri"/>
                <w:b w:val="0"/>
                <w:i w:val="0"/>
                <w:color w:val="212121"/>
                <w:sz w:val="16"/>
              </w:rPr>
              <w:t>All sore-throat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Reduces unnecessary antibiotics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Viral features &amp; red-flag screen</w:t>
            </w:r>
          </w:p>
        </w:tc>
        <w:tc>
          <w:tcPr>
            <w:tcW w:type="dxa" w:w="979"/>
            <w:vAlign w:val="top"/>
          </w:tcPr>
          <w:p>
            <w:pPr>
              <w:spacing w:after="40" w:before="0" w:line="259" w:lineRule="auto"/>
            </w:pPr>
            <w:r>
              <w:rPr>
                <w:rFonts w:ascii="Calibri" w:hAnsi="Calibri"/>
                <w:b w:val="0"/>
                <w:i w:val="0"/>
                <w:color w:val="212121"/>
                <w:sz w:val="16"/>
              </w:rPr>
              <w:t>Cough, coryza, hoarseness, conjunctivitis, oral ulcers vs drooling, trismus, neck swelling, stridor</w:t>
            </w:r>
          </w:p>
        </w:tc>
        <w:tc>
          <w:tcPr>
            <w:tcW w:type="dxa" w:w="950"/>
            <w:vAlign w:val="top"/>
          </w:tcPr>
          <w:p>
            <w:pPr>
              <w:spacing w:after="40" w:before="0" w:line="259" w:lineRule="auto"/>
            </w:pPr>
            <w:r>
              <w:rPr>
                <w:rFonts w:ascii="Calibri" w:hAnsi="Calibri"/>
                <w:b w:val="0"/>
                <w:i w:val="0"/>
                <w:color w:val="212121"/>
                <w:sz w:val="16"/>
              </w:rPr>
              <w:t>Viral features favour self-limiting illness; no red flags</w:t>
            </w:r>
          </w:p>
        </w:tc>
        <w:tc>
          <w:tcPr>
            <w:tcW w:type="dxa" w:w="950"/>
            <w:vAlign w:val="top"/>
          </w:tcPr>
          <w:p>
            <w:pPr>
              <w:spacing w:after="40" w:before="0" w:line="259" w:lineRule="auto"/>
            </w:pPr>
            <w:r>
              <w:rPr>
                <w:rFonts w:ascii="Calibri" w:hAnsi="Calibri"/>
                <w:b w:val="0"/>
                <w:i w:val="0"/>
                <w:color w:val="212121"/>
                <w:sz w:val="16"/>
              </w:rPr>
              <w:t>Red flags present</w:t>
            </w:r>
          </w:p>
        </w:tc>
        <w:tc>
          <w:tcPr>
            <w:tcW w:type="dxa" w:w="1036"/>
            <w:vAlign w:val="top"/>
          </w:tcPr>
          <w:p>
            <w:pPr>
              <w:spacing w:after="40" w:before="0" w:line="259" w:lineRule="auto"/>
            </w:pPr>
            <w:r>
              <w:rPr>
                <w:rFonts w:ascii="Calibri" w:hAnsi="Calibri"/>
                <w:b w:val="0"/>
                <w:i w:val="0"/>
                <w:color w:val="212121"/>
                <w:sz w:val="16"/>
              </w:rPr>
              <w:t>Viral features argue against GAS; red flags signal abscess/epiglottitis needing urgent care</w:t>
            </w:r>
          </w:p>
        </w:tc>
        <w:tc>
          <w:tcPr>
            <w:tcW w:type="dxa" w:w="1036"/>
            <w:vAlign w:val="top"/>
          </w:tcPr>
          <w:p>
            <w:pPr>
              <w:spacing w:after="40" w:before="0" w:line="259" w:lineRule="auto"/>
            </w:pPr>
            <w:r>
              <w:rPr>
                <w:rFonts w:ascii="Calibri" w:hAnsi="Calibri"/>
                <w:b w:val="0"/>
                <w:i w:val="0"/>
                <w:color w:val="212121"/>
                <w:sz w:val="16"/>
              </w:rPr>
              <w:t>All, especially children and the systemically unwell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Red flags override routine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immunisation &amp; comorbidity</w:t>
            </w:r>
          </w:p>
        </w:tc>
        <w:tc>
          <w:tcPr>
            <w:tcW w:type="dxa" w:w="979"/>
            <w:vAlign w:val="top"/>
          </w:tcPr>
          <w:p>
            <w:pPr>
              <w:spacing w:after="40" w:before="0" w:line="259" w:lineRule="auto"/>
            </w:pPr>
            <w:r>
              <w:rPr>
                <w:rFonts w:ascii="Calibri" w:hAnsi="Calibri"/>
                <w:b w:val="0"/>
                <w:i w:val="0"/>
                <w:color w:val="212121"/>
                <w:sz w:val="16"/>
              </w:rPr>
              <w:t>Sick contacts, crowding, DPT status, reflux/allergy, prior ARF, immune status</w:t>
            </w:r>
          </w:p>
        </w:tc>
        <w:tc>
          <w:tcPr>
            <w:tcW w:type="dxa" w:w="950"/>
            <w:vAlign w:val="top"/>
          </w:tcPr>
          <w:p>
            <w:pPr>
              <w:spacing w:after="40" w:before="0" w:line="259" w:lineRule="auto"/>
            </w:pPr>
            <w:r>
              <w:rPr>
                <w:rFonts w:ascii="Calibri" w:hAnsi="Calibri"/>
                <w:b w:val="0"/>
                <w:i w:val="0"/>
                <w:color w:val="212121"/>
                <w:sz w:val="16"/>
              </w:rPr>
              <w:t>No high-risk features</w:t>
            </w:r>
          </w:p>
        </w:tc>
        <w:tc>
          <w:tcPr>
            <w:tcW w:type="dxa" w:w="950"/>
            <w:vAlign w:val="top"/>
          </w:tcPr>
          <w:p>
            <w:pPr>
              <w:spacing w:after="40" w:before="0" w:line="259" w:lineRule="auto"/>
            </w:pPr>
            <w:r>
              <w:rPr>
                <w:rFonts w:ascii="Calibri" w:hAnsi="Calibri"/>
                <w:b w:val="0"/>
                <w:i w:val="0"/>
                <w:color w:val="212121"/>
                <w:sz w:val="16"/>
              </w:rPr>
              <w:t>Under-immunised, prior rheumatic fever, immunocompromise, reflux/allergy</w:t>
            </w:r>
          </w:p>
        </w:tc>
        <w:tc>
          <w:tcPr>
            <w:tcW w:type="dxa" w:w="1036"/>
            <w:vAlign w:val="top"/>
          </w:tcPr>
          <w:p>
            <w:pPr>
              <w:spacing w:after="40" w:before="0" w:line="259" w:lineRule="auto"/>
            </w:pPr>
            <w:r>
              <w:rPr>
                <w:rFonts w:ascii="Calibri" w:hAnsi="Calibri"/>
                <w:b w:val="0"/>
                <w:i w:val="0"/>
                <w:color w:val="212121"/>
                <w:sz w:val="16"/>
              </w:rPr>
              <w:t>Identifies diphtheria risk, rheumatic-fever recurrence risk and non-infective causes</w:t>
            </w:r>
          </w:p>
        </w:tc>
        <w:tc>
          <w:tcPr>
            <w:tcW w:type="dxa" w:w="1036"/>
            <w:vAlign w:val="top"/>
          </w:tcPr>
          <w:p>
            <w:pPr>
              <w:spacing w:after="40" w:before="0" w:line="259" w:lineRule="auto"/>
            </w:pPr>
            <w:r>
              <w:rPr>
                <w:rFonts w:ascii="Calibri" w:hAnsi="Calibri"/>
                <w:b w:val="0"/>
                <w:i w:val="0"/>
                <w:color w:val="212121"/>
                <w:sz w:val="16"/>
              </w:rPr>
              <w:t>Under-immunised, ARF/RHD patients, atopic/reflux patients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Frames prophylaxis and prevention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Oropharyngeal examination</w:t>
            </w:r>
          </w:p>
        </w:tc>
        <w:tc>
          <w:tcPr>
            <w:tcW w:type="dxa" w:w="979"/>
            <w:vAlign w:val="top"/>
          </w:tcPr>
          <w:p>
            <w:pPr>
              <w:spacing w:after="40" w:before="0" w:line="259" w:lineRule="auto"/>
            </w:pPr>
            <w:r>
              <w:rPr>
                <w:rFonts w:ascii="Calibri" w:hAnsi="Calibri"/>
                <w:b w:val="0"/>
                <w:i w:val="0"/>
                <w:color w:val="212121"/>
                <w:sz w:val="16"/>
              </w:rPr>
              <w:t>Pharyngeal erythema, tonsillar size/exudate, palatal petechiae, membrane, ulcers</w:t>
            </w:r>
          </w:p>
        </w:tc>
        <w:tc>
          <w:tcPr>
            <w:tcW w:type="dxa" w:w="950"/>
            <w:vAlign w:val="top"/>
          </w:tcPr>
          <w:p>
            <w:pPr>
              <w:spacing w:after="40" w:before="0" w:line="259" w:lineRule="auto"/>
            </w:pPr>
            <w:r>
              <w:rPr>
                <w:rFonts w:ascii="Calibri" w:hAnsi="Calibri"/>
                <w:b w:val="0"/>
                <w:i w:val="0"/>
                <w:color w:val="212121"/>
                <w:sz w:val="16"/>
              </w:rPr>
              <w:t>Mild erythema, no exudate/membrane</w:t>
            </w:r>
          </w:p>
        </w:tc>
        <w:tc>
          <w:tcPr>
            <w:tcW w:type="dxa" w:w="950"/>
            <w:vAlign w:val="top"/>
          </w:tcPr>
          <w:p>
            <w:pPr>
              <w:spacing w:after="40" w:before="0" w:line="259" w:lineRule="auto"/>
            </w:pPr>
            <w:r>
              <w:rPr>
                <w:rFonts w:ascii="Calibri" w:hAnsi="Calibri"/>
                <w:b w:val="0"/>
                <w:i w:val="0"/>
                <w:color w:val="212121"/>
                <w:sz w:val="16"/>
              </w:rPr>
              <w:t>Tonsillar exudate, petechiae, grey adherent membrane, vesicles/ulcers</w:t>
            </w:r>
          </w:p>
        </w:tc>
        <w:tc>
          <w:tcPr>
            <w:tcW w:type="dxa" w:w="1036"/>
            <w:vAlign w:val="top"/>
          </w:tcPr>
          <w:p>
            <w:pPr>
              <w:spacing w:after="40" w:before="0" w:line="259" w:lineRule="auto"/>
            </w:pPr>
            <w:r>
              <w:rPr>
                <w:rFonts w:ascii="Calibri" w:hAnsi="Calibri"/>
                <w:b w:val="0"/>
                <w:i w:val="0"/>
                <w:color w:val="212121"/>
                <w:sz w:val="16"/>
              </w:rPr>
              <w:t>Distinguishes streptococcal, diphtheritic, mononucleosis and viral/vesicular patterns</w:t>
            </w:r>
          </w:p>
        </w:tc>
        <w:tc>
          <w:tcPr>
            <w:tcW w:type="dxa" w:w="1036"/>
            <w:vAlign w:val="top"/>
          </w:tcPr>
          <w:p>
            <w:pPr>
              <w:spacing w:after="40" w:before="0" w:line="259" w:lineRule="auto"/>
            </w:pPr>
            <w:r>
              <w:rPr>
                <w:rFonts w:ascii="Calibri" w:hAnsi="Calibri"/>
                <w:b w:val="0"/>
                <w:i w:val="0"/>
                <w:color w:val="212121"/>
                <w:sz w:val="16"/>
              </w:rPr>
              <w:t>All symptomatic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bleeding grey membrane suggests diphtheria — handle with caution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Cervical lymph node &amp; systemic exam</w:t>
            </w:r>
          </w:p>
        </w:tc>
        <w:tc>
          <w:tcPr>
            <w:tcW w:type="dxa" w:w="979"/>
            <w:vAlign w:val="top"/>
          </w:tcPr>
          <w:p>
            <w:pPr>
              <w:spacing w:after="40" w:before="0" w:line="259" w:lineRule="auto"/>
            </w:pPr>
            <w:r>
              <w:rPr>
                <w:rFonts w:ascii="Calibri" w:hAnsi="Calibri"/>
                <w:b w:val="0"/>
                <w:i w:val="0"/>
                <w:color w:val="212121"/>
                <w:sz w:val="16"/>
              </w:rPr>
              <w:t>Anterior vs posterior cervical nodes, rash, strawberry tongue, splenomegaly, vitals</w:t>
            </w:r>
          </w:p>
        </w:tc>
        <w:tc>
          <w:tcPr>
            <w:tcW w:type="dxa" w:w="950"/>
            <w:vAlign w:val="top"/>
          </w:tcPr>
          <w:p>
            <w:pPr>
              <w:spacing w:after="40" w:before="0" w:line="259" w:lineRule="auto"/>
            </w:pPr>
            <w:r>
              <w:rPr>
                <w:rFonts w:ascii="Calibri" w:hAnsi="Calibri"/>
                <w:b w:val="0"/>
                <w:i w:val="0"/>
                <w:color w:val="212121"/>
                <w:sz w:val="16"/>
              </w:rPr>
              <w:t>No significant nodes or systemic signs</w:t>
            </w:r>
          </w:p>
        </w:tc>
        <w:tc>
          <w:tcPr>
            <w:tcW w:type="dxa" w:w="950"/>
            <w:vAlign w:val="top"/>
          </w:tcPr>
          <w:p>
            <w:pPr>
              <w:spacing w:after="40" w:before="0" w:line="259" w:lineRule="auto"/>
            </w:pPr>
            <w:r>
              <w:rPr>
                <w:rFonts w:ascii="Calibri" w:hAnsi="Calibri"/>
                <w:b w:val="0"/>
                <w:i w:val="0"/>
                <w:color w:val="212121"/>
                <w:sz w:val="16"/>
              </w:rPr>
              <w:t>Tender anterior nodes (GAS), posterior nodes+splenomegaly (EBV), scarlatiniform rash</w:t>
            </w:r>
          </w:p>
        </w:tc>
        <w:tc>
          <w:tcPr>
            <w:tcW w:type="dxa" w:w="1036"/>
            <w:vAlign w:val="top"/>
          </w:tcPr>
          <w:p>
            <w:pPr>
              <w:spacing w:after="40" w:before="0" w:line="259" w:lineRule="auto"/>
            </w:pPr>
            <w:r>
              <w:rPr>
                <w:rFonts w:ascii="Calibri" w:hAnsi="Calibri"/>
                <w:b w:val="0"/>
                <w:i w:val="0"/>
                <w:color w:val="212121"/>
                <w:sz w:val="16"/>
              </w:rPr>
              <w:t>Supports specific aetiology and detects systemic involvement/complications</w:t>
            </w:r>
          </w:p>
        </w:tc>
        <w:tc>
          <w:tcPr>
            <w:tcW w:type="dxa" w:w="1036"/>
            <w:vAlign w:val="top"/>
          </w:tcPr>
          <w:p>
            <w:pPr>
              <w:spacing w:after="40" w:before="0" w:line="259" w:lineRule="auto"/>
            </w:pPr>
            <w:r>
              <w:rPr>
                <w:rFonts w:ascii="Calibri" w:hAnsi="Calibri"/>
                <w:b w:val="0"/>
                <w:i w:val="0"/>
                <w:color w:val="212121"/>
                <w:sz w:val="16"/>
              </w:rPr>
              <w:t>All, especially adolescents and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Avoid contact sport in EBV splenomegaly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Sore throat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pain or scratchiness in the throat from pharyngeal inflammation.</w:t>
            </w:r>
          </w:p>
        </w:tc>
      </w:tr>
      <w:tr>
        <w:trPr>
          <w:cantSplit/>
        </w:trPr>
        <w:tc>
          <w:tcPr>
            <w:tcW w:type="dxa" w:w="2304"/>
            <w:vAlign w:val="top"/>
          </w:tcPr>
          <w:p>
            <w:pPr>
              <w:spacing w:after="40" w:before="0" w:line="259" w:lineRule="auto"/>
            </w:pPr>
            <w:r>
              <w:rPr>
                <w:rFonts w:ascii="Calibri" w:hAnsi="Calibri"/>
                <w:b/>
                <w:i w:val="0"/>
                <w:color w:val="212121"/>
                <w:sz w:val="19"/>
              </w:rPr>
              <w:t>Odynophagia (painful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on swallowing food, fluids or even saliva; severe pain suggests bacterial or complicated disease.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More prominent with streptococcal and other bacterial causes; high or persistent fever is a Centor point.</w:t>
            </w:r>
          </w:p>
        </w:tc>
      </w:tr>
      <w:tr>
        <w:trPr>
          <w:cantSplit/>
        </w:trPr>
        <w:tc>
          <w:tcPr>
            <w:tcW w:type="dxa" w:w="2304"/>
            <w:vAlign w:val="top"/>
          </w:tcPr>
          <w:p>
            <w:pPr>
              <w:spacing w:after="40" w:before="0" w:line="259" w:lineRule="auto"/>
            </w:pPr>
            <w:r>
              <w:rPr>
                <w:rFonts w:ascii="Calibri" w:hAnsi="Calibri"/>
                <w:b/>
                <w:i w:val="0"/>
                <w:color w:val="212121"/>
                <w:sz w:val="19"/>
              </w:rPr>
              <w:t>Throat dryness / scratchiness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irritant, allergic and reflux (chronic) pharyngitis, and with mouth-breathing or dry air.</w:t>
            </w:r>
          </w:p>
        </w:tc>
      </w:tr>
      <w:tr>
        <w:trPr>
          <w:cantSplit/>
        </w:trPr>
        <w:tc>
          <w:tcPr>
            <w:tcW w:type="dxa" w:w="2304"/>
            <w:vAlign w:val="top"/>
          </w:tcPr>
          <w:p>
            <w:pPr>
              <w:spacing w:after="40" w:before="0" w:line="259" w:lineRule="auto"/>
            </w:pPr>
            <w:r>
              <w:rPr>
                <w:rFonts w:ascii="Calibri" w:hAnsi="Calibri"/>
                <w:b/>
                <w:i w:val="0"/>
                <w:color w:val="212121"/>
                <w:sz w:val="19"/>
              </w:rPr>
              <w:t>Malaise / 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response to infection; marked, prolonged fatigue suggests infectious mononucleosis.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with streptococcal pharyngitis, particularly in children.</w:t>
            </w:r>
          </w:p>
        </w:tc>
      </w:tr>
      <w:tr>
        <w:trPr>
          <w:cantSplit/>
        </w:trPr>
        <w:tc>
          <w:tcPr>
            <w:tcW w:type="dxa" w:w="2304"/>
            <w:vAlign w:val="top"/>
          </w:tcPr>
          <w:p>
            <w:pPr>
              <w:spacing w:after="40" w:before="0" w:line="259" w:lineRule="auto"/>
            </w:pPr>
            <w:r>
              <w:rPr>
                <w:rFonts w:ascii="Calibri" w:hAnsi="Calibri"/>
                <w:b/>
                <w:i w:val="0"/>
                <w:color w:val="212121"/>
                <w:sz w:val="19"/>
              </w:rPr>
              <w:t>Referred earache (otalgia)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referred to the ear via the glossopharyngeal nerve; the ear itself is usually normal.</w:t>
            </w:r>
          </w:p>
        </w:tc>
      </w:tr>
      <w:tr>
        <w:trPr>
          <w:cantSplit/>
        </w:trPr>
        <w:tc>
          <w:tcPr>
            <w:tcW w:type="dxa" w:w="2304"/>
            <w:vAlign w:val="top"/>
          </w:tcPr>
          <w:p>
            <w:pPr>
              <w:spacing w:after="40" w:before="0" w:line="259" w:lineRule="auto"/>
            </w:pPr>
            <w:r>
              <w:rPr>
                <w:rFonts w:ascii="Calibri" w:hAnsi="Calibri"/>
                <w:b/>
                <w:i w:val="0"/>
                <w:color w:val="212121"/>
                <w:sz w:val="19"/>
              </w:rPr>
              <w:t>Tender / swollen neck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reactive cervical lymphadenopathy; markedly tender or enlarging nodes warrant review.</w:t>
            </w:r>
          </w:p>
        </w:tc>
      </w:tr>
      <w:tr>
        <w:trPr>
          <w:cantSplit/>
        </w:trPr>
        <w:tc>
          <w:tcPr>
            <w:tcW w:type="dxa" w:w="2304"/>
            <w:vAlign w:val="top"/>
          </w:tcPr>
          <w:p>
            <w:pPr>
              <w:spacing w:after="40" w:before="0" w:line="259" w:lineRule="auto"/>
            </w:pPr>
            <w:r>
              <w:rPr>
                <w:rFonts w:ascii="Calibri" w:hAnsi="Calibri"/>
                <w:b/>
                <w:i w:val="0"/>
                <w:color w:val="212121"/>
                <w:sz w:val="19"/>
              </w:rPr>
              <w:t>Cough &amp; coryza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 towards a viral cause and away from GAS; cough is an ‘absent’ Centor criterion.</w:t>
            </w:r>
          </w:p>
        </w:tc>
      </w:tr>
      <w:tr>
        <w:trPr>
          <w:cantSplit/>
        </w:trPr>
        <w:tc>
          <w:tcPr>
            <w:tcW w:type="dxa" w:w="2304"/>
            <w:vAlign w:val="top"/>
          </w:tcPr>
          <w:p>
            <w:pPr>
              <w:spacing w:after="40" w:before="0" w:line="259" w:lineRule="auto"/>
            </w:pPr>
            <w:r>
              <w:rPr>
                <w:rFonts w:ascii="Calibri" w:hAnsi="Calibri"/>
                <w:b/>
                <w:i w:val="0"/>
                <w:color w:val="212121"/>
                <w:sz w:val="19"/>
              </w:rPr>
              <w:t>Hoarseness / voice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laryngeal involvement, chronic irritant or reflux pharyngitis, or vocal overuse.</w:t>
            </w:r>
          </w:p>
        </w:tc>
      </w:tr>
      <w:tr>
        <w:trPr>
          <w:cantSplit/>
        </w:trPr>
        <w:tc>
          <w:tcPr>
            <w:tcW w:type="dxa" w:w="2304"/>
            <w:vAlign w:val="top"/>
          </w:tcPr>
          <w:p>
            <w:pPr>
              <w:spacing w:after="40" w:before="0" w:line="259" w:lineRule="auto"/>
            </w:pPr>
            <w:r>
              <w:rPr>
                <w:rFonts w:ascii="Calibri" w:hAnsi="Calibri"/>
                <w:b/>
                <w:i w:val="0"/>
                <w:color w:val="212121"/>
                <w:sz w:val="19"/>
              </w:rPr>
              <w:t>Nausea, vomiting or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Common accompaniment of streptococcal pharyngitis in children.</w:t>
            </w:r>
          </w:p>
        </w:tc>
      </w:tr>
      <w:tr>
        <w:trPr>
          <w:cantSplit/>
        </w:trPr>
        <w:tc>
          <w:tcPr>
            <w:tcW w:type="dxa" w:w="2304"/>
            <w:vAlign w:val="top"/>
          </w:tcPr>
          <w:p>
            <w:pPr>
              <w:spacing w:after="40" w:before="0" w:line="259" w:lineRule="auto"/>
            </w:pPr>
            <w:r>
              <w:rPr>
                <w:rFonts w:ascii="Calibri" w:hAnsi="Calibri"/>
                <w:b/>
                <w:i w:val="0"/>
                <w:color w:val="212121"/>
                <w:sz w:val="19"/>
              </w:rPr>
              <w:t>Halitosis &amp; globus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Bad breath and a lump-in-throat feeling, typical of chronic tonsillar disease and reflux.</w:t>
            </w:r>
          </w:p>
        </w:tc>
      </w:tr>
      <w:tr>
        <w:trPr>
          <w:cantSplit/>
        </w:trPr>
        <w:tc>
          <w:tcPr>
            <w:tcW w:type="dxa" w:w="2304"/>
            <w:vAlign w:val="top"/>
          </w:tcPr>
          <w:p>
            <w:pPr>
              <w:spacing w:after="40" w:before="0" w:line="259" w:lineRule="auto"/>
            </w:pPr>
            <w:r>
              <w:rPr>
                <w:rFonts w:ascii="Calibri" w:hAnsi="Calibri"/>
                <w:b/>
                <w:i w:val="0"/>
                <w:color w:val="212121"/>
                <w:sz w:val="19"/>
              </w:rPr>
              <w:t>Drooling / inability to swallow, muffled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symptom suggesting peritonsillar/retropharyngeal abscess or epiglottitis — needs urgent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Pharyngeal / oropharyngeal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Redness of the posterior pharyngeal wall and soft palate — the basic sign of pharyngitis.</w:t>
            </w:r>
          </w:p>
        </w:tc>
      </w:tr>
      <w:tr>
        <w:trPr>
          <w:cantSplit/>
        </w:trPr>
        <w:tc>
          <w:tcPr>
            <w:tcW w:type="dxa" w:w="3456"/>
            <w:vAlign w:val="top"/>
          </w:tcPr>
          <w:p>
            <w:pPr>
              <w:spacing w:after="40" w:before="0" w:line="259" w:lineRule="auto"/>
            </w:pPr>
            <w:r>
              <w:rPr>
                <w:rFonts w:ascii="Calibri" w:hAnsi="Calibri"/>
                <w:b/>
                <w:i w:val="0"/>
                <w:color w:val="212121"/>
                <w:sz w:val="19"/>
              </w:rPr>
              <w:t>Enlarged, erythematous tonsils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Tonsillar swelling, often with crypt debris; symmetrical in most infective pharyngitis.</w:t>
            </w:r>
          </w:p>
        </w:tc>
      </w:tr>
      <w:tr>
        <w:trPr>
          <w:cantSplit/>
        </w:trPr>
        <w:tc>
          <w:tcPr>
            <w:tcW w:type="dxa" w:w="3456"/>
            <w:vAlign w:val="top"/>
          </w:tcPr>
          <w:p>
            <w:pPr>
              <w:spacing w:after="40" w:before="0" w:line="259" w:lineRule="auto"/>
            </w:pPr>
            <w:r>
              <w:rPr>
                <w:rFonts w:ascii="Calibri" w:hAnsi="Calibri"/>
                <w:b/>
                <w:i w:val="0"/>
                <w:color w:val="212121"/>
                <w:sz w:val="19"/>
              </w:rPr>
              <w:t>Tonsillar / pharyngeal exudate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White-yellow patches; a Centor criterion but seen in both GAS and viral (e.g., EBV) causes.</w:t>
            </w:r>
          </w:p>
        </w:tc>
      </w:tr>
      <w:tr>
        <w:trPr>
          <w:cantSplit/>
        </w:trPr>
        <w:tc>
          <w:tcPr>
            <w:tcW w:type="dxa" w:w="3456"/>
            <w:vAlign w:val="top"/>
          </w:tcPr>
          <w:p>
            <w:pPr>
              <w:spacing w:after="40" w:before="0" w:line="259" w:lineRule="auto"/>
            </w:pPr>
            <w:r>
              <w:rPr>
                <w:rFonts w:ascii="Calibri" w:hAnsi="Calibri"/>
                <w:b/>
                <w:i w:val="0"/>
                <w:color w:val="212121"/>
                <w:sz w:val="19"/>
              </w:rPr>
              <w:t>Tender, enlarged anterior cervical lymph nodes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Reactive nodes; a Centor criterion favouring streptococcal infection.</w:t>
            </w:r>
          </w:p>
        </w:tc>
      </w:tr>
      <w:tr>
        <w:trPr>
          <w:cantSplit/>
        </w:trPr>
        <w:tc>
          <w:tcPr>
            <w:tcW w:type="dxa" w:w="3456"/>
            <w:vAlign w:val="top"/>
          </w:tcPr>
          <w:p>
            <w:pPr>
              <w:spacing w:after="40" w:before="0" w:line="259" w:lineRule="auto"/>
            </w:pPr>
            <w:r>
              <w:rPr>
                <w:rFonts w:ascii="Calibri" w:hAnsi="Calibri"/>
                <w:b/>
                <w:i w:val="0"/>
                <w:color w:val="212121"/>
                <w:sz w:val="19"/>
              </w:rPr>
              <w:t>Fever on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temperature &gt;38°C supports a bacterial cause and scores a Centor point.</w:t>
            </w:r>
          </w:p>
        </w:tc>
      </w:tr>
      <w:tr>
        <w:trPr>
          <w:cantSplit/>
        </w:trPr>
        <w:tc>
          <w:tcPr>
            <w:tcW w:type="dxa" w:w="3456"/>
            <w:vAlign w:val="top"/>
          </w:tcPr>
          <w:p>
            <w:pPr>
              <w:spacing w:after="40" w:before="0" w:line="259" w:lineRule="auto"/>
            </w:pPr>
            <w:r>
              <w:rPr>
                <w:rFonts w:ascii="Calibri" w:hAnsi="Calibri"/>
                <w:b/>
                <w:i w:val="0"/>
                <w:color w:val="212121"/>
                <w:sz w:val="19"/>
              </w:rPr>
              <w:t>Palatal petechiae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Pinpoint haemorrhages on the soft palate — relatively suggestive of streptococcal pharyngitis.</w:t>
            </w:r>
          </w:p>
        </w:tc>
      </w:tr>
      <w:tr>
        <w:trPr>
          <w:cantSplit/>
        </w:trPr>
        <w:tc>
          <w:tcPr>
            <w:tcW w:type="dxa" w:w="3456"/>
            <w:vAlign w:val="top"/>
          </w:tcPr>
          <w:p>
            <w:pPr>
              <w:spacing w:after="40" w:before="0" w:line="259" w:lineRule="auto"/>
            </w:pPr>
            <w:r>
              <w:rPr>
                <w:rFonts w:ascii="Calibri" w:hAnsi="Calibri"/>
                <w:b/>
                <w:i w:val="0"/>
                <w:color w:val="212121"/>
                <w:sz w:val="19"/>
              </w:rPr>
              <w:t>Strawberry tongue &amp; scarlatiniform rash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Sandpaper rash with a red, papillate tongue indicates scarlet fever (toxin-producing GAS).</w:t>
            </w:r>
          </w:p>
        </w:tc>
      </w:tr>
      <w:tr>
        <w:trPr>
          <w:cantSplit/>
        </w:trPr>
        <w:tc>
          <w:tcPr>
            <w:tcW w:type="dxa" w:w="3456"/>
            <w:vAlign w:val="top"/>
          </w:tcPr>
          <w:p>
            <w:pPr>
              <w:spacing w:after="40" w:before="0" w:line="259" w:lineRule="auto"/>
            </w:pPr>
            <w:r>
              <w:rPr>
                <w:rFonts w:ascii="Calibri" w:hAnsi="Calibri"/>
                <w:b/>
                <w:i w:val="0"/>
                <w:color w:val="212121"/>
                <w:sz w:val="19"/>
              </w:rPr>
              <w:t>Grey adherent pseudomembrane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tough greyish membrane that bleeds on removal, extending onto the palate — hallmark of diphtheria.</w:t>
            </w:r>
          </w:p>
        </w:tc>
      </w:tr>
      <w:tr>
        <w:trPr>
          <w:cantSplit/>
        </w:trPr>
        <w:tc>
          <w:tcPr>
            <w:tcW w:type="dxa" w:w="3456"/>
            <w:vAlign w:val="top"/>
          </w:tcPr>
          <w:p>
            <w:pPr>
              <w:spacing w:after="40" w:before="0" w:line="259" w:lineRule="auto"/>
            </w:pPr>
            <w:r>
              <w:rPr>
                <w:rFonts w:ascii="Calibri" w:hAnsi="Calibri"/>
                <w:b/>
                <w:i w:val="0"/>
                <w:color w:val="212121"/>
                <w:sz w:val="19"/>
              </w:rPr>
              <w:t>Oral vesicles / ulcers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Vesicles on the soft palate/tonsillar pillars (herpangina) or gingivostomatitis (HSV) indicate viral cause.</w:t>
            </w:r>
          </w:p>
        </w:tc>
      </w:tr>
      <w:tr>
        <w:trPr>
          <w:cantSplit/>
        </w:trPr>
        <w:tc>
          <w:tcPr>
            <w:tcW w:type="dxa" w:w="3456"/>
            <w:vAlign w:val="top"/>
          </w:tcPr>
          <w:p>
            <w:pPr>
              <w:spacing w:after="40" w:before="0" w:line="259" w:lineRule="auto"/>
            </w:pPr>
            <w:r>
              <w:rPr>
                <w:rFonts w:ascii="Calibri" w:hAnsi="Calibri"/>
                <w:b/>
                <w:i w:val="0"/>
                <w:color w:val="212121"/>
                <w:sz w:val="19"/>
              </w:rPr>
              <w:t>Posterior cervical lymphadenopathy ± 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Together with marked fatigue suggests infectious mononucleosis (EBV).</w:t>
            </w:r>
          </w:p>
        </w:tc>
      </w:tr>
      <w:tr>
        <w:trPr>
          <w:cantSplit/>
        </w:trPr>
        <w:tc>
          <w:tcPr>
            <w:tcW w:type="dxa" w:w="3456"/>
            <w:vAlign w:val="top"/>
          </w:tcPr>
          <w:p>
            <w:pPr>
              <w:spacing w:after="40" w:before="0" w:line="259" w:lineRule="auto"/>
            </w:pPr>
            <w:r>
              <w:rPr>
                <w:rFonts w:ascii="Calibri" w:hAnsi="Calibri"/>
                <w:b/>
                <w:i w:val="0"/>
                <w:color w:val="212121"/>
                <w:sz w:val="19"/>
              </w:rPr>
              <w:t>Trismus, uvular deviation &amp; ‘hot-potato’ voice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Unilateral peritonsillar swelling pushing the uvula across — sign of quinsy (peritonsillar abscess).</w:t>
            </w:r>
          </w:p>
        </w:tc>
      </w:tr>
      <w:tr>
        <w:trPr>
          <w:cantSplit/>
        </w:trPr>
        <w:tc>
          <w:tcPr>
            <w:tcW w:type="dxa" w:w="3456"/>
            <w:vAlign w:val="top"/>
          </w:tcPr>
          <w:p>
            <w:pPr>
              <w:spacing w:after="40" w:before="0" w:line="259" w:lineRule="auto"/>
            </w:pPr>
            <w:r>
              <w:rPr>
                <w:rFonts w:ascii="Calibri" w:hAnsi="Calibri"/>
                <w:b/>
                <w:i w:val="0"/>
                <w:color w:val="212121"/>
                <w:sz w:val="19"/>
              </w:rPr>
              <w:t>Stridor, drooling, tripod posture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Impending airway obstruction from epiglottitis or a deep-neck/diphtheritic process — an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Peritonsillar abscess (quinsy)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Retropharyngeal / parapharyngeal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otitis media and acute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lymphadenitis / suppurative adenitis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epiglottitis / supraglottitis with airway compromise</w:t>
            </w:r>
          </w:p>
        </w:tc>
        <w:tc>
          <w:tcPr>
            <w:tcW w:type="dxa" w:w="2980"/>
            <w:vAlign w:val="top"/>
          </w:tcPr>
          <w:p>
            <w:pPr>
              <w:spacing w:after="40" w:before="0" w:line="259" w:lineRule="auto"/>
            </w:pPr>
            <w:r>
              <w:rPr>
                <w:rFonts w:ascii="Calibri" w:hAnsi="Calibri"/>
                <w:b w:val="0"/>
                <w:i w:val="0"/>
                <w:color w:val="212121"/>
                <w:sz w:val="19"/>
              </w:rPr>
              <w:t>Local suppurative spread of infection from the inflamed pharynx and tonsils (about 1% of streptococcal cases)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Scarlet fever (toxin-mediated rash) from Group A strep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Lemierre’s syndrome — Fusobacterium septic jugular thrombophlebitis with metastatic emboli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 sepsis and streptococcal toxic shock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Diphtheritic airway obstruction and toxin-mediated myocarditis/neuropathy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from reduced oral intake, especially in children</w:t>
            </w:r>
          </w:p>
        </w:tc>
        <w:tc>
          <w:tcPr>
            <w:tcW w:type="dxa" w:w="2980"/>
            <w:vAlign w:val="top"/>
          </w:tcPr>
          <w:p>
            <w:pPr>
              <w:spacing w:after="40" w:before="0" w:line="259" w:lineRule="auto"/>
            </w:pPr>
            <w:r>
              <w:rPr>
                <w:rFonts w:ascii="Calibri" w:hAnsi="Calibri"/>
                <w:b w:val="0"/>
                <w:i w:val="0"/>
                <w:color w:val="212121"/>
                <w:sz w:val="19"/>
              </w:rPr>
              <w:t>Systemic spread, toxin effects and airway/hydration consequences in more severe or specific infections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rheumatic fever progressing to chronic rheumatic heart disease (valve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Post-streptococcal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Post-streptococcal reactive arthritis and PANDAS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 recurrent tonsillitis and obstructive adenotonsillar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Antimicrobial resistance driven by inappropriate antibiotic use for viral sore throat</w:t>
            </w:r>
          </w:p>
        </w:tc>
        <w:tc>
          <w:tcPr>
            <w:tcW w:type="dxa" w:w="2980"/>
            <w:vAlign w:val="top"/>
          </w:tcPr>
          <w:p>
            <w:pPr>
              <w:spacing w:after="40" w:before="0" w:line="259" w:lineRule="auto"/>
            </w:pPr>
            <w:r>
              <w:rPr>
                <w:rFonts w:ascii="Calibri" w:hAnsi="Calibri"/>
                <w:b w:val="0"/>
                <w:i w:val="0"/>
                <w:color w:val="212121"/>
                <w:sz w:val="19"/>
              </w:rPr>
              <w:t>Late immune-mediated sequelae of untreated Group A strep and population-level consequences of mismanagement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rheumatic fever (ARF)</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key non-suppurative sequela of Group A strep pharyngitis; molecular mimicry between streptococcal and host antigens triggers a delayed multisystem immune reaction. Timely antibiotic treatment of pharyngitis prevents most first attacks.</w:t>
            </w:r>
          </w:p>
        </w:tc>
      </w:tr>
      <w:tr>
        <w:trPr>
          <w:cantSplit/>
        </w:trPr>
        <w:tc>
          <w:tcPr>
            <w:tcW w:type="dxa" w:w="2232"/>
            <w:vAlign w:val="top"/>
          </w:tcPr>
          <w:p>
            <w:pPr>
              <w:spacing w:after="40" w:before="0" w:line="259" w:lineRule="auto"/>
            </w:pPr>
            <w:r>
              <w:rPr>
                <w:rFonts w:ascii="Calibri" w:hAnsi="Calibri"/>
                <w:b/>
                <w:i w:val="0"/>
                <w:color w:val="212121"/>
                <w:sz w:val="19"/>
              </w:rPr>
              <w:t>Rheumatic heart disease (RHD)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GAS pharyngitis and rheumatic fever cause progressive valve scarring; echocardiographic screening detects subclinical RHD in roughly 20 per 1,000 school children in high-burden Indian districts, and secondary penicillin prophylaxis is central to management.</w:t>
            </w:r>
          </w:p>
        </w:tc>
      </w:tr>
      <w:tr>
        <w:trPr>
          <w:cantSplit/>
        </w:trPr>
        <w:tc>
          <w:tcPr>
            <w:tcW w:type="dxa" w:w="2232"/>
            <w:vAlign w:val="top"/>
          </w:tcPr>
          <w:p>
            <w:pPr>
              <w:spacing w:after="40" w:before="0" w:line="259" w:lineRule="auto"/>
            </w:pPr>
            <w:r>
              <w:rPr>
                <w:rFonts w:ascii="Calibri" w:hAnsi="Calibri"/>
                <w:b/>
                <w:i w:val="0"/>
                <w:color w:val="212121"/>
                <w:sz w:val="19"/>
              </w:rPr>
              <w:t>Post-streptococcal glomerulonephritis (PSGN)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Immune-complex nephritis following pharyngeal (or skin) GAS infection, presenting with haematuria, oedema and hypertension 1–2 weeks later; unlike ARF it is not prevented reliably by antibiotics.</w:t>
            </w:r>
          </w:p>
        </w:tc>
      </w:tr>
      <w:tr>
        <w:trPr>
          <w:cantSplit/>
        </w:trPr>
        <w:tc>
          <w:tcPr>
            <w:tcW w:type="dxa" w:w="2232"/>
            <w:vAlign w:val="top"/>
          </w:tcPr>
          <w:p>
            <w:pPr>
              <w:spacing w:after="40" w:before="0" w:line="259" w:lineRule="auto"/>
            </w:pPr>
            <w:r>
              <w:rPr>
                <w:rFonts w:ascii="Calibri" w:hAnsi="Calibri"/>
                <w:b/>
                <w:i w:val="0"/>
                <w:color w:val="212121"/>
                <w:sz w:val="19"/>
              </w:rPr>
              <w:t>Acute tonsillitis / tonsillopharyngitis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Pharyngitis and tonsillitis usually coexist as tonsillopharyngitis, share pathogens and management, and recurrent tonsillitis may lead to tonsillectomy.</w:t>
            </w:r>
          </w:p>
        </w:tc>
      </w:tr>
      <w:tr>
        <w:trPr>
          <w:cantSplit/>
        </w:trPr>
        <w:tc>
          <w:tcPr>
            <w:tcW w:type="dxa" w:w="2232"/>
            <w:vAlign w:val="top"/>
          </w:tcPr>
          <w:p>
            <w:pPr>
              <w:spacing w:after="40" w:before="0" w:line="259" w:lineRule="auto"/>
            </w:pPr>
            <w:r>
              <w:rPr>
                <w:rFonts w:ascii="Calibri" w:hAnsi="Calibri"/>
                <w:b/>
                <w:i w:val="0"/>
                <w:color w:val="212121"/>
                <w:sz w:val="19"/>
              </w:rPr>
              <w:t>Peritonsillar abscess (quinsy)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commonest suppurative complication of bacterial tonsillopharyngitis, presenting with trismus, uvular deviation and a muffled voice; needs drainage.</w:t>
            </w:r>
          </w:p>
          <w:p>
            <w:pPr>
              <w:spacing w:after="40" w:before="0" w:line="259" w:lineRule="auto"/>
            </w:pPr>
            <w:r>
              <w:rPr>
                <w:rFonts w:ascii="Calibri" w:hAnsi="Calibri"/>
                <w:b/>
                <w:i w:val="0"/>
                <w:color w:val="212121"/>
                <w:sz w:val="19"/>
              </w:rPr>
              <w:t>~1% of streptococcal cases</w:t>
            </w:r>
          </w:p>
        </w:tc>
      </w:tr>
      <w:tr>
        <w:trPr>
          <w:cantSplit/>
        </w:trPr>
        <w:tc>
          <w:tcPr>
            <w:tcW w:type="dxa" w:w="2232"/>
            <w:vAlign w:val="top"/>
          </w:tcPr>
          <w:p>
            <w:pPr>
              <w:spacing w:after="40" w:before="0" w:line="259" w:lineRule="auto"/>
            </w:pPr>
            <w:r>
              <w:rPr>
                <w:rFonts w:ascii="Calibri" w:hAnsi="Calibri"/>
                <w:b/>
                <w:i w:val="0"/>
                <w:color w:val="212121"/>
                <w:sz w:val="19"/>
              </w:rPr>
              <w:t>Allergic rhinitis / post-nasal drip</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Allergic inflammation and post-nasal mucus cause chronic throat irritation that overlaps with, and predisposes to, infective pharyngitis.</w:t>
            </w:r>
          </w:p>
        </w:tc>
      </w:tr>
      <w:tr>
        <w:trPr>
          <w:cantSplit/>
        </w:trPr>
        <w:tc>
          <w:tcPr>
            <w:tcW w:type="dxa" w:w="2232"/>
            <w:vAlign w:val="top"/>
          </w:tcPr>
          <w:p>
            <w:pPr>
              <w:spacing w:after="40" w:before="0" w:line="259" w:lineRule="auto"/>
            </w:pPr>
            <w:r>
              <w:rPr>
                <w:rFonts w:ascii="Calibri" w:hAnsi="Calibri"/>
                <w:b/>
                <w:i w:val="0"/>
                <w:color w:val="212121"/>
                <w:sz w:val="19"/>
              </w:rPr>
              <w:t>GERD / laryngopharyngeal reflux</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Retrograde acid injures the posterior pharynx, a leading cause of chronic sore throat frequently mistaken for recurrent infection; treating reflux resolves symptoms.</w:t>
            </w:r>
          </w:p>
        </w:tc>
      </w:tr>
      <w:tr>
        <w:trPr>
          <w:cantSplit/>
        </w:trPr>
        <w:tc>
          <w:tcPr>
            <w:tcW w:type="dxa" w:w="2232"/>
            <w:vAlign w:val="top"/>
          </w:tcPr>
          <w:p>
            <w:pPr>
              <w:spacing w:after="40" w:before="0" w:line="259" w:lineRule="auto"/>
            </w:pPr>
            <w:r>
              <w:rPr>
                <w:rFonts w:ascii="Calibri" w:hAnsi="Calibri"/>
                <w:b/>
                <w:i w:val="0"/>
                <w:color w:val="212121"/>
                <w:sz w:val="19"/>
              </w:rPr>
              <w:t>Infectious mononucleosis (EBV)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viral cause of severe exudative pharyngitis with posterior nodes and splenomegaly; recognition matters because amoxicillin causes a rash and antibiotics are useless.</w:t>
            </w:r>
          </w:p>
        </w:tc>
      </w:tr>
      <w:tr>
        <w:trPr>
          <w:cantSplit/>
        </w:trPr>
        <w:tc>
          <w:tcPr>
            <w:tcW w:type="dxa" w:w="2232"/>
            <w:vAlign w:val="top"/>
          </w:tcPr>
          <w:p>
            <w:pPr>
              <w:spacing w:after="40" w:before="0" w:line="259" w:lineRule="auto"/>
            </w:pPr>
            <w:r>
              <w:rPr>
                <w:rFonts w:ascii="Calibri" w:hAnsi="Calibri"/>
                <w:b/>
                <w:i w:val="0"/>
                <w:color w:val="212121"/>
                <w:sz w:val="19"/>
              </w:rPr>
              <w:t>Diphtheria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Corynebacterium diphtheriae causes membranous pharyngitis in the under-immunised; a medical emergency needing antitoxin, and a differential that changes management entirely.</w:t>
            </w:r>
          </w:p>
        </w:tc>
      </w:tr>
      <w:tr>
        <w:trPr>
          <w:cantSplit/>
        </w:trPr>
        <w:tc>
          <w:tcPr>
            <w:tcW w:type="dxa" w:w="2232"/>
            <w:vAlign w:val="top"/>
          </w:tcPr>
          <w:p>
            <w:pPr>
              <w:spacing w:after="40" w:before="0" w:line="259" w:lineRule="auto"/>
            </w:pPr>
            <w:r>
              <w:rPr>
                <w:rFonts w:ascii="Calibri" w:hAnsi="Calibri"/>
                <w:b/>
                <w:i w:val="0"/>
                <w:color w:val="212121"/>
                <w:sz w:val="19"/>
              </w:rPr>
              <w:t>Adenotonsillar hypertrophy / 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Enlarged tonsils and adenoids predispose to recurrent pharyngitis, mouth-breathing and, in children, obstructive sleep-disordered breathing.</w:t>
            </w:r>
          </w:p>
        </w:tc>
      </w:tr>
      <w:tr>
        <w:trPr>
          <w:cantSplit/>
        </w:trPr>
        <w:tc>
          <w:tcPr>
            <w:tcW w:type="dxa" w:w="2232"/>
            <w:vAlign w:val="top"/>
          </w:tcPr>
          <w:p>
            <w:pPr>
              <w:spacing w:after="40" w:before="0" w:line="259" w:lineRule="auto"/>
            </w:pPr>
            <w:r>
              <w:rPr>
                <w:rFonts w:ascii="Calibri" w:hAnsi="Calibri"/>
                <w:b/>
                <w:i w:val="0"/>
                <w:color w:val="212121"/>
                <w:sz w:val="19"/>
              </w:rPr>
              <w:t>Scarlet fever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toxin-mediated presentation of Group A strep pharyngitis with a characteristic sandpaper rash and strawberry tongue.</w:t>
            </w:r>
          </w:p>
        </w:tc>
      </w:tr>
      <w:tr>
        <w:trPr>
          <w:cantSplit/>
        </w:trPr>
        <w:tc>
          <w:tcPr>
            <w:tcW w:type="dxa" w:w="2232"/>
            <w:vAlign w:val="top"/>
          </w:tcPr>
          <w:p>
            <w:pPr>
              <w:spacing w:after="40" w:before="0" w:line="259" w:lineRule="auto"/>
            </w:pPr>
            <w:r>
              <w:rPr>
                <w:rFonts w:ascii="Calibri" w:hAnsi="Calibri"/>
                <w:b/>
                <w:i w:val="0"/>
                <w:color w:val="212121"/>
                <w:sz w:val="19"/>
              </w:rPr>
              <w:t>Diabetes mellitus / immunocompromise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leads to more frequent, prolonged and complicated pharyngitis and adds opportunistic causes such as oropharyngeal candidiasis.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sore throats are viral and self-limiting, resolving in about a week; antibiotics do not help viral pharyngitis and should be avoided.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features that do need care — high or persistent fever, tonsillar pus with tender neck glands, inability to swallow or drooling, one-sided throat swelling, difficulty breathing or a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regularly, cover coughs and sneezes, and avoid sharing cups, utensils and towels to limit droplet spread within crowded homes and schools.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children’s DPT/Td immunisation up to date to prevent diphtheria, and complete the full course of prescribed antibiotics for confirmed streptococcal throat to prevent rheumatic fever.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anyone with prior rheumatic fever, adhere to long-term secondary penicillin prophylaxis and treat every streptococcal sore throat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symptomatic relief — warm saline gargles, adequate fluids, rest and appropriate analgesia (paracetamol/ibuprofen) — rather than demanding antibiotics.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hostel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ARF/RHD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Under-immunised families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aerobic activity (150–300 minutes/week) to support immune defence and lower the frequency of upper-respiratory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exhausting exertion and over-training, which transiently raise susceptibility to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recovery, hydration and nutrition around heavy physical work or sport.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phase and return to activity gradually once fever and pain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Strictly avoid contact sport and heavy exertion if infectious mononucleosis with splenomegaly is suspected, because of splenic-rupture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pharyngitis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Adolescents/young adults with EBV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returning to sport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micronutrient-rich diet (fruit, vegetables, adequate protein, zinc and vitamins A/C/D) to maintain mucosal and immune defence, especially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spicy, acidic, fried and very late-night meals in people prone to reflux-related chronic sore throat.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sharing food and drinks during outbreaks of throat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Reflux-prone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warm fluids, soups and honey (only in children over 1 year) and use warm saline gargles to soothe the throat.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soft, non-irritant foods and stay well hydrated to ease painful swallowing during an acute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reflux-related chronic pharyngitis, adopt anti-reflux measures — smaller meals, avoiding triggers, and not lying down for 2–3 hours after 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sore throat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over 1 year (honey)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Reflux/LPR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reduce susceptibility to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 timing, particularly for students, shift workers and caregivers of sick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Frequently-infected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Allow extra rest and sleep during an acute sore throat to aid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avoid late meals if reflux disturbs sleep and worsens the throat overnight.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pharyngitis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Reflux/LPR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active smoking and exposure to second-hand and biomass/solid-fuel smoke, which are major pharyngeal irritants and causes of chronic sore throat.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homes and vehicles smoke-free and improve kitchen ventilation to protect children and women from throat irritation and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Biomass-fuel-using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stopping reverses much of the chronic pharyngeal irritation and reduces recurrent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avoiding all smoke exposure during and after an acute episode to speed mucosal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pharyngitis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respiratory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as it irritates the pharyngeal mucosa and promotes reflux and immune 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smoking cessation, since the two together markedly aggravate chronic throat symptoms (and raise head-and-neck 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pharyngitis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an acute sore throat, as it worsens dehydration, irritation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sedating cold-and-throat remedies.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pharyngitis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using throat/cold medications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through relaxation, activity, social support and adequate sleep, since sustained stress modestly lowers antiviral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persistent throat-lump (globus) sensation is often stress- or reflux-related rather than infective, avoiding unnecessary antibiotics.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globus/functional throat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caregivers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acute pharyngitis is usually self-limiting, reducing anxiety and pressure for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health anxiety and reflux/globus symptoms with explanation, lifestyle measures and appropriate follow-up rather than repeated antibiotic courses.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attenders with throat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Globus/LPR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group-a-strep/hcp/clinical-guidance/strep-throat.html" TargetMode="External"/><Relationship Id="rId10" Type="http://schemas.openxmlformats.org/officeDocument/2006/relationships/hyperlink" Target="https://www.ncbi.nlm.nih.gov/books/NBK525997/" TargetMode="External"/><Relationship Id="rId11" Type="http://schemas.openxmlformats.org/officeDocument/2006/relationships/hyperlink" Target="https://www.apollohospitals.com/diseases-and-conditions/chronic-pharyngitis" TargetMode="External"/><Relationship Id="rId12" Type="http://schemas.openxmlformats.org/officeDocument/2006/relationships/hyperlink" Target="https://journals.plos.org/plosone/article?id=10.1371%2Fjournal.pone.0242107" TargetMode="External"/><Relationship Id="rId13" Type="http://schemas.openxmlformats.org/officeDocument/2006/relationships/hyperlink" Target="https://www.cambridge.org/core/journals/epidemiology-and-infection/article/streptococcal-group-a-c-and-g-pharyngitis-in-school-children-a-prospective-cohort-study-in-southern-india/F71C3F57A527964C9D7501B54A83A1CB" TargetMode="External"/><Relationship Id="rId14" Type="http://schemas.openxmlformats.org/officeDocument/2006/relationships/hyperlink" Target="https://www.ijmedri.com/article-archives-lll/diphtheria-overview-of-last-10-years-in-india" TargetMode="External"/><Relationship Id="rId15" Type="http://schemas.openxmlformats.org/officeDocument/2006/relationships/hyperlink" Target="https://www.scienceopen.com/document_file/0ee5f827-cc01-41bb-8819-25398b58c216/PubMedCentral/0ee5f827-cc01-41bb-8819-25398b58c216.pdf" TargetMode="External"/><Relationship Id="rId16" Type="http://schemas.openxmlformats.org/officeDocument/2006/relationships/hyperlink" Target="https://biomedpharmajournal.org/vol12no2/patterns-of-antimicrobial-therapy-for-sore-throat-in-a-teaching-hospital-of-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