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Drug-Resistant Tuberculosis (MDR/XDR-TB)</w:t>
      </w:r>
    </w:p>
    <w:p>
      <w:pPr>
        <w:spacing w:before="0" w:after="160"/>
      </w:pPr>
      <w:r>
        <w:rPr>
          <w:rFonts w:ascii="Calibri" w:hAnsi="Calibri"/>
          <w:b/>
          <w:i w:val="0"/>
          <w:color w:val="212121"/>
          <w:sz w:val="22"/>
        </w:rPr>
        <w:t xml:space="preserve">AKA </w:t>
      </w:r>
      <w:r>
        <w:rPr>
          <w:rFonts w:ascii="Calibri" w:hAnsi="Calibri"/>
          <w:b w:val="0"/>
          <w:i w:val="0"/>
          <w:color w:val="212121"/>
          <w:sz w:val="22"/>
        </w:rPr>
        <w:t>i.e., Multidrug-Resistant TB (MDR-TB), Rifampicin-Resistant TB (RR-TB), Pre-XDR-TB, Extensively Drug-Resistant TB (XDR-TB), Difficult-to-treat TB, DR-TB</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Drug-resistant tuberculosis (DR-TB) is active tuberculosis caused by strains of Mycobacterium tuberculosis that are resistant to one or more of the anti-TB medicines used to treat the disease. Multidrug-resistant TB (MDR-TB) denotes resistance to at least the two most powerful first-line drugs, isoniazid and rifampicin; rifampicin-resistant TB (RR-TB) is managed on the same pathway. Resistance may be primary (a resistant strain is transmitted directly) or acquired (it develops during inadequate or interrupted treatment). As resistance extends to fluoroquinolones and the most potent second-line agents, the disease becomes pre-XDR and then extensively drug-resistant (XDR) TB, which is harder, longer and more toxic to treat.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 carries the world's largest burden of drug-resistant TB, accounting for an estimated 27% of global MDR/RR-TB incident cases in 2023 (WHO Global TB Report 2024). India's first National Anti-TB Drug Resistance Survey found MDR-TB in 6.19% of all TB patients — 2.84% of new and 11.60% of previously treated cases — with resistance to any anti-TB drug in 28.0% of patients, and additional fluoroquinolone resistance in about 21.8% of MDR-TB. Under the National TB Elimination Programme, 63,929 MDR/RR-TB, 11,749 pre-XDR and 114 XDR-TB patients were diagnosed in 2023, of whom around 58,500 (about 92%) were started on second-line treatment.</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Drug-resistant TB is diagnosed by first confirming Mycobacterium tuberculosis and then demonstrating resistance to specific drugs by rapid molecular and/or culture-based drug-susceptibility testing (DST). Under India's Universal DST policy, every diagnosed TB patient should have at least rifampicin-resistance testing at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bacteriological confirmation of M. tuberculosis by smear microscopy, culture, or a WHO-recommended rapid molecular test;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rifampicin resistance detected by a rapid molecular test (Xpert MTB/RIF or MTB/RIF Ultra, or Truenat MTB-RIF Dx) — the programmatic entry point (RR-TB);</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isoniazid plus rifampicin resistance confirmed by first-line Line Probe Assay (FL-LPA) or phenotypic DST — defining MDR-TB;</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fluoroquinolone resistance on second-line LPA (SL-LPA) or phenotypic DST — defining pre-XDR-TB;</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fluoroquinolone resistance plus resistance to at least one Group A drug (bedaquiline or linezolid) — defining XDR-TB;</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liquid-culture (MGIT) phenotypic DST as the reference standard, with targeted next-generation sequencing / whole-genome sequencing increasingly used for a comprehensive resistance profile.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Drug-resistant TB is classified by the pattern of confirmed drug resistance, along a spectrum of increasing severity (WHO 2021 definitions), and separately by the origin of resistance:</w:t>
      </w:r>
    </w:p>
    <w:p>
      <w:pPr>
        <w:spacing w:before="0" w:after="80"/>
      </w:pPr>
      <w:r>
        <w:rPr>
          <w:rFonts w:ascii="Calibri" w:hAnsi="Calibri"/>
          <w:b w:val="0"/>
          <w:i w:val="0"/>
          <w:color w:val="212121"/>
          <w:sz w:val="21"/>
        </w:rPr>
        <w:t>(1) Isoniazid-resistant, rifampicin-susceptible TB (Hr-TB / H mono- or poly-resistant), managed with a levofloxacin-strengthened regimen;</w:t>
      </w:r>
    </w:p>
    <w:p>
      <w:pPr>
        <w:spacing w:before="0" w:after="80"/>
      </w:pPr>
      <w:r>
        <w:rPr>
          <w:rFonts w:ascii="Calibri" w:hAnsi="Calibri"/>
          <w:b w:val="0"/>
          <w:i w:val="0"/>
          <w:color w:val="212121"/>
          <w:sz w:val="21"/>
        </w:rPr>
        <w:t>(2) Rifampicin-resistant TB (RR-TB) — resistance to rifampicin with or without resistance to other drugs; treated on the DR-TB pathway;</w:t>
      </w:r>
    </w:p>
    <w:p>
      <w:pPr>
        <w:spacing w:before="0" w:after="80"/>
      </w:pPr>
      <w:r>
        <w:rPr>
          <w:rFonts w:ascii="Calibri" w:hAnsi="Calibri"/>
          <w:b w:val="0"/>
          <w:i w:val="0"/>
          <w:color w:val="212121"/>
          <w:sz w:val="21"/>
        </w:rPr>
        <w:t>(3) Multidrug-resistant TB (MDR-TB) — resistance to at least both isoniazid and rifampicin;</w:t>
      </w:r>
    </w:p>
    <w:p>
      <w:pPr>
        <w:spacing w:before="0" w:after="80"/>
      </w:pPr>
      <w:r>
        <w:rPr>
          <w:rFonts w:ascii="Calibri" w:hAnsi="Calibri"/>
          <w:b w:val="0"/>
          <w:i w:val="0"/>
          <w:color w:val="212121"/>
          <w:sz w:val="21"/>
        </w:rPr>
        <w:t>(4) Pre-extensively drug-resistant TB (pre-XDR-TB) — MDR/RR-TB that is additionally resistant to any fluoroquinolone;</w:t>
      </w:r>
    </w:p>
    <w:p>
      <w:pPr>
        <w:spacing w:before="0" w:after="80"/>
      </w:pPr>
      <w:r>
        <w:rPr>
          <w:rFonts w:ascii="Calibri" w:hAnsi="Calibri"/>
          <w:b w:val="0"/>
          <w:i w:val="0"/>
          <w:color w:val="212121"/>
          <w:sz w:val="21"/>
        </w:rPr>
        <w:t>(5) Extensively drug-resistant TB (XDR-TB) — MDR/RR-TB with fluoroquinolone resistance plus resistance to at least one Group A drug (bedaquiline or linezolid);</w:t>
      </w:r>
    </w:p>
    <w:p>
      <w:pPr>
        <w:spacing w:before="0" w:after="80"/>
      </w:pPr>
      <w:r>
        <w:rPr>
          <w:rFonts w:ascii="Calibri" w:hAnsi="Calibri"/>
          <w:b w:val="0"/>
          <w:i w:val="0"/>
          <w:color w:val="212121"/>
          <w:sz w:val="21"/>
        </w:rPr>
        <w:t>and, by origin: primary (initial) resistance, transmitted from an already-resistant source case, versus acquired (secondary) resistance, which emerges during inadequate or interrupted therapy.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Inadequate or interrupted treatment: Missed doses, incomplete regimens, functional monotherapy, sub-therapeutic drug levels and malabsorption allow resistant mutants to be selected — the principal cause of acquired resistance.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Transmission of resistant strains: Airborne spread of already-resistant M. tuberculosis from infectious DR-TB cases in households, workplaces and congregate settings drives primary resistance.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Previous anti-TB treatment: A history of prior TB treatment or treatment failure is the single strongest clinical risk factor for MDR-TB.</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Health-system factors: Delayed diagnosis, lack of/limited access to DST, drug stock-outs, poor-quality drugs and weak adherence support all promote resistance.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Host factors: HIV, diabetes, undernutrition and alcohol use reduce immunity and/or drug exposure, favouring bacillary survival and resistance amplification.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Microbial factors: Spontaneous chromosomal mutations (e.g., rpoB for rifampicin; katG/inhA for isoniazid; gyrA/gyrB for fluoroquinolones) are selected under drug pressure.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(economically active, 15–45 years)</w:t>
            </w:r>
          </w:p>
        </w:tc>
        <w:tc>
          <w:tcPr>
            <w:tcW w:type="dxa" w:w="4276"/>
            <w:vAlign w:val="top"/>
          </w:tcPr>
          <w:p>
            <w:pPr>
              <w:spacing w:after="60" w:line="259" w:lineRule="auto"/>
            </w:pPr>
            <w:r>
              <w:rPr>
                <w:rFonts w:ascii="Calibri" w:hAnsi="Calibri"/>
                <w:b w:val="0"/>
                <w:i w:val="0"/>
                <w:color w:val="212121"/>
                <w:sz w:val="19"/>
              </w:rPr>
              <w:t>Working-age adults bear the majority of the DR-TB burden through the highest exposure in crowded workplaces and transport, high transmission intensity, and greater prior treatment exposure. This is also the group most affected by catastrophic costs and loss to follow-up.</w:t>
            </w:r>
          </w:p>
          <w:p>
            <w:pPr>
              <w:spacing w:after="40" w:before="60" w:line="259" w:lineRule="auto"/>
            </w:pPr>
            <w:r>
              <w:rPr>
                <w:rFonts w:ascii="Calibri" w:hAnsi="Calibri"/>
                <w:b w:val="0"/>
                <w:i w:val="0"/>
                <w:color w:val="212121"/>
                <w:sz w:val="19"/>
              </w:rPr>
              <w:t>In a large South Indian DR-TB series, the majority of MDR-TB cases occurred in the 15–45 year age group, with an overall MDR-TB prevalence of 5.4%.</w:t>
            </w:r>
          </w:p>
          <w:p>
            <w:pPr>
              <w:spacing w:after="40" w:line="252" w:lineRule="auto"/>
            </w:pPr>
            <w:hyperlink r:id="rId9">
              <w:r>
                <w:rPr>
                  <w:rFonts w:ascii="Calibri" w:hAnsi="Calibri" w:cs="Calibri"/>
                  <w:sz w:val="18"/>
                  <w:color w:val="1155CC"/>
                  <w:u w:val="single"/>
                </w:rPr>
                <w:t xml:space="preserve">nature.com — MDR-TB in South India</w:t>
              </w:r>
            </w:hyperlink>
          </w:p>
          <w:p>
            <w:pPr>
              <w:spacing w:before="60" w:after="40"/>
            </w:pPr>
            <w:r>
              <w:rPr>
                <w:rFonts w:ascii="Calibri" w:hAnsi="Calibri"/>
                <w:b w:val="0"/>
                <w:i w:val="0"/>
                <w:color w:val="5A5A5A"/>
                <w:sz w:val="18"/>
              </w:rPr>
              <w:t>#MDRTB  #workingage  #transmission  #catastrophiccosts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more often have reactivation of long-standing infection, a history of prior (sometimes incomplete) TB treatment, comorbidities (diabetes, COPD) and reduced drug tolerance, all of which raise the risk of harbouring and poorly clearing resistant strains.</w:t>
            </w:r>
          </w:p>
          <w:p>
            <w:pPr>
              <w:spacing w:after="40" w:before="60" w:line="259" w:lineRule="auto"/>
            </w:pPr>
            <w:r>
              <w:rPr>
                <w:rFonts w:ascii="Calibri" w:hAnsi="Calibri"/>
                <w:b w:val="0"/>
                <w:i w:val="0"/>
                <w:color w:val="212121"/>
                <w:sz w:val="19"/>
              </w:rPr>
              <w:t>Previously treated patients carry markedly higher MDR-TB risk (11.6% vs 2.84% in new cases in India's national survey), and prior treatment concentrates in older age groups.</w:t>
            </w:r>
          </w:p>
          <w:p>
            <w:pPr>
              <w:spacing w:after="40" w:line="252" w:lineRule="auto"/>
            </w:pPr>
            <w:hyperlink r:id="rId10">
              <w:r>
                <w:rPr>
                  <w:rFonts w:ascii="Calibri" w:hAnsi="Calibri" w:cs="Calibri"/>
                  <w:sz w:val="18"/>
                  <w:color w:val="1155CC"/>
                  <w:u w:val="single"/>
                </w:rPr>
                <w:t xml:space="preserve">infectiologyjournal.com — India NDRS</w:t>
              </w:r>
            </w:hyperlink>
          </w:p>
          <w:p>
            <w:pPr>
              <w:spacing w:before="60" w:after="40"/>
            </w:pPr>
            <w:r>
              <w:rPr>
                <w:rFonts w:ascii="Calibri" w:hAnsi="Calibri"/>
                <w:b w:val="0"/>
                <w:i w:val="0"/>
                <w:color w:val="5A5A5A"/>
                <w:sz w:val="18"/>
              </w:rPr>
              <w:t>#elderly  #reactivation  #retreatment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predominate among notified DR-TB cases in India, reflecting greater outdoor exposure, higher rates of smoking and alcohol use, and occupational crowding; women, however, may face delayed diagnosis due to access barriers.</w:t>
            </w:r>
          </w:p>
          <w:p>
            <w:pPr>
              <w:spacing w:after="40" w:before="60" w:line="259" w:lineRule="auto"/>
            </w:pPr>
            <w:r>
              <w:rPr>
                <w:rFonts w:ascii="Calibri" w:hAnsi="Calibri"/>
                <w:b w:val="0"/>
                <w:i w:val="0"/>
                <w:color w:val="212121"/>
                <w:sz w:val="19"/>
              </w:rPr>
              <w:t>Around 85% of patients in a large South Indian second-line DST cohort were male; interestingly, after adjustment female sex carried a modestly higher odds of MDR-TB (AOR ~1.32).</w:t>
            </w:r>
          </w:p>
          <w:p>
            <w:pPr>
              <w:spacing w:after="40" w:line="252" w:lineRule="auto"/>
            </w:pPr>
            <w:hyperlink r:id="rId9">
              <w:r>
                <w:rPr>
                  <w:rFonts w:ascii="Calibri" w:hAnsi="Calibri" w:cs="Calibri"/>
                  <w:sz w:val="18"/>
                  <w:color w:val="1155CC"/>
                  <w:u w:val="single"/>
                </w:rPr>
                <w:t xml:space="preserve">nature.com — MDR-TB in South India</w:t>
              </w:r>
            </w:hyperlink>
          </w:p>
          <w:p>
            <w:pPr>
              <w:spacing w:before="60" w:after="40"/>
            </w:pPr>
            <w:r>
              <w:rPr>
                <w:rFonts w:ascii="Calibri" w:hAnsi="Calibri"/>
                <w:b w:val="0"/>
                <w:i w:val="0"/>
                <w:color w:val="5A5A5A"/>
                <w:sz w:val="18"/>
              </w:rPr>
              <w:t>#malepredominance  #smoking  #alcohol  #accessbarriers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Poor / below-poverty-line, multidimensionally deprived</w:t>
            </w:r>
          </w:p>
        </w:tc>
        <w:tc>
          <w:tcPr>
            <w:tcW w:type="dxa" w:w="4276"/>
            <w:vAlign w:val="top"/>
          </w:tcPr>
          <w:p>
            <w:pPr>
              <w:spacing w:after="60" w:line="259" w:lineRule="auto"/>
            </w:pPr>
            <w:r>
              <w:rPr>
                <w:rFonts w:ascii="Calibri" w:hAnsi="Calibri"/>
                <w:b w:val="0"/>
                <w:i w:val="0"/>
                <w:color w:val="212121"/>
                <w:sz w:val="19"/>
              </w:rPr>
              <w:t>Poverty clusters overcrowding, undernutrition, indoor air pollution, delayed care-seeking and interrupted treatment — the exact conditions that generate and transmit resistant strains. Out-of-pocket costs also drive default that fuels acquired resistance.</w:t>
            </w:r>
          </w:p>
          <w:p>
            <w:pPr>
              <w:spacing w:after="40" w:before="60" w:line="259" w:lineRule="auto"/>
            </w:pPr>
            <w:r>
              <w:rPr>
                <w:rFonts w:ascii="Calibri" w:hAnsi="Calibri"/>
                <w:b w:val="0"/>
                <w:i w:val="0"/>
                <w:color w:val="212121"/>
                <w:sz w:val="19"/>
              </w:rPr>
              <w:t>In India, the multidimensionally poor have ~1.82 times higher odds of TB (480 vs 250 per 100,000) compared with the non-poor.</w:t>
            </w:r>
          </w:p>
          <w:p>
            <w:pPr>
              <w:spacing w:after="40" w:line="252" w:lineRule="auto"/>
            </w:pPr>
            <w:hyperlink r:id="rId11">
              <w:r>
                <w:rPr>
                  <w:rFonts w:ascii="Calibri" w:hAnsi="Calibri" w:cs="Calibri"/>
                  <w:sz w:val="18"/>
                  <w:color w:val="1155CC"/>
                  <w:u w:val="single"/>
                </w:rPr>
                <w:t xml:space="preserve">bmc — multidimensional poverty &amp; TB in India</w:t>
              </w:r>
            </w:hyperlink>
          </w:p>
          <w:p>
            <w:pPr>
              <w:spacing w:before="60" w:after="40"/>
            </w:pPr>
            <w:r>
              <w:rPr>
                <w:rFonts w:ascii="Calibri" w:hAnsi="Calibri"/>
                <w:b w:val="0"/>
                <w:i w:val="0"/>
                <w:color w:val="5A5A5A"/>
                <w:sz w:val="18"/>
              </w:rPr>
              <w:t>#poverty  #overcrowding  #outofpocket  #default</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settlement</w:t>
            </w:r>
          </w:p>
        </w:tc>
        <w:tc>
          <w:tcPr>
            <w:tcW w:type="dxa" w:w="2160"/>
            <w:vAlign w:val="top"/>
          </w:tcPr>
          <w:p>
            <w:pPr>
              <w:spacing w:after="40" w:before="0" w:line="259" w:lineRule="auto"/>
            </w:pPr>
            <w:r>
              <w:rPr>
                <w:rFonts w:ascii="Calibri" w:hAnsi="Calibri"/>
                <w:b w:val="0"/>
                <w:i w:val="0"/>
                <w:color w:val="212121"/>
                <w:sz w:val="19"/>
              </w:rPr>
              <w:t>Urban slum dwellers, high-burden states</w:t>
            </w:r>
          </w:p>
        </w:tc>
        <w:tc>
          <w:tcPr>
            <w:tcW w:type="dxa" w:w="4276"/>
            <w:vAlign w:val="top"/>
          </w:tcPr>
          <w:p>
            <w:pPr>
              <w:spacing w:after="60" w:line="259" w:lineRule="auto"/>
            </w:pPr>
            <w:r>
              <w:rPr>
                <w:rFonts w:ascii="Calibri" w:hAnsi="Calibri"/>
                <w:b w:val="0"/>
                <w:i w:val="0"/>
                <w:color w:val="212121"/>
                <w:sz w:val="19"/>
              </w:rPr>
              <w:t>Densely packed, poorly ventilated urban slums in metropolitan India sustain intense airborne transmission, including of resistant strains, while migration and fragmented private-sector care interrupt treatment and amplify resistance.</w:t>
            </w:r>
          </w:p>
          <w:p>
            <w:pPr>
              <w:spacing w:after="40" w:before="60" w:line="259" w:lineRule="auto"/>
            </w:pPr>
            <w:r>
              <w:rPr>
                <w:rFonts w:ascii="Calibri" w:hAnsi="Calibri"/>
                <w:b w:val="0"/>
                <w:i w:val="0"/>
                <w:color w:val="212121"/>
                <w:sz w:val="19"/>
              </w:rPr>
              <w:t>TB prevalence in the slums of India's major metros is substantially above the national average, driven by crowding and socio-economic deprivation.</w:t>
            </w:r>
          </w:p>
          <w:p>
            <w:pPr>
              <w:spacing w:before="60" w:after="40"/>
            </w:pPr>
            <w:r>
              <w:rPr>
                <w:rFonts w:ascii="Calibri" w:hAnsi="Calibri"/>
                <w:b w:val="0"/>
                <w:i w:val="0"/>
                <w:color w:val="5A5A5A"/>
                <w:sz w:val="18"/>
              </w:rPr>
              <w:t>#urbanslum  #ventilation  #migration  #privatehealthcare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Congregate settings</w:t>
            </w:r>
          </w:p>
        </w:tc>
        <w:tc>
          <w:tcPr>
            <w:tcW w:type="dxa" w:w="2160"/>
            <w:vAlign w:val="top"/>
          </w:tcPr>
          <w:p>
            <w:pPr>
              <w:spacing w:after="40" w:before="0" w:line="259" w:lineRule="auto"/>
            </w:pPr>
            <w:r>
              <w:rPr>
                <w:rFonts w:ascii="Calibri" w:hAnsi="Calibri"/>
                <w:b w:val="0"/>
                <w:i w:val="0"/>
                <w:color w:val="212121"/>
                <w:sz w:val="19"/>
              </w:rPr>
              <w:t>Prisoners, healthcare workers, mine/factory workers</w:t>
            </w:r>
          </w:p>
        </w:tc>
        <w:tc>
          <w:tcPr>
            <w:tcW w:type="dxa" w:w="4276"/>
            <w:vAlign w:val="top"/>
          </w:tcPr>
          <w:p>
            <w:pPr>
              <w:spacing w:after="60" w:line="259" w:lineRule="auto"/>
            </w:pPr>
            <w:r>
              <w:rPr>
                <w:rFonts w:ascii="Calibri" w:hAnsi="Calibri"/>
                <w:b w:val="0"/>
                <w:i w:val="0"/>
                <w:color w:val="212121"/>
                <w:sz w:val="19"/>
              </w:rPr>
              <w:t>Prolonged shared airspace in prisons, hospitals, shelters and industrial workplaces concentrates exposure to infectious (including resistant) cases; silica-exposed workers additionally have impaired lung defences.</w:t>
            </w:r>
          </w:p>
          <w:p>
            <w:pPr>
              <w:spacing w:after="40" w:before="60" w:line="259" w:lineRule="auto"/>
            </w:pPr>
            <w:r>
              <w:rPr>
                <w:rFonts w:ascii="Calibri" w:hAnsi="Calibri"/>
                <w:b w:val="0"/>
                <w:i w:val="0"/>
                <w:color w:val="212121"/>
                <w:sz w:val="19"/>
              </w:rPr>
              <w:t>Congregate and occupationally exposed populations show DR-TB rates well above the community background, reflecting repeated close-contact transmission.</w:t>
            </w:r>
          </w:p>
          <w:p>
            <w:pPr>
              <w:spacing w:before="60" w:after="40"/>
            </w:pPr>
            <w:r>
              <w:rPr>
                <w:rFonts w:ascii="Calibri" w:hAnsi="Calibri"/>
                <w:b w:val="0"/>
                <w:i w:val="0"/>
                <w:color w:val="5A5A5A"/>
                <w:sz w:val="18"/>
              </w:rPr>
              <w:t>#congregate  #prisons  #healthcareworkers  #nosocomial</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and past tobacco smokers</w:t>
            </w:r>
          </w:p>
        </w:tc>
        <w:tc>
          <w:tcPr>
            <w:tcW w:type="dxa" w:w="4276"/>
            <w:vAlign w:val="top"/>
          </w:tcPr>
          <w:p>
            <w:pPr>
              <w:spacing w:after="60" w:line="259" w:lineRule="auto"/>
            </w:pPr>
            <w:r>
              <w:rPr>
                <w:rFonts w:ascii="Calibri" w:hAnsi="Calibri"/>
                <w:b w:val="0"/>
                <w:i w:val="0"/>
                <w:color w:val="212121"/>
                <w:sz w:val="19"/>
              </w:rPr>
              <w:t>Tobacco smoke impairs mucociliary clearance and alveolar macrophage killing, promotes cavitary disease with high bacillary load, and is associated with delayed sputum conversion, higher relapse and poorer DR-TB treatment outcomes.</w:t>
            </w:r>
          </w:p>
          <w:p>
            <w:pPr>
              <w:spacing w:after="40" w:before="60" w:line="259" w:lineRule="auto"/>
            </w:pPr>
            <w:r>
              <w:rPr>
                <w:rFonts w:ascii="Calibri" w:hAnsi="Calibri"/>
                <w:b w:val="0"/>
                <w:i w:val="0"/>
                <w:color w:val="212121"/>
                <w:sz w:val="19"/>
              </w:rPr>
              <w:t>About 11% of TB patients screened in India's programme were identified as tobacco users; smoking is consistently linked to cavitation and unfavourable TB outcomes.</w:t>
            </w:r>
          </w:p>
          <w:p>
            <w:pPr>
              <w:spacing w:before="60" w:after="40"/>
            </w:pPr>
            <w:r>
              <w:rPr>
                <w:rFonts w:ascii="Calibri" w:hAnsi="Calibri"/>
                <w:b w:val="0"/>
                <w:i w:val="0"/>
                <w:color w:val="5A5A5A"/>
                <w:sz w:val="18"/>
              </w:rPr>
              <w:t>#smoking  #cavitation  #delayedconversion  #relapse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Alcohol use disorder / heavy drinkers</w:t>
            </w:r>
          </w:p>
        </w:tc>
        <w:tc>
          <w:tcPr>
            <w:tcW w:type="dxa" w:w="4276"/>
            <w:vAlign w:val="top"/>
          </w:tcPr>
          <w:p>
            <w:pPr>
              <w:spacing w:after="60" w:line="259" w:lineRule="auto"/>
            </w:pPr>
            <w:r>
              <w:rPr>
                <w:rFonts w:ascii="Calibri" w:hAnsi="Calibri"/>
                <w:b w:val="0"/>
                <w:i w:val="0"/>
                <w:color w:val="212121"/>
                <w:sz w:val="19"/>
              </w:rPr>
              <w:t>Heavy alcohol use undermines adherence to long, toxic DR-TB regimens, drives loss to follow-up, worsens undernutrition and adds hepatotoxicity that forces dose interruption — all promoting acquired resistance and unfavourable outcomes.</w:t>
            </w:r>
          </w:p>
          <w:p>
            <w:pPr>
              <w:spacing w:after="40" w:before="60" w:line="259" w:lineRule="auto"/>
            </w:pPr>
            <w:r>
              <w:rPr>
                <w:rFonts w:ascii="Calibri" w:hAnsi="Calibri"/>
                <w:b w:val="0"/>
                <w:i w:val="0"/>
                <w:color w:val="212121"/>
                <w:sz w:val="19"/>
              </w:rPr>
              <w:t>Around 7% of TB patients screened in India's programme were flagged as alcohol users; alcohol use is a recognised predictor of treatment interruption and unfavourable MDR-TB outcomes.</w:t>
            </w:r>
          </w:p>
          <w:p>
            <w:pPr>
              <w:spacing w:before="60" w:after="40"/>
            </w:pPr>
            <w:r>
              <w:rPr>
                <w:rFonts w:ascii="Calibri" w:hAnsi="Calibri"/>
                <w:b w:val="0"/>
                <w:i w:val="0"/>
                <w:color w:val="5A5A5A"/>
                <w:sz w:val="18"/>
              </w:rPr>
              <w:t>#alcohol  #nonadherence  #losstofollowup  #hepatotoxicity</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Undernutrition</w:t>
            </w:r>
          </w:p>
        </w:tc>
        <w:tc>
          <w:tcPr>
            <w:tcW w:type="dxa" w:w="2160"/>
            <w:vAlign w:val="top"/>
          </w:tcPr>
          <w:p>
            <w:pPr>
              <w:spacing w:after="40" w:before="0" w:line="259" w:lineRule="auto"/>
            </w:pPr>
            <w:r>
              <w:rPr>
                <w:rFonts w:ascii="Calibri" w:hAnsi="Calibri"/>
                <w:b w:val="0"/>
                <w:i w:val="0"/>
                <w:color w:val="212121"/>
                <w:sz w:val="19"/>
              </w:rPr>
              <w:t>Underweight adults (low BMI)</w:t>
            </w:r>
          </w:p>
        </w:tc>
        <w:tc>
          <w:tcPr>
            <w:tcW w:type="dxa" w:w="4276"/>
            <w:vAlign w:val="top"/>
          </w:tcPr>
          <w:p>
            <w:pPr>
              <w:spacing w:after="60" w:line="259" w:lineRule="auto"/>
            </w:pPr>
            <w:r>
              <w:rPr>
                <w:rFonts w:ascii="Calibri" w:hAnsi="Calibri"/>
                <w:b w:val="0"/>
                <w:i w:val="0"/>
                <w:color w:val="212121"/>
                <w:sz w:val="19"/>
              </w:rPr>
              <w:t>Undernutrition is both a cause and a consequence of TB: it weakens cell-mediated immunity, lowers anti-TB drug exposure and independently predicts treatment failure, relapse and death, including in drug-resistant disease.</w:t>
            </w:r>
          </w:p>
          <w:p>
            <w:pPr>
              <w:spacing w:after="40" w:before="60" w:line="259" w:lineRule="auto"/>
            </w:pPr>
            <w:r>
              <w:rPr>
                <w:rFonts w:ascii="Calibri" w:hAnsi="Calibri"/>
                <w:b w:val="0"/>
                <w:i w:val="0"/>
                <w:color w:val="212121"/>
                <w:sz w:val="19"/>
              </w:rPr>
              <w:t>In a multicentre Indian cohort, severe undernutrition at diagnosis was strongly associated with higher TB mortality and unfavourable outcomes.</w:t>
            </w:r>
          </w:p>
          <w:p>
            <w:pPr>
              <w:spacing w:after="40" w:line="252" w:lineRule="auto"/>
            </w:pPr>
            <w:hyperlink r:id="rId12">
              <w:r>
                <w:rPr>
                  <w:rFonts w:ascii="Calibri" w:hAnsi="Calibri" w:cs="Calibri"/>
                  <w:sz w:val="18"/>
                  <w:color w:val="1155CC"/>
                  <w:u w:val="single"/>
                </w:rPr>
                <w:t xml:space="preserve">cid — undernutrition &amp; TB outcomes in India</w:t>
              </w:r>
            </w:hyperlink>
          </w:p>
          <w:p>
            <w:pPr>
              <w:spacing w:before="60" w:after="40"/>
            </w:pPr>
            <w:r>
              <w:rPr>
                <w:rFonts w:ascii="Calibri" w:hAnsi="Calibri"/>
                <w:b w:val="0"/>
                <w:i w:val="0"/>
                <w:color w:val="5A5A5A"/>
                <w:sz w:val="18"/>
              </w:rPr>
              <w:t>#undernutrition  #lowBMI  #immunity  #mortality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status</w:t>
            </w:r>
          </w:p>
        </w:tc>
        <w:tc>
          <w:tcPr>
            <w:tcW w:type="dxa" w:w="2160"/>
            <w:vAlign w:val="top"/>
          </w:tcPr>
          <w:p>
            <w:pPr>
              <w:spacing w:after="40" w:before="0" w:line="259" w:lineRule="auto"/>
            </w:pPr>
            <w:r>
              <w:rPr>
                <w:rFonts w:ascii="Calibri" w:hAnsi="Calibri"/>
                <w:b w:val="0"/>
                <w:i w:val="0"/>
                <w:color w:val="212121"/>
                <w:sz w:val="19"/>
              </w:rPr>
              <w:t>Micronutrient-deficient diets (vitamin D, zinc, iron)</w:t>
            </w:r>
          </w:p>
        </w:tc>
        <w:tc>
          <w:tcPr>
            <w:tcW w:type="dxa" w:w="4276"/>
            <w:vAlign w:val="top"/>
          </w:tcPr>
          <w:p>
            <w:pPr>
              <w:spacing w:after="60" w:line="259" w:lineRule="auto"/>
            </w:pPr>
            <w:r>
              <w:rPr>
                <w:rFonts w:ascii="Calibri" w:hAnsi="Calibri"/>
                <w:b w:val="0"/>
                <w:i w:val="0"/>
                <w:color w:val="212121"/>
                <w:sz w:val="19"/>
              </w:rPr>
              <w:t>Monotonous cereal-based diets low in protein and micronutrients (vitamin D, zinc, iron, vitamin A) impair granuloma function and antimycobacterial immunity, slowing clearance and recovery in DR-TB.</w:t>
            </w:r>
          </w:p>
          <w:p>
            <w:pPr>
              <w:spacing w:after="40" w:before="60" w:line="259" w:lineRule="auto"/>
            </w:pPr>
            <w:r>
              <w:rPr>
                <w:rFonts w:ascii="Calibri" w:hAnsi="Calibri"/>
                <w:b w:val="0"/>
                <w:i w:val="0"/>
                <w:color w:val="212121"/>
                <w:sz w:val="19"/>
              </w:rPr>
              <w:t>Micronutrient deficiency is widespread among Indian TB patients and is associated with poorer nutritional recovery and outcomes during treatment.</w:t>
            </w:r>
          </w:p>
          <w:p>
            <w:pPr>
              <w:spacing w:before="60" w:after="40"/>
            </w:pPr>
            <w:r>
              <w:rPr>
                <w:rFonts w:ascii="Calibri" w:hAnsi="Calibri"/>
                <w:b w:val="0"/>
                <w:i w:val="0"/>
                <w:color w:val="5A5A5A"/>
                <w:sz w:val="18"/>
              </w:rPr>
              <w:t>#micronutrients  #vitaminD  #zinc  #proteindeficiency</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Close contact / family history</w:t>
            </w:r>
          </w:p>
        </w:tc>
        <w:tc>
          <w:tcPr>
            <w:tcW w:type="dxa" w:w="2160"/>
            <w:vAlign w:val="top"/>
          </w:tcPr>
          <w:p>
            <w:pPr>
              <w:spacing w:after="40" w:before="0" w:line="259" w:lineRule="auto"/>
            </w:pPr>
            <w:r>
              <w:rPr>
                <w:rFonts w:ascii="Calibri" w:hAnsi="Calibri"/>
                <w:b w:val="0"/>
                <w:i w:val="0"/>
                <w:color w:val="212121"/>
                <w:sz w:val="19"/>
              </w:rPr>
              <w:t>Household contacts of a DR-TB case</w:t>
            </w:r>
          </w:p>
        </w:tc>
        <w:tc>
          <w:tcPr>
            <w:tcW w:type="dxa" w:w="4276"/>
            <w:vAlign w:val="top"/>
          </w:tcPr>
          <w:p>
            <w:pPr>
              <w:spacing w:after="60" w:line="259" w:lineRule="auto"/>
            </w:pPr>
            <w:r>
              <w:rPr>
                <w:rFonts w:ascii="Calibri" w:hAnsi="Calibri"/>
                <w:b w:val="0"/>
                <w:i w:val="0"/>
                <w:color w:val="212121"/>
                <w:sz w:val="19"/>
              </w:rPr>
              <w:t>Living with a person with infectious drug-resistant TB is a powerful risk factor for primary resistant infection, because the transmitted strain is already resistant before any treatment begins.</w:t>
            </w:r>
          </w:p>
          <w:p>
            <w:pPr>
              <w:spacing w:after="40" w:before="60" w:line="259" w:lineRule="auto"/>
            </w:pPr>
            <w:r>
              <w:rPr>
                <w:rFonts w:ascii="Calibri" w:hAnsi="Calibri"/>
                <w:b w:val="0"/>
                <w:i w:val="0"/>
                <w:color w:val="212121"/>
                <w:sz w:val="19"/>
              </w:rPr>
              <w:t>Contact with a known MDR-TB case was among the strongest independent predictors of MDR-TB in South India (adjusted OR ~3.17).</w:t>
            </w:r>
          </w:p>
          <w:p>
            <w:pPr>
              <w:spacing w:after="40" w:line="252" w:lineRule="auto"/>
            </w:pPr>
            <w:hyperlink r:id="rId9">
              <w:r>
                <w:rPr>
                  <w:rFonts w:ascii="Calibri" w:hAnsi="Calibri" w:cs="Calibri"/>
                  <w:sz w:val="18"/>
                  <w:color w:val="1155CC"/>
                  <w:u w:val="single"/>
                </w:rPr>
                <w:t xml:space="preserve">nature.com — MDR-TB in South India</w:t>
              </w:r>
            </w:hyperlink>
          </w:p>
          <w:p>
            <w:pPr>
              <w:spacing w:before="60" w:after="40"/>
            </w:pPr>
            <w:r>
              <w:rPr>
                <w:rFonts w:ascii="Calibri" w:hAnsi="Calibri"/>
                <w:b w:val="0"/>
                <w:i w:val="0"/>
                <w:color w:val="5A5A5A"/>
                <w:sz w:val="18"/>
              </w:rPr>
              <w:t>#householdcontact  #primaryresistance  #transmission  #contacttracing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Host genetic susceptibility</w:t>
            </w:r>
          </w:p>
        </w:tc>
        <w:tc>
          <w:tcPr>
            <w:tcW w:type="dxa" w:w="2160"/>
            <w:vAlign w:val="top"/>
          </w:tcPr>
          <w:p>
            <w:pPr>
              <w:spacing w:after="40" w:before="0" w:line="259" w:lineRule="auto"/>
            </w:pPr>
            <w:r>
              <w:rPr>
                <w:rFonts w:ascii="Calibri" w:hAnsi="Calibri"/>
                <w:b w:val="0"/>
                <w:i w:val="0"/>
                <w:color w:val="212121"/>
                <w:sz w:val="19"/>
              </w:rPr>
              <w:t>Individuals with impaired immune/metabolic genetics</w:t>
            </w:r>
          </w:p>
        </w:tc>
        <w:tc>
          <w:tcPr>
            <w:tcW w:type="dxa" w:w="4276"/>
            <w:vAlign w:val="top"/>
          </w:tcPr>
          <w:p>
            <w:pPr>
              <w:spacing w:after="60" w:line="259" w:lineRule="auto"/>
            </w:pPr>
            <w:r>
              <w:rPr>
                <w:rFonts w:ascii="Calibri" w:hAnsi="Calibri"/>
                <w:b w:val="0"/>
                <w:i w:val="0"/>
                <w:color w:val="212121"/>
                <w:sz w:val="19"/>
              </w:rPr>
              <w:t>Host genetic variation — for example in vitamin D receptor, HLA, and drug-metabolising enzymes such as NAT2 (isoniazid) — influences susceptibility to TB, drug levels and toxicity, indirectly shaping the risk of poor response and resistance.</w:t>
            </w:r>
          </w:p>
          <w:p>
            <w:pPr>
              <w:spacing w:after="40" w:before="60" w:line="259" w:lineRule="auto"/>
            </w:pPr>
            <w:r>
              <w:rPr>
                <w:rFonts w:ascii="Calibri" w:hAnsi="Calibri"/>
                <w:b w:val="0"/>
                <w:i w:val="0"/>
                <w:color w:val="212121"/>
                <w:sz w:val="19"/>
              </w:rPr>
              <w:t>Slow NAT2 acetylators reach different isoniazid exposures, a pharmacogenomic factor relevant to both toxicity and the emergence of resistance.</w:t>
            </w:r>
          </w:p>
          <w:p>
            <w:pPr>
              <w:spacing w:before="60" w:after="40"/>
            </w:pPr>
            <w:r>
              <w:rPr>
                <w:rFonts w:ascii="Calibri" w:hAnsi="Calibri"/>
                <w:b w:val="0"/>
                <w:i w:val="0"/>
                <w:color w:val="5A5A5A"/>
                <w:sz w:val="18"/>
              </w:rPr>
              <w:t>#pharmacogenomics  #NAT2  #VDR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Previously treated TB</w:t>
            </w:r>
          </w:p>
        </w:tc>
        <w:tc>
          <w:tcPr>
            <w:tcW w:type="dxa" w:w="2160"/>
            <w:vAlign w:val="top"/>
          </w:tcPr>
          <w:p>
            <w:pPr>
              <w:spacing w:after="40" w:before="0" w:line="259" w:lineRule="auto"/>
            </w:pPr>
            <w:r>
              <w:rPr>
                <w:rFonts w:ascii="Calibri" w:hAnsi="Calibri"/>
                <w:b w:val="0"/>
                <w:i w:val="0"/>
                <w:color w:val="212121"/>
                <w:sz w:val="19"/>
              </w:rPr>
              <w:t>Retreatment / treatment-failure patients</w:t>
            </w:r>
          </w:p>
        </w:tc>
        <w:tc>
          <w:tcPr>
            <w:tcW w:type="dxa" w:w="4276"/>
            <w:vAlign w:val="top"/>
          </w:tcPr>
          <w:p>
            <w:pPr>
              <w:spacing w:after="60" w:line="259" w:lineRule="auto"/>
            </w:pPr>
            <w:r>
              <w:rPr>
                <w:rFonts w:ascii="Calibri" w:hAnsi="Calibri"/>
                <w:b w:val="0"/>
                <w:i w:val="0"/>
                <w:color w:val="212121"/>
                <w:sz w:val="19"/>
              </w:rPr>
              <w:t>Prior anti-TB therapy — especially treatment failure or relapse — both selects for resistant mutants and identifies patients likely to have already acquired resistance; it is the dominant clinical predictor of MDR-TB.</w:t>
            </w:r>
          </w:p>
          <w:p>
            <w:pPr>
              <w:spacing w:after="40" w:before="60" w:line="259" w:lineRule="auto"/>
            </w:pPr>
            <w:r>
              <w:rPr>
                <w:rFonts w:ascii="Calibri" w:hAnsi="Calibri"/>
                <w:b w:val="0"/>
                <w:i w:val="0"/>
                <w:color w:val="212121"/>
                <w:sz w:val="19"/>
              </w:rPr>
              <w:t>A worldwide meta-analysis found previous anti-TB therapy raised MDR-TB odds about 5.4-fold (OR 5.43, 95% CI 3.47–8.49) and previous TB disease about 6-fold.</w:t>
            </w:r>
          </w:p>
          <w:p>
            <w:pPr>
              <w:spacing w:after="40" w:line="252" w:lineRule="auto"/>
            </w:pPr>
            <w:hyperlink r:id="rId13">
              <w:r>
                <w:rPr>
                  <w:rFonts w:ascii="Calibri" w:hAnsi="Calibri" w:cs="Calibri"/>
                  <w:sz w:val="18"/>
                  <w:color w:val="1155CC"/>
                  <w:u w:val="single"/>
                </w:rPr>
                <w:t xml:space="preserve">plos one — MDR-TB risk factors meta-analysis</w:t>
              </w:r>
            </w:hyperlink>
          </w:p>
          <w:p>
            <w:pPr>
              <w:spacing w:before="60" w:after="40"/>
            </w:pPr>
            <w:r>
              <w:rPr>
                <w:rFonts w:ascii="Calibri" w:hAnsi="Calibri"/>
                <w:b w:val="0"/>
                <w:i w:val="0"/>
                <w:color w:val="5A5A5A"/>
                <w:sz w:val="18"/>
              </w:rPr>
              <w:t>#retreatment  #treatmentfailure  #acquiredresistance  #relapse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 (esp. poorly controlled)</w:t>
            </w:r>
          </w:p>
        </w:tc>
        <w:tc>
          <w:tcPr>
            <w:tcW w:type="dxa" w:w="4276"/>
            <w:vAlign w:val="top"/>
          </w:tcPr>
          <w:p>
            <w:pPr>
              <w:spacing w:after="60" w:line="259" w:lineRule="auto"/>
            </w:pPr>
            <w:r>
              <w:rPr>
                <w:rFonts w:ascii="Calibri" w:hAnsi="Calibri"/>
                <w:b w:val="0"/>
                <w:i w:val="0"/>
                <w:color w:val="212121"/>
                <w:sz w:val="19"/>
              </w:rPr>
              <w:t>Hyperglycaemia impairs macrophage and T-cell function, increases cavitary disease and bacillary load, alters anti-TB drug pharmacokinetics and delays sputum conversion — raising the risk of resistance and poor outcomes. India's dual TB–diabetes epidemic makes this especially important.</w:t>
            </w:r>
          </w:p>
          <w:p>
            <w:pPr>
              <w:spacing w:after="40" w:before="60" w:line="259" w:lineRule="auto"/>
            </w:pPr>
            <w:r>
              <w:rPr>
                <w:rFonts w:ascii="Calibri" w:hAnsi="Calibri"/>
                <w:b w:val="0"/>
                <w:i w:val="0"/>
                <w:color w:val="212121"/>
                <w:sz w:val="19"/>
              </w:rPr>
              <w:t>A meta-analysis found diabetes independently increased MDR-TB odds (pooled OR 1.71, 95% CI 1.32–2.22); India reported about 1.02 lakh TB patients with diabetes.</w:t>
            </w:r>
          </w:p>
          <w:p>
            <w:pPr>
              <w:spacing w:after="40" w:line="252" w:lineRule="auto"/>
            </w:pPr>
            <w:hyperlink r:id="rId14">
              <w:r>
                <w:rPr>
                  <w:rFonts w:ascii="Calibri" w:hAnsi="Calibri" w:cs="Calibri"/>
                  <w:sz w:val="18"/>
                  <w:color w:val="1155CC"/>
                  <w:u w:val="single"/>
                </w:rPr>
                <w:t xml:space="preserve">nature.com — diabetes &amp; MDR-TB meta-analysis</w:t>
              </w:r>
            </w:hyperlink>
          </w:p>
          <w:p>
            <w:pPr>
              <w:spacing w:before="60" w:after="40"/>
            </w:pPr>
            <w:r>
              <w:rPr>
                <w:rFonts w:ascii="Calibri" w:hAnsi="Calibri"/>
                <w:b w:val="0"/>
                <w:i w:val="0"/>
                <w:color w:val="5A5A5A"/>
                <w:sz w:val="18"/>
              </w:rPr>
              <w:t>#diabetes  #dualepidemic  #hyperglycaemia  #delayedconversion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infection</w:t>
            </w:r>
          </w:p>
        </w:tc>
        <w:tc>
          <w:tcPr>
            <w:tcW w:type="dxa" w:w="2160"/>
            <w:vAlign w:val="top"/>
          </w:tcPr>
          <w:p>
            <w:pPr>
              <w:spacing w:after="40" w:before="0" w:line="259" w:lineRule="auto"/>
            </w:pPr>
            <w:r>
              <w:rPr>
                <w:rFonts w:ascii="Calibri" w:hAnsi="Calibri"/>
                <w:b w:val="0"/>
                <w:i w:val="0"/>
                <w:color w:val="212121"/>
                <w:sz w:val="19"/>
              </w:rPr>
              <w:t>People living with HIV/AIDS</w:t>
            </w:r>
          </w:p>
        </w:tc>
        <w:tc>
          <w:tcPr>
            <w:tcW w:type="dxa" w:w="4276"/>
            <w:vAlign w:val="top"/>
          </w:tcPr>
          <w:p>
            <w:pPr>
              <w:spacing w:after="60" w:line="259" w:lineRule="auto"/>
            </w:pPr>
            <w:r>
              <w:rPr>
                <w:rFonts w:ascii="Calibri" w:hAnsi="Calibri"/>
                <w:b w:val="0"/>
                <w:i w:val="0"/>
                <w:color w:val="212121"/>
                <w:sz w:val="19"/>
              </w:rPr>
              <w:t>HIV-related immunosuppression greatly increases progression to active TB, favours rapid transmission and reactivation, and complicates DR-TB with drug interactions and overlapping toxicities, worsening outcomes.</w:t>
            </w:r>
          </w:p>
          <w:p>
            <w:pPr>
              <w:spacing w:after="40" w:before="60" w:line="259" w:lineRule="auto"/>
            </w:pPr>
            <w:r>
              <w:rPr>
                <w:rFonts w:ascii="Calibri" w:hAnsi="Calibri"/>
                <w:b w:val="0"/>
                <w:i w:val="0"/>
                <w:color w:val="212121"/>
                <w:sz w:val="19"/>
              </w:rPr>
              <w:t>MDR-TB prevalence among people living with HIV in Western India was 12.5% overall (8.8% new, 23.1% relapse); HIV raises the risk of developing TB roughly 20-fold.</w:t>
            </w:r>
          </w:p>
          <w:p>
            <w:pPr>
              <w:spacing w:after="40" w:line="252" w:lineRule="auto"/>
            </w:pPr>
            <w:hyperlink r:id="rId15">
              <w:r>
                <w:rPr>
                  <w:rFonts w:ascii="Calibri" w:hAnsi="Calibri" w:cs="Calibri"/>
                  <w:sz w:val="18"/>
                  <w:color w:val="1155CC"/>
                  <w:u w:val="single"/>
                </w:rPr>
                <w:t xml:space="preserve">bmc — MDR-TB in PLHIV, Western India</w:t>
              </w:r>
            </w:hyperlink>
          </w:p>
          <w:p>
            <w:pPr>
              <w:spacing w:before="60" w:after="40"/>
            </w:pPr>
            <w:r>
              <w:rPr>
                <w:rFonts w:ascii="Calibri" w:hAnsi="Calibri"/>
                <w:b w:val="0"/>
                <w:i w:val="0"/>
                <w:color w:val="5A5A5A"/>
                <w:sz w:val="18"/>
              </w:rPr>
              <w:t>#HIV  #immunosuppression  #coinfection  #druginteractions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Silicosis / chronic lung disease</w:t>
            </w:r>
          </w:p>
        </w:tc>
        <w:tc>
          <w:tcPr>
            <w:tcW w:type="dxa" w:w="2160"/>
            <w:vAlign w:val="top"/>
          </w:tcPr>
          <w:p>
            <w:pPr>
              <w:spacing w:after="40" w:before="0" w:line="259" w:lineRule="auto"/>
            </w:pPr>
            <w:r>
              <w:rPr>
                <w:rFonts w:ascii="Calibri" w:hAnsi="Calibri"/>
                <w:b w:val="0"/>
                <w:i w:val="0"/>
                <w:color w:val="212121"/>
                <w:sz w:val="19"/>
              </w:rPr>
              <w:t>Silica-exposed and COPD patients</w:t>
            </w:r>
          </w:p>
        </w:tc>
        <w:tc>
          <w:tcPr>
            <w:tcW w:type="dxa" w:w="4276"/>
            <w:vAlign w:val="top"/>
          </w:tcPr>
          <w:p>
            <w:pPr>
              <w:spacing w:after="60" w:line="259" w:lineRule="auto"/>
            </w:pPr>
            <w:r>
              <w:rPr>
                <w:rFonts w:ascii="Calibri" w:hAnsi="Calibri"/>
                <w:b w:val="0"/>
                <w:i w:val="0"/>
                <w:color w:val="212121"/>
                <w:sz w:val="19"/>
              </w:rPr>
              <w:t>Silica particles cripple alveolar macrophages, producing silicotuberculosis with high relapse and treatment-failure rates; chronic structural lung disease similarly harbours bacilli and favours resistance emergence.</w:t>
            </w:r>
          </w:p>
          <w:p>
            <w:pPr>
              <w:spacing w:after="40" w:before="60" w:line="259" w:lineRule="auto"/>
            </w:pPr>
            <w:r>
              <w:rPr>
                <w:rFonts w:ascii="Calibri" w:hAnsi="Calibri"/>
                <w:b w:val="0"/>
                <w:i w:val="0"/>
                <w:color w:val="212121"/>
                <w:sz w:val="19"/>
              </w:rPr>
              <w:t>Silicosis multiplies the risk of active and poorly controlled TB several-fold, and silicotuberculosis is notoriously difficult to cure, predisposing to resistance.</w:t>
            </w:r>
          </w:p>
          <w:p>
            <w:pPr>
              <w:spacing w:before="60" w:after="40"/>
            </w:pPr>
            <w:r>
              <w:rPr>
                <w:rFonts w:ascii="Calibri" w:hAnsi="Calibri"/>
                <w:b w:val="0"/>
                <w:i w:val="0"/>
                <w:color w:val="5A5A5A"/>
                <w:sz w:val="18"/>
              </w:rPr>
              <w:t>#silicosis  #silicotuberculosis  #COPD  #occupationallung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activity does not itself cause resistance, but advanced cavitary DR-TB produces severe deconditioning and post-TB lung disease; graded activity and pulmonary rehabilitation improve functional recovery and reduce long-term disability.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Undernutrition (low BMI) is the largest population-attributable driver of TB in India and independently predicts treatment failure, relapse and death in DR-TB; low drug exposure in wasted patients can also favour resistance amplification.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Fatigue and disturbed sleep are common in chronic DR-TB and with drug toxicity, but sleep has no established causal role in resistance; adequate rest supports immune function and recovery.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 smoking impairs mucociliary clearance and macrophage killing, promotes cavitation and high bacillary load, and is linked to delayed sputum conversion, relapse and poorer DR-TB outcomes.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use disorder is a strong predictor of treatment interruption, loss to follow-up and unfavourable MDR-TB outcomes, and adds hepatotoxicity that forces dose interruption — all promoting acquired resistance.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anxiety and stigma are frequent in DR-TB and undermine adherence to long, toxic regimens; linezolid, cycloserine and fluoroquinolones can themselves cause neuropsychiatric effects that must be monitored.</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Safe water and sanitation act indirectly through better nutrition and fewer co-infections; there is no direct link between hydration and drug resistance.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meaningful relationship with TB drug resistance; relevance is limited to minor cytochrome-mediated interactions and to caffeine as a marker of lifestyle rather than a causal factor.</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Cough/respiratory hygiene, household and hospital ventilation, and infection-control measures reduce airborne transmission of resistant strains to family members, health workers and other contacts.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Inadequate, interrupted or poor-quality treatment — missed doses, functional monotherapy, sub-therapeutic levels and malabsorption — is the principal driver of acquired drug resistance under selective pressure.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All DR-TB patients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(underweight); &lt; 16 (severe)</w:t>
            </w:r>
          </w:p>
        </w:tc>
        <w:tc>
          <w:tcPr>
            <w:tcW w:type="dxa" w:w="1468"/>
            <w:vAlign w:val="top"/>
          </w:tcPr>
          <w:p>
            <w:pPr>
              <w:spacing w:after="60" w:line="259" w:lineRule="auto"/>
            </w:pPr>
            <w:r>
              <w:rPr>
                <w:rFonts w:ascii="Calibri" w:hAnsi="Calibri"/>
                <w:b w:val="0"/>
                <w:i w:val="0"/>
                <w:color w:val="212121"/>
                <w:sz w:val="19"/>
              </w:rPr>
              <w:t>Low BMI at diagnosis predicts failure, relapse and death; triggers nutritional support</w:t>
            </w:r>
          </w:p>
          <w:p>
            <w:pPr>
              <w:spacing w:after="40" w:line="252" w:lineRule="auto"/>
            </w:pPr>
            <w:hyperlink r:id="rId12">
              <w:r>
                <w:rPr>
                  <w:rFonts w:ascii="Calibri" w:hAnsi="Calibri" w:cs="Calibri"/>
                  <w:sz w:val="18"/>
                  <w:color w:val="1155CC"/>
                  <w:u w:val="single"/>
                </w:rPr>
                <w:t xml:space="preserve">https://academic.oup.com/cid/article/76/8/1483/6845775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Mid-Upper Arm Circumference (MUAC)</w:t>
            </w:r>
          </w:p>
        </w:tc>
        <w:tc>
          <w:tcPr>
            <w:tcW w:type="dxa" w:w="1655"/>
            <w:vAlign w:val="top"/>
          </w:tcPr>
          <w:p>
            <w:pPr>
              <w:spacing w:after="40" w:before="0" w:line="259" w:lineRule="auto"/>
            </w:pPr>
            <w:r>
              <w:rPr>
                <w:rFonts w:ascii="Calibri" w:hAnsi="Calibri"/>
                <w:b w:val="0"/>
                <w:i w:val="0"/>
                <w:color w:val="212121"/>
                <w:sz w:val="19"/>
              </w:rPr>
              <w:t>Adults with TB</w:t>
            </w:r>
          </w:p>
        </w:tc>
        <w:tc>
          <w:tcPr>
            <w:tcW w:type="dxa" w:w="1512"/>
            <w:vAlign w:val="top"/>
          </w:tcPr>
          <w:p>
            <w:pPr>
              <w:spacing w:after="40" w:before="0" w:line="259" w:lineRule="auto"/>
            </w:pPr>
            <w:r>
              <w:rPr>
                <w:rFonts w:ascii="Calibri" w:hAnsi="Calibri"/>
                <w:b w:val="0"/>
                <w:i w:val="0"/>
                <w:color w:val="212121"/>
                <w:sz w:val="19"/>
              </w:rPr>
              <w:t>≥ 23 cm</w:t>
            </w:r>
          </w:p>
        </w:tc>
        <w:tc>
          <w:tcPr>
            <w:tcW w:type="dxa" w:w="1512"/>
            <w:vAlign w:val="top"/>
          </w:tcPr>
          <w:p>
            <w:pPr>
              <w:spacing w:after="40" w:before="0" w:line="259" w:lineRule="auto"/>
            </w:pPr>
            <w:r>
              <w:rPr>
                <w:rFonts w:ascii="Calibri" w:hAnsi="Calibri"/>
                <w:b w:val="0"/>
                <w:i w:val="0"/>
                <w:color w:val="212121"/>
                <w:sz w:val="19"/>
              </w:rPr>
              <w:t>&lt; 19 cm (severe undernutrition)</w:t>
            </w:r>
          </w:p>
        </w:tc>
        <w:tc>
          <w:tcPr>
            <w:tcW w:type="dxa" w:w="1468"/>
            <w:vAlign w:val="top"/>
          </w:tcPr>
          <w:p>
            <w:pPr>
              <w:spacing w:after="40" w:before="0" w:line="259" w:lineRule="auto"/>
            </w:pPr>
            <w:r>
              <w:rPr>
                <w:rFonts w:ascii="Calibri" w:hAnsi="Calibri"/>
                <w:b w:val="0"/>
                <w:i w:val="0"/>
                <w:color w:val="212121"/>
                <w:sz w:val="19"/>
              </w:rPr>
              <w:t>Bedside marker of wasting; guides intensified nutrition therapy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albumin (g/dL)</w:t>
            </w:r>
          </w:p>
        </w:tc>
        <w:tc>
          <w:tcPr>
            <w:tcW w:type="dxa" w:w="1655"/>
            <w:vAlign w:val="top"/>
          </w:tcPr>
          <w:p>
            <w:pPr>
              <w:spacing w:after="40" w:before="0" w:line="259" w:lineRule="auto"/>
            </w:pPr>
            <w:r>
              <w:rPr>
                <w:rFonts w:ascii="Calibri" w:hAnsi="Calibri"/>
                <w:b w:val="0"/>
                <w:i w:val="0"/>
                <w:color w:val="212121"/>
                <w:sz w:val="19"/>
              </w:rPr>
              <w:t>DR-TB, undernourished</w:t>
            </w:r>
          </w:p>
        </w:tc>
        <w:tc>
          <w:tcPr>
            <w:tcW w:type="dxa" w:w="1512"/>
            <w:vAlign w:val="top"/>
          </w:tcPr>
          <w:p>
            <w:pPr>
              <w:spacing w:after="40" w:before="0" w:line="259" w:lineRule="auto"/>
            </w:pPr>
            <w:r>
              <w:rPr>
                <w:rFonts w:ascii="Calibri" w:hAnsi="Calibri"/>
                <w:b w:val="0"/>
                <w:i w:val="0"/>
                <w:color w:val="212121"/>
                <w:sz w:val="19"/>
              </w:rPr>
              <w:t>3.5–5.0 g/dL</w:t>
            </w:r>
          </w:p>
        </w:tc>
        <w:tc>
          <w:tcPr>
            <w:tcW w:type="dxa" w:w="1512"/>
            <w:vAlign w:val="top"/>
          </w:tcPr>
          <w:p>
            <w:pPr>
              <w:spacing w:after="40" w:before="0" w:line="259" w:lineRule="auto"/>
            </w:pPr>
            <w:r>
              <w:rPr>
                <w:rFonts w:ascii="Calibri" w:hAnsi="Calibri"/>
                <w:b w:val="0"/>
                <w:i w:val="0"/>
                <w:color w:val="212121"/>
                <w:sz w:val="19"/>
              </w:rPr>
              <w:t>&lt; 3.5 g/dL</w:t>
            </w:r>
          </w:p>
        </w:tc>
        <w:tc>
          <w:tcPr>
            <w:tcW w:type="dxa" w:w="1468"/>
            <w:vAlign w:val="top"/>
          </w:tcPr>
          <w:p>
            <w:pPr>
              <w:spacing w:after="40" w:before="0" w:line="259" w:lineRule="auto"/>
            </w:pPr>
            <w:r>
              <w:rPr>
                <w:rFonts w:ascii="Calibri" w:hAnsi="Calibri"/>
                <w:b w:val="0"/>
                <w:i w:val="0"/>
                <w:color w:val="212121"/>
                <w:sz w:val="19"/>
              </w:rPr>
              <w:t>Hypoalbuminaemia reflects catabolism and predicts poor recovery</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Adult TB patients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40" w:before="0" w:line="259" w:lineRule="auto"/>
            </w:pPr>
            <w:r>
              <w:rPr>
                <w:rFonts w:ascii="Calibri" w:hAnsi="Calibri"/>
                <w:b w:val="0"/>
                <w:i w:val="0"/>
                <w:color w:val="212121"/>
                <w:sz w:val="19"/>
              </w:rPr>
              <w:t>Any tobacco use worsens cavitation and delays sputum conversion</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AUDIT score / units per week</w:t>
            </w:r>
          </w:p>
        </w:tc>
        <w:tc>
          <w:tcPr>
            <w:tcW w:type="dxa" w:w="1655"/>
            <w:vAlign w:val="top"/>
          </w:tcPr>
          <w:p>
            <w:pPr>
              <w:spacing w:after="40" w:before="0" w:line="259" w:lineRule="auto"/>
            </w:pPr>
            <w:r>
              <w:rPr>
                <w:rFonts w:ascii="Calibri" w:hAnsi="Calibri"/>
                <w:b w:val="0"/>
                <w:i w:val="0"/>
                <w:color w:val="212121"/>
                <w:sz w:val="19"/>
              </w:rPr>
              <w:t>Adults with TB</w:t>
            </w:r>
          </w:p>
        </w:tc>
        <w:tc>
          <w:tcPr>
            <w:tcW w:type="dxa" w:w="1512"/>
            <w:vAlign w:val="top"/>
          </w:tcPr>
          <w:p>
            <w:pPr>
              <w:spacing w:after="40" w:before="0" w:line="259" w:lineRule="auto"/>
            </w:pPr>
            <w:r>
              <w:rPr>
                <w:rFonts w:ascii="Calibri" w:hAnsi="Calibri"/>
                <w:b w:val="0"/>
                <w:i w:val="0"/>
                <w:color w:val="212121"/>
                <w:sz w:val="19"/>
              </w:rPr>
              <w:t>AUDIT &lt; 8; ≤ 14 units/week</w:t>
            </w:r>
          </w:p>
        </w:tc>
        <w:tc>
          <w:tcPr>
            <w:tcW w:type="dxa" w:w="1512"/>
            <w:vAlign w:val="top"/>
          </w:tcPr>
          <w:p>
            <w:pPr>
              <w:spacing w:after="40" w:before="0" w:line="259" w:lineRule="auto"/>
            </w:pPr>
            <w:r>
              <w:rPr>
                <w:rFonts w:ascii="Calibri" w:hAnsi="Calibri"/>
                <w:b w:val="0"/>
                <w:i w:val="0"/>
                <w:color w:val="212121"/>
                <w:sz w:val="19"/>
              </w:rPr>
              <w:t>AUDIT ≥ 8; harmful use</w:t>
            </w:r>
          </w:p>
        </w:tc>
        <w:tc>
          <w:tcPr>
            <w:tcW w:type="dxa" w:w="1468"/>
            <w:vAlign w:val="top"/>
          </w:tcPr>
          <w:p>
            <w:pPr>
              <w:spacing w:after="40" w:before="0" w:line="259" w:lineRule="auto"/>
            </w:pPr>
            <w:r>
              <w:rPr>
                <w:rFonts w:ascii="Calibri" w:hAnsi="Calibri"/>
                <w:b w:val="0"/>
                <w:i w:val="0"/>
                <w:color w:val="212121"/>
                <w:sz w:val="19"/>
              </w:rPr>
              <w:t>Harmful drinking predicts default and hepatotoxicity; screen and refer</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Treatment adherence (doses taken)</w:t>
            </w:r>
          </w:p>
        </w:tc>
        <w:tc>
          <w:tcPr>
            <w:tcW w:type="dxa" w:w="1655"/>
            <w:vAlign w:val="top"/>
          </w:tcPr>
          <w:p>
            <w:pPr>
              <w:spacing w:after="40" w:before="0" w:line="259" w:lineRule="auto"/>
            </w:pPr>
            <w:r>
              <w:rPr>
                <w:rFonts w:ascii="Calibri" w:hAnsi="Calibri"/>
                <w:b w:val="0"/>
                <w:i w:val="0"/>
                <w:color w:val="212121"/>
                <w:sz w:val="19"/>
              </w:rPr>
              <w:t>All DR-TB on regimen</w:t>
            </w:r>
          </w:p>
        </w:tc>
        <w:tc>
          <w:tcPr>
            <w:tcW w:type="dxa" w:w="1512"/>
            <w:vAlign w:val="top"/>
          </w:tcPr>
          <w:p>
            <w:pPr>
              <w:spacing w:after="40" w:before="0" w:line="259" w:lineRule="auto"/>
            </w:pPr>
            <w:r>
              <w:rPr>
                <w:rFonts w:ascii="Calibri" w:hAnsi="Calibri"/>
                <w:b w:val="0"/>
                <w:i w:val="0"/>
                <w:color w:val="212121"/>
                <w:sz w:val="19"/>
              </w:rPr>
              <w:t>≥ 95% of scheduled doses</w:t>
            </w:r>
          </w:p>
        </w:tc>
        <w:tc>
          <w:tcPr>
            <w:tcW w:type="dxa" w:w="1512"/>
            <w:vAlign w:val="top"/>
          </w:tcPr>
          <w:p>
            <w:pPr>
              <w:spacing w:after="40" w:before="0" w:line="259" w:lineRule="auto"/>
            </w:pPr>
            <w:r>
              <w:rPr>
                <w:rFonts w:ascii="Calibri" w:hAnsi="Calibri"/>
                <w:b w:val="0"/>
                <w:i w:val="0"/>
                <w:color w:val="212121"/>
                <w:sz w:val="19"/>
              </w:rPr>
              <w:t>Missed doses / any interruption</w:t>
            </w:r>
          </w:p>
        </w:tc>
        <w:tc>
          <w:tcPr>
            <w:tcW w:type="dxa" w:w="1468"/>
            <w:vAlign w:val="top"/>
          </w:tcPr>
          <w:p>
            <w:pPr>
              <w:spacing w:after="40" w:before="0" w:line="259" w:lineRule="auto"/>
            </w:pPr>
            <w:r>
              <w:rPr>
                <w:rFonts w:ascii="Calibri" w:hAnsi="Calibri"/>
                <w:b w:val="0"/>
                <w:i w:val="0"/>
                <w:color w:val="212121"/>
                <w:sz w:val="19"/>
              </w:rPr>
              <w:t>Non-adherence is the key driver of acquired resistance; use adherence support</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PHQ-9 depression score</w:t>
            </w:r>
          </w:p>
        </w:tc>
        <w:tc>
          <w:tcPr>
            <w:tcW w:type="dxa" w:w="1655"/>
            <w:vAlign w:val="top"/>
          </w:tcPr>
          <w:p>
            <w:pPr>
              <w:spacing w:after="40" w:before="0" w:line="259" w:lineRule="auto"/>
            </w:pPr>
            <w:r>
              <w:rPr>
                <w:rFonts w:ascii="Calibri" w:hAnsi="Calibri"/>
                <w:b w:val="0"/>
                <w:i w:val="0"/>
                <w:color w:val="212121"/>
                <w:sz w:val="19"/>
              </w:rPr>
              <w:t>DR-TB on long regimens</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 10 (moderate–severe)</w:t>
            </w:r>
          </w:p>
        </w:tc>
        <w:tc>
          <w:tcPr>
            <w:tcW w:type="dxa" w:w="1468"/>
            <w:vAlign w:val="top"/>
          </w:tcPr>
          <w:p>
            <w:pPr>
              <w:spacing w:after="40" w:before="0" w:line="259" w:lineRule="auto"/>
            </w:pPr>
            <w:r>
              <w:rPr>
                <w:rFonts w:ascii="Calibri" w:hAnsi="Calibri"/>
                <w:b w:val="0"/>
                <w:i w:val="0"/>
                <w:color w:val="212121"/>
                <w:sz w:val="19"/>
              </w:rPr>
              <w:t>Depression undermines adherence; linezolid/cycloserine add neuropsychiatric risk</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Household ventilation / crowding</w:t>
            </w:r>
          </w:p>
        </w:tc>
        <w:tc>
          <w:tcPr>
            <w:tcW w:type="dxa" w:w="1655"/>
            <w:vAlign w:val="top"/>
          </w:tcPr>
          <w:p>
            <w:pPr>
              <w:spacing w:after="40" w:before="0" w:line="259" w:lineRule="auto"/>
            </w:pPr>
            <w:r>
              <w:rPr>
                <w:rFonts w:ascii="Calibri" w:hAnsi="Calibri"/>
                <w:b w:val="0"/>
                <w:i w:val="0"/>
                <w:color w:val="212121"/>
                <w:sz w:val="19"/>
              </w:rPr>
              <w:t>Household contacts</w:t>
            </w:r>
          </w:p>
        </w:tc>
        <w:tc>
          <w:tcPr>
            <w:tcW w:type="dxa" w:w="1512"/>
            <w:vAlign w:val="top"/>
          </w:tcPr>
          <w:p>
            <w:pPr>
              <w:spacing w:after="40" w:before="0" w:line="259" w:lineRule="auto"/>
            </w:pPr>
            <w:r>
              <w:rPr>
                <w:rFonts w:ascii="Calibri" w:hAnsi="Calibri"/>
                <w:b w:val="0"/>
                <w:i w:val="0"/>
                <w:color w:val="212121"/>
                <w:sz w:val="19"/>
              </w:rPr>
              <w:t>Cross-ventilated, &lt; 2 persons/room</w:t>
            </w:r>
          </w:p>
        </w:tc>
        <w:tc>
          <w:tcPr>
            <w:tcW w:type="dxa" w:w="1512"/>
            <w:vAlign w:val="top"/>
          </w:tcPr>
          <w:p>
            <w:pPr>
              <w:spacing w:after="40" w:before="0" w:line="259" w:lineRule="auto"/>
            </w:pPr>
            <w:r>
              <w:rPr>
                <w:rFonts w:ascii="Calibri" w:hAnsi="Calibri"/>
                <w:b w:val="0"/>
                <w:i w:val="0"/>
                <w:color w:val="212121"/>
                <w:sz w:val="19"/>
              </w:rPr>
              <w:t>Poor ventilation; overcrowding</w:t>
            </w:r>
          </w:p>
        </w:tc>
        <w:tc>
          <w:tcPr>
            <w:tcW w:type="dxa" w:w="1468"/>
            <w:vAlign w:val="top"/>
          </w:tcPr>
          <w:p>
            <w:pPr>
              <w:spacing w:after="40" w:before="0" w:line="259" w:lineRule="auto"/>
            </w:pPr>
            <w:r>
              <w:rPr>
                <w:rFonts w:ascii="Calibri" w:hAnsi="Calibri"/>
                <w:b w:val="0"/>
                <w:i w:val="0"/>
                <w:color w:val="212121"/>
                <w:sz w:val="19"/>
              </w:rPr>
              <w:t>Improves airborne infection control and cuts transmission of resistant strains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HbA1c (diabetes screening)</w:t>
            </w:r>
          </w:p>
        </w:tc>
        <w:tc>
          <w:tcPr>
            <w:tcW w:type="dxa" w:w="1655"/>
            <w:vAlign w:val="top"/>
          </w:tcPr>
          <w:p>
            <w:pPr>
              <w:spacing w:after="40" w:before="0" w:line="259" w:lineRule="auto"/>
            </w:pPr>
            <w:r>
              <w:rPr>
                <w:rFonts w:ascii="Calibri" w:hAnsi="Calibri"/>
                <w:b w:val="0"/>
                <w:i w:val="0"/>
                <w:color w:val="212121"/>
                <w:sz w:val="19"/>
              </w:rPr>
              <w:t>All TB patients</w:t>
            </w:r>
          </w:p>
        </w:tc>
        <w:tc>
          <w:tcPr>
            <w:tcW w:type="dxa" w:w="1512"/>
            <w:vAlign w:val="top"/>
          </w:tcPr>
          <w:p>
            <w:pPr>
              <w:spacing w:after="40" w:before="0" w:line="259" w:lineRule="auto"/>
            </w:pPr>
            <w:r>
              <w:rPr>
                <w:rFonts w:ascii="Calibri" w:hAnsi="Calibri"/>
                <w:b w:val="0"/>
                <w:i w:val="0"/>
                <w:color w:val="212121"/>
                <w:sz w:val="19"/>
              </w:rPr>
              <w:t>&lt; 5.7 %</w:t>
            </w:r>
          </w:p>
        </w:tc>
        <w:tc>
          <w:tcPr>
            <w:tcW w:type="dxa" w:w="1512"/>
            <w:vAlign w:val="top"/>
          </w:tcPr>
          <w:p>
            <w:pPr>
              <w:spacing w:after="40" w:before="0" w:line="259" w:lineRule="auto"/>
            </w:pPr>
            <w:r>
              <w:rPr>
                <w:rFonts w:ascii="Calibri" w:hAnsi="Calibri"/>
                <w:b w:val="0"/>
                <w:i w:val="0"/>
                <w:color w:val="212121"/>
                <w:sz w:val="19"/>
              </w:rPr>
              <w:t>≥ 6.5 % (diabetes)</w:t>
            </w:r>
          </w:p>
        </w:tc>
        <w:tc>
          <w:tcPr>
            <w:tcW w:type="dxa" w:w="1468"/>
            <w:vAlign w:val="top"/>
          </w:tcPr>
          <w:p>
            <w:pPr>
              <w:spacing w:after="60" w:line="259" w:lineRule="auto"/>
            </w:pPr>
            <w:r>
              <w:rPr>
                <w:rFonts w:ascii="Calibri" w:hAnsi="Calibri"/>
                <w:b w:val="0"/>
                <w:i w:val="0"/>
                <w:color w:val="212121"/>
                <w:sz w:val="19"/>
              </w:rPr>
              <w:t>Bidirectional TB–diabetes screening; hyperglycaemia worsens resistance risk</w:t>
            </w:r>
          </w:p>
          <w:p>
            <w:pPr>
              <w:spacing w:after="40" w:line="252" w:lineRule="auto"/>
            </w:pPr>
            <w:hyperlink r:id="rId14">
              <w:r>
                <w:rPr>
                  <w:rFonts w:ascii="Calibri" w:hAnsi="Calibri" w:cs="Calibri"/>
                  <w:sz w:val="18"/>
                  <w:color w:val="1155CC"/>
                  <w:u w:val="single"/>
                </w:rPr>
                <w:t xml:space="preserve">https://www.nature.com/articles/s41598-017-01213-5</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Functional capacity (post-TB)</w:t>
            </w:r>
          </w:p>
        </w:tc>
        <w:tc>
          <w:tcPr>
            <w:tcW w:type="dxa" w:w="1655"/>
            <w:vAlign w:val="top"/>
          </w:tcPr>
          <w:p>
            <w:pPr>
              <w:spacing w:after="40" w:before="0" w:line="259" w:lineRule="auto"/>
            </w:pPr>
            <w:r>
              <w:rPr>
                <w:rFonts w:ascii="Calibri" w:hAnsi="Calibri"/>
                <w:b w:val="0"/>
                <w:i w:val="0"/>
                <w:color w:val="212121"/>
                <w:sz w:val="19"/>
              </w:rPr>
              <w:t>Recovering DR-TB</w:t>
            </w:r>
          </w:p>
        </w:tc>
        <w:tc>
          <w:tcPr>
            <w:tcW w:type="dxa" w:w="1512"/>
            <w:vAlign w:val="top"/>
          </w:tcPr>
          <w:p>
            <w:pPr>
              <w:spacing w:after="40" w:before="0" w:line="259" w:lineRule="auto"/>
            </w:pPr>
            <w:r>
              <w:rPr>
                <w:rFonts w:ascii="Calibri" w:hAnsi="Calibri"/>
                <w:b w:val="0"/>
                <w:i w:val="0"/>
                <w:color w:val="212121"/>
                <w:sz w:val="19"/>
              </w:rPr>
              <w:t>Return to baseline activity</w:t>
            </w:r>
          </w:p>
        </w:tc>
        <w:tc>
          <w:tcPr>
            <w:tcW w:type="dxa" w:w="1512"/>
            <w:vAlign w:val="top"/>
          </w:tcPr>
          <w:p>
            <w:pPr>
              <w:spacing w:after="40" w:before="0" w:line="259" w:lineRule="auto"/>
            </w:pPr>
            <w:r>
              <w:rPr>
                <w:rFonts w:ascii="Calibri" w:hAnsi="Calibri"/>
                <w:b w:val="0"/>
                <w:i w:val="0"/>
                <w:color w:val="212121"/>
                <w:sz w:val="19"/>
              </w:rPr>
              <w:t>Persistent dyspnoea / exercise limitation</w:t>
            </w:r>
          </w:p>
        </w:tc>
        <w:tc>
          <w:tcPr>
            <w:tcW w:type="dxa" w:w="1468"/>
            <w:vAlign w:val="top"/>
          </w:tcPr>
          <w:p>
            <w:pPr>
              <w:spacing w:after="40" w:before="0" w:line="259" w:lineRule="auto"/>
            </w:pPr>
            <w:r>
              <w:rPr>
                <w:rFonts w:ascii="Calibri" w:hAnsi="Calibri"/>
                <w:b w:val="0"/>
                <w:i w:val="0"/>
                <w:color w:val="212121"/>
                <w:sz w:val="19"/>
              </w:rPr>
              <w:t>Flags post-TB lung disease needing pulmonary rehabilitation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MTB detection + Rifampicin resistance</w:t>
            </w:r>
          </w:p>
        </w:tc>
        <w:tc>
          <w:tcPr>
            <w:tcW w:type="dxa" w:w="892"/>
            <w:vAlign w:val="top"/>
          </w:tcPr>
          <w:p>
            <w:pPr>
              <w:spacing w:after="40" w:before="0" w:line="259" w:lineRule="auto"/>
            </w:pPr>
            <w:r>
              <w:rPr>
                <w:rFonts w:ascii="Calibri" w:hAnsi="Calibri"/>
                <w:b w:val="0"/>
                <w:i w:val="0"/>
                <w:color w:val="212121"/>
                <w:sz w:val="16"/>
              </w:rPr>
              <w:t>Xpert MTB/RIF or Ultra (CBNAAT) / Truenat</w:t>
            </w:r>
          </w:p>
        </w:tc>
        <w:tc>
          <w:tcPr>
            <w:tcW w:type="dxa" w:w="950"/>
            <w:vAlign w:val="top"/>
          </w:tcPr>
          <w:p>
            <w:pPr>
              <w:spacing w:after="40" w:before="0" w:line="259" w:lineRule="auto"/>
            </w:pPr>
            <w:r>
              <w:rPr>
                <w:rFonts w:ascii="Calibri" w:hAnsi="Calibri"/>
                <w:b w:val="0"/>
                <w:i w:val="0"/>
                <w:color w:val="212121"/>
                <w:sz w:val="16"/>
              </w:rPr>
              <w:t>MTB not detected / RIF sensitive</w:t>
            </w:r>
          </w:p>
        </w:tc>
        <w:tc>
          <w:tcPr>
            <w:tcW w:type="dxa" w:w="950"/>
            <w:vAlign w:val="top"/>
          </w:tcPr>
          <w:p>
            <w:pPr>
              <w:spacing w:after="40" w:before="0" w:line="259" w:lineRule="auto"/>
            </w:pPr>
            <w:r>
              <w:rPr>
                <w:rFonts w:ascii="Calibri" w:hAnsi="Calibri"/>
                <w:b w:val="0"/>
                <w:i w:val="0"/>
                <w:color w:val="212121"/>
                <w:sz w:val="16"/>
              </w:rPr>
              <w:t>RIF resistance detected</w:t>
            </w:r>
          </w:p>
        </w:tc>
        <w:tc>
          <w:tcPr>
            <w:tcW w:type="dxa" w:w="1036"/>
            <w:vAlign w:val="top"/>
          </w:tcPr>
          <w:p>
            <w:pPr>
              <w:spacing w:after="40" w:before="0" w:line="259" w:lineRule="auto"/>
            </w:pPr>
            <w:r>
              <w:rPr>
                <w:rFonts w:ascii="Calibri" w:hAnsi="Calibri"/>
                <w:b w:val="0"/>
                <w:i w:val="0"/>
                <w:color w:val="212121"/>
                <w:sz w:val="16"/>
              </w:rPr>
              <w:t>Rapid entry point for the DR-TB pathway; RR-TB confirmed within hours</w:t>
            </w:r>
          </w:p>
        </w:tc>
        <w:tc>
          <w:tcPr>
            <w:tcW w:type="dxa" w:w="1036"/>
            <w:vAlign w:val="top"/>
          </w:tcPr>
          <w:p>
            <w:pPr>
              <w:spacing w:after="40" w:before="0" w:line="259" w:lineRule="auto"/>
            </w:pPr>
            <w:r>
              <w:rPr>
                <w:rFonts w:ascii="Calibri" w:hAnsi="Calibri"/>
                <w:b w:val="0"/>
                <w:i w:val="0"/>
                <w:color w:val="212121"/>
                <w:sz w:val="16"/>
              </w:rPr>
              <w:t>All presumptive TB, presumptive DR-TB, contacts of DR-TB</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Gold standard (rapid)</w:t>
            </w:r>
          </w:p>
        </w:tc>
        <w:tc>
          <w:tcPr>
            <w:tcW w:type="dxa" w:w="720"/>
            <w:vAlign w:val="top"/>
          </w:tcPr>
          <w:p>
            <w:pPr>
              <w:spacing w:after="40" w:before="0" w:line="259" w:lineRule="auto"/>
            </w:pPr>
            <w:r>
              <w:rPr>
                <w:rFonts w:ascii="Calibri" w:hAnsi="Calibri"/>
                <w:b w:val="0"/>
                <w:i w:val="0"/>
                <w:color w:val="212121"/>
                <w:sz w:val="16"/>
              </w:rPr>
              <w:t>Ultra has higher sensitivity in paucibacillary/HIV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Isoniazid + Rifampicin resistance</w:t>
            </w:r>
          </w:p>
        </w:tc>
        <w:tc>
          <w:tcPr>
            <w:tcW w:type="dxa" w:w="892"/>
            <w:vAlign w:val="top"/>
          </w:tcPr>
          <w:p>
            <w:pPr>
              <w:spacing w:after="40" w:before="0" w:line="259" w:lineRule="auto"/>
            </w:pPr>
            <w:r>
              <w:rPr>
                <w:rFonts w:ascii="Calibri" w:hAnsi="Calibri"/>
                <w:b w:val="0"/>
                <w:i w:val="0"/>
                <w:color w:val="212121"/>
                <w:sz w:val="16"/>
              </w:rPr>
              <w:t>First-line Line Probe Assay (FL-LPA)</w:t>
            </w:r>
          </w:p>
        </w:tc>
        <w:tc>
          <w:tcPr>
            <w:tcW w:type="dxa" w:w="950"/>
            <w:vAlign w:val="top"/>
          </w:tcPr>
          <w:p>
            <w:pPr>
              <w:spacing w:after="40" w:before="0" w:line="259" w:lineRule="auto"/>
            </w:pPr>
            <w:r>
              <w:rPr>
                <w:rFonts w:ascii="Calibri" w:hAnsi="Calibri"/>
                <w:b w:val="0"/>
                <w:i w:val="0"/>
                <w:color w:val="212121"/>
                <w:sz w:val="16"/>
              </w:rPr>
              <w:t>katG/inhA &amp; rpoB wild-type</w:t>
            </w:r>
          </w:p>
        </w:tc>
        <w:tc>
          <w:tcPr>
            <w:tcW w:type="dxa" w:w="950"/>
            <w:vAlign w:val="top"/>
          </w:tcPr>
          <w:p>
            <w:pPr>
              <w:spacing w:after="40" w:before="0" w:line="259" w:lineRule="auto"/>
            </w:pPr>
            <w:r>
              <w:rPr>
                <w:rFonts w:ascii="Calibri" w:hAnsi="Calibri"/>
                <w:b w:val="0"/>
                <w:i w:val="0"/>
                <w:color w:val="212121"/>
                <w:sz w:val="16"/>
              </w:rPr>
              <w:t>Mutations conferring INH and/or RIF resistance</w:t>
            </w:r>
          </w:p>
        </w:tc>
        <w:tc>
          <w:tcPr>
            <w:tcW w:type="dxa" w:w="1036"/>
            <w:vAlign w:val="top"/>
          </w:tcPr>
          <w:p>
            <w:pPr>
              <w:spacing w:after="40" w:before="0" w:line="259" w:lineRule="auto"/>
            </w:pPr>
            <w:r>
              <w:rPr>
                <w:rFonts w:ascii="Calibri" w:hAnsi="Calibri"/>
                <w:b w:val="0"/>
                <w:i w:val="0"/>
                <w:color w:val="212121"/>
                <w:sz w:val="16"/>
              </w:rPr>
              <w:t>Confirms MDR-TB and distinguishes low- vs high-level isoniazid resistance</w:t>
            </w:r>
          </w:p>
        </w:tc>
        <w:tc>
          <w:tcPr>
            <w:tcW w:type="dxa" w:w="1036"/>
            <w:vAlign w:val="top"/>
          </w:tcPr>
          <w:p>
            <w:pPr>
              <w:spacing w:after="40" w:before="0" w:line="259" w:lineRule="auto"/>
            </w:pPr>
            <w:r>
              <w:rPr>
                <w:rFonts w:ascii="Calibri" w:hAnsi="Calibri"/>
                <w:b w:val="0"/>
                <w:i w:val="0"/>
                <w:color w:val="212121"/>
                <w:sz w:val="16"/>
              </w:rPr>
              <w:t>RR-TB patients, retreatment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Requires smear-positive sample or culture isolate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Fluoroquinolone + second-line resistance</w:t>
            </w:r>
          </w:p>
        </w:tc>
        <w:tc>
          <w:tcPr>
            <w:tcW w:type="dxa" w:w="892"/>
            <w:vAlign w:val="top"/>
          </w:tcPr>
          <w:p>
            <w:pPr>
              <w:spacing w:after="40" w:before="0" w:line="259" w:lineRule="auto"/>
            </w:pPr>
            <w:r>
              <w:rPr>
                <w:rFonts w:ascii="Calibri" w:hAnsi="Calibri"/>
                <w:b w:val="0"/>
                <w:i w:val="0"/>
                <w:color w:val="212121"/>
                <w:sz w:val="16"/>
              </w:rPr>
              <w:t>Second-line Line Probe Assay (SL-LPA)</w:t>
            </w:r>
          </w:p>
        </w:tc>
        <w:tc>
          <w:tcPr>
            <w:tcW w:type="dxa" w:w="950"/>
            <w:vAlign w:val="top"/>
          </w:tcPr>
          <w:p>
            <w:pPr>
              <w:spacing w:after="40" w:before="0" w:line="259" w:lineRule="auto"/>
            </w:pPr>
            <w:r>
              <w:rPr>
                <w:rFonts w:ascii="Calibri" w:hAnsi="Calibri"/>
                <w:b w:val="0"/>
                <w:i w:val="0"/>
                <w:color w:val="212121"/>
                <w:sz w:val="16"/>
              </w:rPr>
              <w:t>gyrA/gyrB &amp; rrs wild-type</w:t>
            </w:r>
          </w:p>
        </w:tc>
        <w:tc>
          <w:tcPr>
            <w:tcW w:type="dxa" w:w="950"/>
            <w:vAlign w:val="top"/>
          </w:tcPr>
          <w:p>
            <w:pPr>
              <w:spacing w:after="40" w:before="0" w:line="259" w:lineRule="auto"/>
            </w:pPr>
            <w:r>
              <w:rPr>
                <w:rFonts w:ascii="Calibri" w:hAnsi="Calibri"/>
                <w:b w:val="0"/>
                <w:i w:val="0"/>
                <w:color w:val="212121"/>
                <w:sz w:val="16"/>
              </w:rPr>
              <w:t>Mutations conferring FQ / injectable resistance</w:t>
            </w:r>
          </w:p>
        </w:tc>
        <w:tc>
          <w:tcPr>
            <w:tcW w:type="dxa" w:w="1036"/>
            <w:vAlign w:val="top"/>
          </w:tcPr>
          <w:p>
            <w:pPr>
              <w:spacing w:after="40" w:before="0" w:line="259" w:lineRule="auto"/>
            </w:pPr>
            <w:r>
              <w:rPr>
                <w:rFonts w:ascii="Calibri" w:hAnsi="Calibri"/>
                <w:b w:val="0"/>
                <w:i w:val="0"/>
                <w:color w:val="212121"/>
                <w:sz w:val="16"/>
              </w:rPr>
              <w:t>Detects pre-XDR-TB; guides selection of an effective regimen</w:t>
            </w:r>
          </w:p>
        </w:tc>
        <w:tc>
          <w:tcPr>
            <w:tcW w:type="dxa" w:w="1036"/>
            <w:vAlign w:val="top"/>
          </w:tcPr>
          <w:p>
            <w:pPr>
              <w:spacing w:after="40" w:before="0" w:line="259" w:lineRule="auto"/>
            </w:pPr>
            <w:r>
              <w:rPr>
                <w:rFonts w:ascii="Calibri" w:hAnsi="Calibri"/>
                <w:b w:val="0"/>
                <w:i w:val="0"/>
                <w:color w:val="212121"/>
                <w:sz w:val="16"/>
              </w:rPr>
              <w:t>MDR/RR-TB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Essential before starting shorter/BPaLM regimens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Phenotypic drug-susceptibility testing</w:t>
            </w:r>
          </w:p>
        </w:tc>
        <w:tc>
          <w:tcPr>
            <w:tcW w:type="dxa" w:w="892"/>
            <w:vAlign w:val="top"/>
          </w:tcPr>
          <w:p>
            <w:pPr>
              <w:spacing w:after="40" w:before="0" w:line="259" w:lineRule="auto"/>
            </w:pPr>
            <w:r>
              <w:rPr>
                <w:rFonts w:ascii="Calibri" w:hAnsi="Calibri"/>
                <w:b w:val="0"/>
                <w:i w:val="0"/>
                <w:color w:val="212121"/>
                <w:sz w:val="16"/>
              </w:rPr>
              <w:t>Liquid culture (MGIT 960) + DST</w:t>
            </w:r>
          </w:p>
        </w:tc>
        <w:tc>
          <w:tcPr>
            <w:tcW w:type="dxa" w:w="950"/>
            <w:vAlign w:val="top"/>
          </w:tcPr>
          <w:p>
            <w:pPr>
              <w:spacing w:after="40" w:before="0" w:line="259" w:lineRule="auto"/>
            </w:pPr>
            <w:r>
              <w:rPr>
                <w:rFonts w:ascii="Calibri" w:hAnsi="Calibri"/>
                <w:b w:val="0"/>
                <w:i w:val="0"/>
                <w:color w:val="212121"/>
                <w:sz w:val="16"/>
              </w:rPr>
              <w:t>Growth inhibited by drug</w:t>
            </w:r>
          </w:p>
        </w:tc>
        <w:tc>
          <w:tcPr>
            <w:tcW w:type="dxa" w:w="950"/>
            <w:vAlign w:val="top"/>
          </w:tcPr>
          <w:p>
            <w:pPr>
              <w:spacing w:after="40" w:before="0" w:line="259" w:lineRule="auto"/>
            </w:pPr>
            <w:r>
              <w:rPr>
                <w:rFonts w:ascii="Calibri" w:hAnsi="Calibri"/>
                <w:b w:val="0"/>
                <w:i w:val="0"/>
                <w:color w:val="212121"/>
                <w:sz w:val="16"/>
              </w:rPr>
              <w:t>Growth despite drug (resistant)</w:t>
            </w:r>
          </w:p>
        </w:tc>
        <w:tc>
          <w:tcPr>
            <w:tcW w:type="dxa" w:w="1036"/>
            <w:vAlign w:val="top"/>
          </w:tcPr>
          <w:p>
            <w:pPr>
              <w:spacing w:after="40" w:before="0" w:line="259" w:lineRule="auto"/>
            </w:pPr>
            <w:r>
              <w:rPr>
                <w:rFonts w:ascii="Calibri" w:hAnsi="Calibri"/>
                <w:b w:val="0"/>
                <w:i w:val="0"/>
                <w:color w:val="212121"/>
                <w:sz w:val="16"/>
              </w:rPr>
              <w:t>Reference standard; profiles bedaquiline, linezolid, delamanid, clofazimine etc.</w:t>
            </w:r>
          </w:p>
        </w:tc>
        <w:tc>
          <w:tcPr>
            <w:tcW w:type="dxa" w:w="1036"/>
            <w:vAlign w:val="top"/>
          </w:tcPr>
          <w:p>
            <w:pPr>
              <w:spacing w:after="40" w:before="0" w:line="259" w:lineRule="auto"/>
            </w:pPr>
            <w:r>
              <w:rPr>
                <w:rFonts w:ascii="Calibri" w:hAnsi="Calibri"/>
                <w:b w:val="0"/>
                <w:i w:val="0"/>
                <w:color w:val="212121"/>
                <w:sz w:val="16"/>
              </w:rPr>
              <w:t>MDR/pre-XDR/XDR-TB, treatment failures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Slower (1–3 weeks); needed for newer drugs lacking molecular tests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Acid-fast bacilli / bacillary load</w:t>
            </w:r>
          </w:p>
        </w:tc>
        <w:tc>
          <w:tcPr>
            <w:tcW w:type="dxa" w:w="892"/>
            <w:vAlign w:val="top"/>
          </w:tcPr>
          <w:p>
            <w:pPr>
              <w:spacing w:after="40" w:before="0" w:line="259" w:lineRule="auto"/>
            </w:pPr>
            <w:r>
              <w:rPr>
                <w:rFonts w:ascii="Calibri" w:hAnsi="Calibri"/>
                <w:b w:val="0"/>
                <w:i w:val="0"/>
                <w:color w:val="212121"/>
                <w:sz w:val="16"/>
              </w:rPr>
              <w:t>Sputum smear microscopy (ZN / fluorescent) &amp; culture conversion</w:t>
            </w:r>
          </w:p>
        </w:tc>
        <w:tc>
          <w:tcPr>
            <w:tcW w:type="dxa" w:w="950"/>
            <w:vAlign w:val="top"/>
          </w:tcPr>
          <w:p>
            <w:pPr>
              <w:spacing w:after="40" w:before="0" w:line="259" w:lineRule="auto"/>
            </w:pPr>
            <w:r>
              <w:rPr>
                <w:rFonts w:ascii="Calibri" w:hAnsi="Calibri"/>
                <w:b w:val="0"/>
                <w:i w:val="0"/>
                <w:color w:val="212121"/>
                <w:sz w:val="16"/>
              </w:rPr>
              <w:t>Smear/culture negative</w:t>
            </w:r>
          </w:p>
        </w:tc>
        <w:tc>
          <w:tcPr>
            <w:tcW w:type="dxa" w:w="950"/>
            <w:vAlign w:val="top"/>
          </w:tcPr>
          <w:p>
            <w:pPr>
              <w:spacing w:after="40" w:before="0" w:line="259" w:lineRule="auto"/>
            </w:pPr>
            <w:r>
              <w:rPr>
                <w:rFonts w:ascii="Calibri" w:hAnsi="Calibri"/>
                <w:b w:val="0"/>
                <w:i w:val="0"/>
                <w:color w:val="212121"/>
                <w:sz w:val="16"/>
              </w:rPr>
              <w:t>AFB positive; graded 1+ to 3+</w:t>
            </w:r>
          </w:p>
        </w:tc>
        <w:tc>
          <w:tcPr>
            <w:tcW w:type="dxa" w:w="1036"/>
            <w:vAlign w:val="top"/>
          </w:tcPr>
          <w:p>
            <w:pPr>
              <w:spacing w:after="40" w:before="0" w:line="259" w:lineRule="auto"/>
            </w:pPr>
            <w:r>
              <w:rPr>
                <w:rFonts w:ascii="Calibri" w:hAnsi="Calibri"/>
                <w:b w:val="0"/>
                <w:i w:val="0"/>
                <w:color w:val="212121"/>
                <w:sz w:val="16"/>
              </w:rPr>
              <w:t>Baseline load and the key monitoring marker; culture conversion tracks response</w:t>
            </w:r>
          </w:p>
        </w:tc>
        <w:tc>
          <w:tcPr>
            <w:tcW w:type="dxa" w:w="1036"/>
            <w:vAlign w:val="top"/>
          </w:tcPr>
          <w:p>
            <w:pPr>
              <w:spacing w:after="40" w:before="0" w:line="259" w:lineRule="auto"/>
            </w:pPr>
            <w:r>
              <w:rPr>
                <w:rFonts w:ascii="Calibri" w:hAnsi="Calibri"/>
                <w:b w:val="0"/>
                <w:i w:val="0"/>
                <w:color w:val="212121"/>
                <w:sz w:val="16"/>
              </w:rPr>
              <w:t>All DR-TB, on-treatment monitoring</w:t>
            </w:r>
          </w:p>
        </w:tc>
        <w:tc>
          <w:tcPr>
            <w:tcW w:type="dxa" w:w="720"/>
            <w:vAlign w:val="top"/>
          </w:tcPr>
          <w:p>
            <w:pPr>
              <w:spacing w:after="40" w:before="0" w:line="259" w:lineRule="auto"/>
            </w:pPr>
            <w:r>
              <w:rPr>
                <w:rFonts w:ascii="Calibri" w:hAnsi="Calibri"/>
                <w:b w:val="0"/>
                <w:i w:val="0"/>
                <w:color w:val="212121"/>
                <w:sz w:val="16"/>
              </w:rPr>
              <w:t>Smoking; Food</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Monthly cultures monitor response on second-line regimens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Genomic</w:t>
            </w:r>
          </w:p>
        </w:tc>
        <w:tc>
          <w:tcPr>
            <w:tcW w:type="dxa" w:w="1036"/>
            <w:vAlign w:val="top"/>
          </w:tcPr>
          <w:p>
            <w:pPr>
              <w:spacing w:after="40" w:before="0" w:line="259" w:lineRule="auto"/>
            </w:pPr>
            <w:r>
              <w:rPr>
                <w:rFonts w:ascii="Calibri" w:hAnsi="Calibri"/>
                <w:b w:val="0"/>
                <w:i w:val="0"/>
                <w:color w:val="212121"/>
                <w:sz w:val="16"/>
              </w:rPr>
              <w:t>Comprehensive resistance profile</w:t>
            </w:r>
          </w:p>
        </w:tc>
        <w:tc>
          <w:tcPr>
            <w:tcW w:type="dxa" w:w="892"/>
            <w:vAlign w:val="top"/>
          </w:tcPr>
          <w:p>
            <w:pPr>
              <w:spacing w:after="40" w:before="0" w:line="259" w:lineRule="auto"/>
            </w:pPr>
            <w:r>
              <w:rPr>
                <w:rFonts w:ascii="Calibri" w:hAnsi="Calibri"/>
                <w:b w:val="0"/>
                <w:i w:val="0"/>
                <w:color w:val="212121"/>
                <w:sz w:val="16"/>
              </w:rPr>
              <w:t>Targeted NGS / Whole-genome sequencing</w:t>
            </w:r>
          </w:p>
        </w:tc>
        <w:tc>
          <w:tcPr>
            <w:tcW w:type="dxa" w:w="950"/>
            <w:vAlign w:val="top"/>
          </w:tcPr>
          <w:p>
            <w:pPr>
              <w:spacing w:after="40" w:before="0" w:line="259" w:lineRule="auto"/>
            </w:pPr>
            <w:r>
              <w:rPr>
                <w:rFonts w:ascii="Calibri" w:hAnsi="Calibri"/>
                <w:b w:val="0"/>
                <w:i w:val="0"/>
                <w:color w:val="212121"/>
                <w:sz w:val="16"/>
              </w:rPr>
              <w:t>No resistance-conferring mutations</w:t>
            </w:r>
          </w:p>
        </w:tc>
        <w:tc>
          <w:tcPr>
            <w:tcW w:type="dxa" w:w="950"/>
            <w:vAlign w:val="top"/>
          </w:tcPr>
          <w:p>
            <w:pPr>
              <w:spacing w:after="40" w:before="0" w:line="259" w:lineRule="auto"/>
            </w:pPr>
            <w:r>
              <w:rPr>
                <w:rFonts w:ascii="Calibri" w:hAnsi="Calibri"/>
                <w:b w:val="0"/>
                <w:i w:val="0"/>
                <w:color w:val="212121"/>
                <w:sz w:val="16"/>
              </w:rPr>
              <w:t>Resistance mutations across drug classes</w:t>
            </w:r>
          </w:p>
        </w:tc>
        <w:tc>
          <w:tcPr>
            <w:tcW w:type="dxa" w:w="1036"/>
            <w:vAlign w:val="top"/>
          </w:tcPr>
          <w:p>
            <w:pPr>
              <w:spacing w:after="40" w:before="0" w:line="259" w:lineRule="auto"/>
            </w:pPr>
            <w:r>
              <w:rPr>
                <w:rFonts w:ascii="Calibri" w:hAnsi="Calibri"/>
                <w:b w:val="0"/>
                <w:i w:val="0"/>
                <w:color w:val="212121"/>
                <w:sz w:val="16"/>
              </w:rPr>
              <w:t>Single test predicting resistance to most first- and second-line drugs</w:t>
            </w:r>
          </w:p>
        </w:tc>
        <w:tc>
          <w:tcPr>
            <w:tcW w:type="dxa" w:w="1036"/>
            <w:vAlign w:val="top"/>
          </w:tcPr>
          <w:p>
            <w:pPr>
              <w:spacing w:after="40" w:before="0" w:line="259" w:lineRule="auto"/>
            </w:pPr>
            <w:r>
              <w:rPr>
                <w:rFonts w:ascii="Calibri" w:hAnsi="Calibri"/>
                <w:b w:val="0"/>
                <w:i w:val="0"/>
                <w:color w:val="212121"/>
                <w:sz w:val="16"/>
              </w:rPr>
              <w:t>Complex resistance, XDR-TB, reference labs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Emerging standard</w:t>
            </w:r>
          </w:p>
        </w:tc>
        <w:tc>
          <w:tcPr>
            <w:tcW w:type="dxa" w:w="720"/>
            <w:vAlign w:val="top"/>
          </w:tcPr>
          <w:p>
            <w:pPr>
              <w:spacing w:after="40" w:before="0" w:line="259" w:lineRule="auto"/>
            </w:pPr>
            <w:r>
              <w:rPr>
                <w:rFonts w:ascii="Calibri" w:hAnsi="Calibri"/>
                <w:b w:val="0"/>
                <w:i w:val="0"/>
                <w:color w:val="212121"/>
                <w:sz w:val="16"/>
              </w:rPr>
              <w:t>Being scaled up in India for individualised regimens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Cavitation &amp; disease extent</w:t>
            </w:r>
          </w:p>
        </w:tc>
        <w:tc>
          <w:tcPr>
            <w:tcW w:type="dxa" w:w="892"/>
            <w:vAlign w:val="top"/>
          </w:tcPr>
          <w:p>
            <w:pPr>
              <w:spacing w:after="40" w:before="0" w:line="259" w:lineRule="auto"/>
            </w:pPr>
            <w:r>
              <w:rPr>
                <w:rFonts w:ascii="Calibri" w:hAnsi="Calibri"/>
                <w:b w:val="0"/>
                <w:i w:val="0"/>
                <w:color w:val="212121"/>
                <w:sz w:val="16"/>
              </w:rPr>
              <w:t>Chest X-ray / CT thorax</w:t>
            </w:r>
          </w:p>
        </w:tc>
        <w:tc>
          <w:tcPr>
            <w:tcW w:type="dxa" w:w="950"/>
            <w:vAlign w:val="top"/>
          </w:tcPr>
          <w:p>
            <w:pPr>
              <w:spacing w:after="40" w:before="0" w:line="259" w:lineRule="auto"/>
            </w:pPr>
            <w:r>
              <w:rPr>
                <w:rFonts w:ascii="Calibri" w:hAnsi="Calibri"/>
                <w:b w:val="0"/>
                <w:i w:val="0"/>
                <w:color w:val="212121"/>
                <w:sz w:val="16"/>
              </w:rPr>
              <w:t>Clear lung fields</w:t>
            </w:r>
          </w:p>
        </w:tc>
        <w:tc>
          <w:tcPr>
            <w:tcW w:type="dxa" w:w="950"/>
            <w:vAlign w:val="top"/>
          </w:tcPr>
          <w:p>
            <w:pPr>
              <w:spacing w:after="40" w:before="0" w:line="259" w:lineRule="auto"/>
            </w:pPr>
            <w:r>
              <w:rPr>
                <w:rFonts w:ascii="Calibri" w:hAnsi="Calibri"/>
                <w:b w:val="0"/>
                <w:i w:val="0"/>
                <w:color w:val="212121"/>
                <w:sz w:val="16"/>
              </w:rPr>
              <w:t>Cavities, extensive/bilateral infiltrates, fibrosis</w:t>
            </w:r>
          </w:p>
        </w:tc>
        <w:tc>
          <w:tcPr>
            <w:tcW w:type="dxa" w:w="1036"/>
            <w:vAlign w:val="top"/>
          </w:tcPr>
          <w:p>
            <w:pPr>
              <w:spacing w:after="40" w:before="0" w:line="259" w:lineRule="auto"/>
            </w:pPr>
            <w:r>
              <w:rPr>
                <w:rFonts w:ascii="Calibri" w:hAnsi="Calibri"/>
                <w:b w:val="0"/>
                <w:i w:val="0"/>
                <w:color w:val="212121"/>
                <w:sz w:val="16"/>
              </w:rPr>
              <w:t>Cavitary and extensive disease predicts higher load, slower conversion and worse outcome</w:t>
            </w:r>
          </w:p>
        </w:tc>
        <w:tc>
          <w:tcPr>
            <w:tcW w:type="dxa" w:w="1036"/>
            <w:vAlign w:val="top"/>
          </w:tcPr>
          <w:p>
            <w:pPr>
              <w:spacing w:after="40" w:before="0" w:line="259" w:lineRule="auto"/>
            </w:pPr>
            <w:r>
              <w:rPr>
                <w:rFonts w:ascii="Calibri" w:hAnsi="Calibri"/>
                <w:b w:val="0"/>
                <w:i w:val="0"/>
                <w:color w:val="212121"/>
                <w:sz w:val="16"/>
              </w:rPr>
              <w:t>All DR-TB at baseline &amp; follow-up</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Also detects complications (aspergilloma, pneumothorax, destroyed lung)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baseline</w:t>
            </w:r>
          </w:p>
        </w:tc>
        <w:tc>
          <w:tcPr>
            <w:tcW w:type="dxa" w:w="1036"/>
            <w:vAlign w:val="top"/>
          </w:tcPr>
          <w:p>
            <w:pPr>
              <w:spacing w:after="40" w:before="0" w:line="259" w:lineRule="auto"/>
            </w:pPr>
            <w:r>
              <w:rPr>
                <w:rFonts w:ascii="Calibri" w:hAnsi="Calibri"/>
                <w:b w:val="0"/>
                <w:i w:val="0"/>
                <w:color w:val="212121"/>
                <w:sz w:val="16"/>
              </w:rPr>
              <w:t>Organ function &amp; safety labs</w:t>
            </w:r>
          </w:p>
        </w:tc>
        <w:tc>
          <w:tcPr>
            <w:tcW w:type="dxa" w:w="892"/>
            <w:vAlign w:val="top"/>
          </w:tcPr>
          <w:p>
            <w:pPr>
              <w:spacing w:after="40" w:before="0" w:line="259" w:lineRule="auto"/>
            </w:pPr>
            <w:r>
              <w:rPr>
                <w:rFonts w:ascii="Calibri" w:hAnsi="Calibri"/>
                <w:b w:val="0"/>
                <w:i w:val="0"/>
                <w:color w:val="212121"/>
                <w:sz w:val="16"/>
              </w:rPr>
              <w:t>HIV test, blood glucose/HbA1c, LFT, RFT, CBC, TSH, ECG (QTc)</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HIV+; hyperglycaemia; deranged LFT/RFT; cytopenia; prolonged QTc</w:t>
            </w:r>
          </w:p>
        </w:tc>
        <w:tc>
          <w:tcPr>
            <w:tcW w:type="dxa" w:w="1036"/>
            <w:vAlign w:val="top"/>
          </w:tcPr>
          <w:p>
            <w:pPr>
              <w:spacing w:after="40" w:before="0" w:line="259" w:lineRule="auto"/>
            </w:pPr>
            <w:r>
              <w:rPr>
                <w:rFonts w:ascii="Calibri" w:hAnsi="Calibri"/>
                <w:b w:val="0"/>
                <w:i w:val="0"/>
                <w:color w:val="212121"/>
                <w:sz w:val="16"/>
              </w:rPr>
              <w:t>Identifies comorbidities and baseline toxicity risk before bedaquiline/linezolid/moxifloxacin</w:t>
            </w:r>
          </w:p>
        </w:tc>
        <w:tc>
          <w:tcPr>
            <w:tcW w:type="dxa" w:w="1036"/>
            <w:vAlign w:val="top"/>
          </w:tcPr>
          <w:p>
            <w:pPr>
              <w:spacing w:after="40" w:before="0" w:line="259" w:lineRule="auto"/>
            </w:pPr>
            <w:r>
              <w:rPr>
                <w:rFonts w:ascii="Calibri" w:hAnsi="Calibri"/>
                <w:b w:val="0"/>
                <w:i w:val="0"/>
                <w:color w:val="212121"/>
                <w:sz w:val="16"/>
              </w:rPr>
              <w:t>All DR-TB pre-treatment &amp; during follow-up</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Mandatory baseline</w:t>
            </w:r>
          </w:p>
        </w:tc>
        <w:tc>
          <w:tcPr>
            <w:tcW w:type="dxa" w:w="720"/>
            <w:vAlign w:val="top"/>
          </w:tcPr>
          <w:p>
            <w:pPr>
              <w:spacing w:after="40" w:before="0" w:line="259" w:lineRule="auto"/>
            </w:pPr>
            <w:r>
              <w:rPr>
                <w:rFonts w:ascii="Calibri" w:hAnsi="Calibri"/>
                <w:b w:val="0"/>
                <w:i w:val="0"/>
                <w:color w:val="212121"/>
                <w:sz w:val="16"/>
              </w:rPr>
              <w:t>QTc and CBC/vision monitoring guide bedaquiline and linezolid dosing</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Prior TB treatment history</w:t>
            </w:r>
          </w:p>
        </w:tc>
        <w:tc>
          <w:tcPr>
            <w:tcW w:type="dxa" w:w="979"/>
            <w:vAlign w:val="top"/>
          </w:tcPr>
          <w:p>
            <w:pPr>
              <w:spacing w:after="40" w:before="0" w:line="259" w:lineRule="auto"/>
            </w:pPr>
            <w:r>
              <w:rPr>
                <w:rFonts w:ascii="Calibri" w:hAnsi="Calibri"/>
                <w:b w:val="0"/>
                <w:i w:val="0"/>
                <w:color w:val="212121"/>
                <w:sz w:val="16"/>
              </w:rPr>
              <w:t>Previous ATT, failure, relapse, default</w:t>
            </w:r>
          </w:p>
        </w:tc>
        <w:tc>
          <w:tcPr>
            <w:tcW w:type="dxa" w:w="950"/>
            <w:vAlign w:val="top"/>
          </w:tcPr>
          <w:p>
            <w:pPr>
              <w:spacing w:after="40" w:before="0" w:line="259" w:lineRule="auto"/>
            </w:pPr>
            <w:r>
              <w:rPr>
                <w:rFonts w:ascii="Calibri" w:hAnsi="Calibri"/>
                <w:b w:val="0"/>
                <w:i w:val="0"/>
                <w:color w:val="212121"/>
                <w:sz w:val="16"/>
              </w:rPr>
              <w:t>No prior treatment</w:t>
            </w:r>
          </w:p>
        </w:tc>
        <w:tc>
          <w:tcPr>
            <w:tcW w:type="dxa" w:w="950"/>
            <w:vAlign w:val="top"/>
          </w:tcPr>
          <w:p>
            <w:pPr>
              <w:spacing w:after="40" w:before="0" w:line="259" w:lineRule="auto"/>
            </w:pPr>
            <w:r>
              <w:rPr>
                <w:rFonts w:ascii="Calibri" w:hAnsi="Calibri"/>
                <w:b w:val="0"/>
                <w:i w:val="0"/>
                <w:color w:val="212121"/>
                <w:sz w:val="16"/>
              </w:rPr>
              <w:t>Any prior treatment / failure / default</w:t>
            </w:r>
          </w:p>
        </w:tc>
        <w:tc>
          <w:tcPr>
            <w:tcW w:type="dxa" w:w="1036"/>
            <w:vAlign w:val="top"/>
          </w:tcPr>
          <w:p>
            <w:pPr>
              <w:spacing w:after="40" w:before="0" w:line="259" w:lineRule="auto"/>
            </w:pPr>
            <w:r>
              <w:rPr>
                <w:rFonts w:ascii="Calibri" w:hAnsi="Calibri"/>
                <w:b w:val="0"/>
                <w:i w:val="0"/>
                <w:color w:val="212121"/>
                <w:sz w:val="16"/>
              </w:rPr>
              <w:t>Strongest clinical predictor of MDR-TB; mandates DST</w:t>
            </w:r>
          </w:p>
        </w:tc>
        <w:tc>
          <w:tcPr>
            <w:tcW w:type="dxa" w:w="1036"/>
            <w:vAlign w:val="top"/>
          </w:tcPr>
          <w:p>
            <w:pPr>
              <w:spacing w:after="40" w:before="0" w:line="259" w:lineRule="auto"/>
            </w:pPr>
            <w:r>
              <w:rPr>
                <w:rFonts w:ascii="Calibri" w:hAnsi="Calibri"/>
                <w:b w:val="0"/>
                <w:i w:val="0"/>
                <w:color w:val="212121"/>
                <w:sz w:val="16"/>
              </w:rPr>
              <w:t>Retreatment cases, previous defaulters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priority</w:t>
            </w:r>
          </w:p>
        </w:tc>
        <w:tc>
          <w:tcPr>
            <w:tcW w:type="dxa" w:w="720"/>
            <w:vAlign w:val="top"/>
          </w:tcPr>
          <w:p>
            <w:pPr>
              <w:spacing w:after="40" w:before="0" w:line="259" w:lineRule="auto"/>
            </w:pPr>
            <w:r>
              <w:rPr>
                <w:rFonts w:ascii="Calibri" w:hAnsi="Calibri"/>
                <w:b w:val="0"/>
                <w:i w:val="0"/>
                <w:color w:val="212121"/>
                <w:sz w:val="16"/>
              </w:rPr>
              <w:t>Document drugs, duration and adherence in prior episodes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Contact with DR-TB</w:t>
            </w:r>
          </w:p>
        </w:tc>
        <w:tc>
          <w:tcPr>
            <w:tcW w:type="dxa" w:w="979"/>
            <w:vAlign w:val="top"/>
          </w:tcPr>
          <w:p>
            <w:pPr>
              <w:spacing w:after="40" w:before="0" w:line="259" w:lineRule="auto"/>
            </w:pPr>
            <w:r>
              <w:rPr>
                <w:rFonts w:ascii="Calibri" w:hAnsi="Calibri"/>
                <w:b w:val="0"/>
                <w:i w:val="0"/>
                <w:color w:val="212121"/>
                <w:sz w:val="16"/>
              </w:rPr>
              <w:t>Household/close contact with known DR-TB case</w:t>
            </w:r>
          </w:p>
        </w:tc>
        <w:tc>
          <w:tcPr>
            <w:tcW w:type="dxa" w:w="950"/>
            <w:vAlign w:val="top"/>
          </w:tcPr>
          <w:p>
            <w:pPr>
              <w:spacing w:after="40" w:before="0" w:line="259" w:lineRule="auto"/>
            </w:pPr>
            <w:r>
              <w:rPr>
                <w:rFonts w:ascii="Calibri" w:hAnsi="Calibri"/>
                <w:b w:val="0"/>
                <w:i w:val="0"/>
                <w:color w:val="212121"/>
                <w:sz w:val="16"/>
              </w:rPr>
              <w:t>No known contact</w:t>
            </w:r>
          </w:p>
        </w:tc>
        <w:tc>
          <w:tcPr>
            <w:tcW w:type="dxa" w:w="950"/>
            <w:vAlign w:val="top"/>
          </w:tcPr>
          <w:p>
            <w:pPr>
              <w:spacing w:after="40" w:before="0" w:line="259" w:lineRule="auto"/>
            </w:pPr>
            <w:r>
              <w:rPr>
                <w:rFonts w:ascii="Calibri" w:hAnsi="Calibri"/>
                <w:b w:val="0"/>
                <w:i w:val="0"/>
                <w:color w:val="212121"/>
                <w:sz w:val="16"/>
              </w:rPr>
              <w:t>Contact with confirmed DR-TB</w:t>
            </w:r>
          </w:p>
        </w:tc>
        <w:tc>
          <w:tcPr>
            <w:tcW w:type="dxa" w:w="1036"/>
            <w:vAlign w:val="top"/>
          </w:tcPr>
          <w:p>
            <w:pPr>
              <w:spacing w:after="40" w:before="0" w:line="259" w:lineRule="auto"/>
            </w:pPr>
            <w:r>
              <w:rPr>
                <w:rFonts w:ascii="Calibri" w:hAnsi="Calibri"/>
                <w:b w:val="0"/>
                <w:i w:val="0"/>
                <w:color w:val="212121"/>
                <w:sz w:val="16"/>
              </w:rPr>
              <w:t>Indicates likely primary (transmitted) resistance</w:t>
            </w:r>
          </w:p>
        </w:tc>
        <w:tc>
          <w:tcPr>
            <w:tcW w:type="dxa" w:w="1036"/>
            <w:vAlign w:val="top"/>
          </w:tcPr>
          <w:p>
            <w:pPr>
              <w:spacing w:after="40" w:before="0" w:line="259" w:lineRule="auto"/>
            </w:pPr>
            <w:r>
              <w:rPr>
                <w:rFonts w:ascii="Calibri" w:hAnsi="Calibri"/>
                <w:b w:val="0"/>
                <w:i w:val="0"/>
                <w:color w:val="212121"/>
                <w:sz w:val="16"/>
              </w:rPr>
              <w:t>Household contacts, congregate settings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High priority</w:t>
            </w:r>
          </w:p>
        </w:tc>
        <w:tc>
          <w:tcPr>
            <w:tcW w:type="dxa" w:w="720"/>
            <w:vAlign w:val="top"/>
          </w:tcPr>
          <w:p>
            <w:pPr>
              <w:spacing w:after="40" w:before="0" w:line="259" w:lineRule="auto"/>
            </w:pPr>
            <w:r>
              <w:rPr>
                <w:rFonts w:ascii="Calibri" w:hAnsi="Calibri"/>
                <w:b w:val="0"/>
                <w:i w:val="0"/>
                <w:color w:val="212121"/>
                <w:sz w:val="16"/>
              </w:rPr>
              <w:t>Trigger upfront second-line DST and contact investigation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Symptom review</w:t>
            </w:r>
          </w:p>
        </w:tc>
        <w:tc>
          <w:tcPr>
            <w:tcW w:type="dxa" w:w="979"/>
            <w:vAlign w:val="top"/>
          </w:tcPr>
          <w:p>
            <w:pPr>
              <w:spacing w:after="40" w:before="0" w:line="259" w:lineRule="auto"/>
            </w:pPr>
            <w:r>
              <w:rPr>
                <w:rFonts w:ascii="Calibri" w:hAnsi="Calibri"/>
                <w:b w:val="0"/>
                <w:i w:val="0"/>
                <w:color w:val="212121"/>
                <w:sz w:val="16"/>
              </w:rPr>
              <w:t>Cough &gt;2 wks, haemoptysis, fever, night sweats, weight loss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persistent symptoms</w:t>
            </w:r>
          </w:p>
        </w:tc>
        <w:tc>
          <w:tcPr>
            <w:tcW w:type="dxa" w:w="1036"/>
            <w:vAlign w:val="top"/>
          </w:tcPr>
          <w:p>
            <w:pPr>
              <w:spacing w:after="40" w:before="0" w:line="259" w:lineRule="auto"/>
            </w:pPr>
            <w:r>
              <w:rPr>
                <w:rFonts w:ascii="Calibri" w:hAnsi="Calibri"/>
                <w:b w:val="0"/>
                <w:i w:val="0"/>
                <w:color w:val="212121"/>
                <w:sz w:val="16"/>
              </w:rPr>
              <w:t>Persistence or recurrence despite treatment suggests resistance</w:t>
            </w:r>
          </w:p>
        </w:tc>
        <w:tc>
          <w:tcPr>
            <w:tcW w:type="dxa" w:w="1036"/>
            <w:vAlign w:val="top"/>
          </w:tcPr>
          <w:p>
            <w:pPr>
              <w:spacing w:after="40" w:before="0" w:line="259" w:lineRule="auto"/>
            </w:pPr>
            <w:r>
              <w:rPr>
                <w:rFonts w:ascii="Calibri" w:hAnsi="Calibri"/>
                <w:b w:val="0"/>
                <w:i w:val="0"/>
                <w:color w:val="212121"/>
                <w:sz w:val="16"/>
              </w:rPr>
              <w:t>All presumptive TB/DR-TB</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Persistent sputum positivity at month 2–3 is a red flag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&amp; risk screen</w:t>
            </w:r>
          </w:p>
        </w:tc>
        <w:tc>
          <w:tcPr>
            <w:tcW w:type="dxa" w:w="979"/>
            <w:vAlign w:val="top"/>
          </w:tcPr>
          <w:p>
            <w:pPr>
              <w:spacing w:after="40" w:before="0" w:line="259" w:lineRule="auto"/>
            </w:pPr>
            <w:r>
              <w:rPr>
                <w:rFonts w:ascii="Calibri" w:hAnsi="Calibri"/>
                <w:b w:val="0"/>
                <w:i w:val="0"/>
                <w:color w:val="212121"/>
                <w:sz w:val="16"/>
              </w:rPr>
              <w:t>HIV, diabetes, alcohol, tobacco, undernutrition</w:t>
            </w:r>
          </w:p>
        </w:tc>
        <w:tc>
          <w:tcPr>
            <w:tcW w:type="dxa" w:w="950"/>
            <w:vAlign w:val="top"/>
          </w:tcPr>
          <w:p>
            <w:pPr>
              <w:spacing w:after="40" w:before="0" w:line="259" w:lineRule="auto"/>
            </w:pPr>
            <w:r>
              <w:rPr>
                <w:rFonts w:ascii="Calibri" w:hAnsi="Calibri"/>
                <w:b w:val="0"/>
                <w:i w:val="0"/>
                <w:color w:val="212121"/>
                <w:sz w:val="16"/>
              </w:rPr>
              <w:t>None present</w:t>
            </w:r>
          </w:p>
        </w:tc>
        <w:tc>
          <w:tcPr>
            <w:tcW w:type="dxa" w:w="950"/>
            <w:vAlign w:val="top"/>
          </w:tcPr>
          <w:p>
            <w:pPr>
              <w:spacing w:after="40" w:before="0" w:line="259" w:lineRule="auto"/>
            </w:pPr>
            <w:r>
              <w:rPr>
                <w:rFonts w:ascii="Calibri" w:hAnsi="Calibri"/>
                <w:b w:val="0"/>
                <w:i w:val="0"/>
                <w:color w:val="212121"/>
                <w:sz w:val="16"/>
              </w:rPr>
              <w:t>Any risk factor present</w:t>
            </w:r>
          </w:p>
        </w:tc>
        <w:tc>
          <w:tcPr>
            <w:tcW w:type="dxa" w:w="1036"/>
            <w:vAlign w:val="top"/>
          </w:tcPr>
          <w:p>
            <w:pPr>
              <w:spacing w:after="40" w:before="0" w:line="259" w:lineRule="auto"/>
            </w:pPr>
            <w:r>
              <w:rPr>
                <w:rFonts w:ascii="Calibri" w:hAnsi="Calibri"/>
                <w:b w:val="0"/>
                <w:i w:val="0"/>
                <w:color w:val="212121"/>
                <w:sz w:val="16"/>
              </w:rPr>
              <w:t>Identifies host factors that worsen response and outcomes</w:t>
            </w:r>
          </w:p>
        </w:tc>
        <w:tc>
          <w:tcPr>
            <w:tcW w:type="dxa" w:w="1036"/>
            <w:vAlign w:val="top"/>
          </w:tcPr>
          <w:p>
            <w:pPr>
              <w:spacing w:after="40" w:before="0" w:line="259" w:lineRule="auto"/>
            </w:pPr>
            <w:r>
              <w:rPr>
                <w:rFonts w:ascii="Calibri" w:hAnsi="Calibri"/>
                <w:b w:val="0"/>
                <w:i w:val="0"/>
                <w:color w:val="212121"/>
                <w:sz w:val="16"/>
              </w:rPr>
              <w:t>All DR-TB patients</w:t>
            </w:r>
          </w:p>
        </w:tc>
        <w:tc>
          <w:tcPr>
            <w:tcW w:type="dxa" w:w="720"/>
            <w:vAlign w:val="top"/>
          </w:tcPr>
          <w:p>
            <w:pPr>
              <w:spacing w:after="40" w:before="0" w:line="259" w:lineRule="auto"/>
            </w:pPr>
            <w:r>
              <w:rPr>
                <w:rFonts w:ascii="Calibri" w:hAnsi="Calibri"/>
                <w:b w:val="0"/>
                <w:i w:val="0"/>
                <w:color w:val="212121"/>
                <w:sz w:val="16"/>
              </w:rPr>
              <w:t>Alcohol; Smoking;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Directs integrated management (ART, glycaemic control, nutrition)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Nutritional assessment</w:t>
            </w:r>
          </w:p>
        </w:tc>
        <w:tc>
          <w:tcPr>
            <w:tcW w:type="dxa" w:w="979"/>
            <w:vAlign w:val="top"/>
          </w:tcPr>
          <w:p>
            <w:pPr>
              <w:spacing w:after="40" w:before="0" w:line="259" w:lineRule="auto"/>
            </w:pPr>
            <w:r>
              <w:rPr>
                <w:rFonts w:ascii="Calibri" w:hAnsi="Calibri"/>
                <w:b w:val="0"/>
                <w:i w:val="0"/>
                <w:color w:val="212121"/>
                <w:sz w:val="16"/>
              </w:rPr>
              <w:t>BMI, MUAC, wasting</w:t>
            </w:r>
          </w:p>
        </w:tc>
        <w:tc>
          <w:tcPr>
            <w:tcW w:type="dxa" w:w="950"/>
            <w:vAlign w:val="top"/>
          </w:tcPr>
          <w:p>
            <w:pPr>
              <w:spacing w:after="40" w:before="0" w:line="259" w:lineRule="auto"/>
            </w:pPr>
            <w:r>
              <w:rPr>
                <w:rFonts w:ascii="Calibri" w:hAnsi="Calibri"/>
                <w:b w:val="0"/>
                <w:i w:val="0"/>
                <w:color w:val="212121"/>
                <w:sz w:val="16"/>
              </w:rPr>
              <w:t>BMI 18.5–24.9</w:t>
            </w:r>
          </w:p>
        </w:tc>
        <w:tc>
          <w:tcPr>
            <w:tcW w:type="dxa" w:w="950"/>
            <w:vAlign w:val="top"/>
          </w:tcPr>
          <w:p>
            <w:pPr>
              <w:spacing w:after="40" w:before="0" w:line="259" w:lineRule="auto"/>
            </w:pPr>
            <w:r>
              <w:rPr>
                <w:rFonts w:ascii="Calibri" w:hAnsi="Calibri"/>
                <w:b w:val="0"/>
                <w:i w:val="0"/>
                <w:color w:val="212121"/>
                <w:sz w:val="16"/>
              </w:rPr>
              <w:t>BMI &lt; 18.5 / visible wasting</w:t>
            </w:r>
          </w:p>
        </w:tc>
        <w:tc>
          <w:tcPr>
            <w:tcW w:type="dxa" w:w="1036"/>
            <w:vAlign w:val="top"/>
          </w:tcPr>
          <w:p>
            <w:pPr>
              <w:spacing w:after="40" w:before="0" w:line="259" w:lineRule="auto"/>
            </w:pPr>
            <w:r>
              <w:rPr>
                <w:rFonts w:ascii="Calibri" w:hAnsi="Calibri"/>
                <w:b w:val="0"/>
                <w:i w:val="0"/>
                <w:color w:val="212121"/>
                <w:sz w:val="16"/>
              </w:rPr>
              <w:t>Undernutrition predicts poor outcome and guides nutritional therapy</w:t>
            </w:r>
          </w:p>
        </w:tc>
        <w:tc>
          <w:tcPr>
            <w:tcW w:type="dxa" w:w="1036"/>
            <w:vAlign w:val="top"/>
          </w:tcPr>
          <w:p>
            <w:pPr>
              <w:spacing w:after="40" w:before="0" w:line="259" w:lineRule="auto"/>
            </w:pPr>
            <w:r>
              <w:rPr>
                <w:rFonts w:ascii="Calibri" w:hAnsi="Calibri"/>
                <w:b w:val="0"/>
                <w:i w:val="0"/>
                <w:color w:val="212121"/>
                <w:sz w:val="16"/>
              </w:rPr>
              <w:t>All DR-TB, especially rural/poor</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 priority</w:t>
            </w:r>
          </w:p>
        </w:tc>
        <w:tc>
          <w:tcPr>
            <w:tcW w:type="dxa" w:w="720"/>
            <w:vAlign w:val="top"/>
          </w:tcPr>
          <w:p>
            <w:pPr>
              <w:spacing w:after="40" w:before="0" w:line="259" w:lineRule="auto"/>
            </w:pPr>
            <w:r>
              <w:rPr>
                <w:rFonts w:ascii="Calibri" w:hAnsi="Calibri"/>
                <w:b w:val="0"/>
                <w:i w:val="0"/>
                <w:color w:val="212121"/>
                <w:sz w:val="16"/>
              </w:rPr>
              <w:t>Enrol in nutritional support (e.g., Ni-kshay Poshan Yojana)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Respiratory examination</w:t>
            </w:r>
          </w:p>
        </w:tc>
        <w:tc>
          <w:tcPr>
            <w:tcW w:type="dxa" w:w="979"/>
            <w:vAlign w:val="top"/>
          </w:tcPr>
          <w:p>
            <w:pPr>
              <w:spacing w:after="40" w:before="0" w:line="259" w:lineRule="auto"/>
            </w:pPr>
            <w:r>
              <w:rPr>
                <w:rFonts w:ascii="Calibri" w:hAnsi="Calibri"/>
                <w:b w:val="0"/>
                <w:i w:val="0"/>
                <w:color w:val="212121"/>
                <w:sz w:val="16"/>
              </w:rPr>
              <w:t>Crepitations, bronchial breathing, amphoric/cavernous sounds, effusion signs</w:t>
            </w:r>
          </w:p>
        </w:tc>
        <w:tc>
          <w:tcPr>
            <w:tcW w:type="dxa" w:w="950"/>
            <w:vAlign w:val="top"/>
          </w:tcPr>
          <w:p>
            <w:pPr>
              <w:spacing w:after="40" w:before="0" w:line="259" w:lineRule="auto"/>
            </w:pPr>
            <w:r>
              <w:rPr>
                <w:rFonts w:ascii="Calibri" w:hAnsi="Calibri"/>
                <w:b w:val="0"/>
                <w:i w:val="0"/>
                <w:color w:val="212121"/>
                <w:sz w:val="16"/>
              </w:rPr>
              <w:t>Normal breath sounds</w:t>
            </w:r>
          </w:p>
        </w:tc>
        <w:tc>
          <w:tcPr>
            <w:tcW w:type="dxa" w:w="950"/>
            <w:vAlign w:val="top"/>
          </w:tcPr>
          <w:p>
            <w:pPr>
              <w:spacing w:after="40" w:before="0" w:line="259" w:lineRule="auto"/>
            </w:pPr>
            <w:r>
              <w:rPr>
                <w:rFonts w:ascii="Calibri" w:hAnsi="Calibri"/>
                <w:b w:val="0"/>
                <w:i w:val="0"/>
                <w:color w:val="212121"/>
                <w:sz w:val="16"/>
              </w:rPr>
              <w:t>Adventitious sounds / consolidation / effusion / cavity signs</w:t>
            </w:r>
          </w:p>
        </w:tc>
        <w:tc>
          <w:tcPr>
            <w:tcW w:type="dxa" w:w="1036"/>
            <w:vAlign w:val="top"/>
          </w:tcPr>
          <w:p>
            <w:pPr>
              <w:spacing w:after="40" w:before="0" w:line="259" w:lineRule="auto"/>
            </w:pPr>
            <w:r>
              <w:rPr>
                <w:rFonts w:ascii="Calibri" w:hAnsi="Calibri"/>
                <w:b w:val="0"/>
                <w:i w:val="0"/>
                <w:color w:val="212121"/>
                <w:sz w:val="16"/>
              </w:rPr>
              <w:t>Localises extent and detects complications</w:t>
            </w:r>
          </w:p>
        </w:tc>
        <w:tc>
          <w:tcPr>
            <w:tcW w:type="dxa" w:w="1036"/>
            <w:vAlign w:val="top"/>
          </w:tcPr>
          <w:p>
            <w:pPr>
              <w:spacing w:after="40" w:before="0" w:line="259" w:lineRule="auto"/>
            </w:pPr>
            <w:r>
              <w:rPr>
                <w:rFonts w:ascii="Calibri" w:hAnsi="Calibri"/>
                <w:b w:val="0"/>
                <w:i w:val="0"/>
                <w:color w:val="212121"/>
                <w:sz w:val="16"/>
              </w:rPr>
              <w:t>All DR-TB</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Correlate with imaging and bacteriology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Toxicity surveillance</w:t>
            </w:r>
          </w:p>
        </w:tc>
        <w:tc>
          <w:tcPr>
            <w:tcW w:type="dxa" w:w="979"/>
            <w:vAlign w:val="top"/>
          </w:tcPr>
          <w:p>
            <w:pPr>
              <w:spacing w:after="40" w:before="0" w:line="259" w:lineRule="auto"/>
            </w:pPr>
            <w:r>
              <w:rPr>
                <w:rFonts w:ascii="Calibri" w:hAnsi="Calibri"/>
                <w:b w:val="0"/>
                <w:i w:val="0"/>
                <w:color w:val="212121"/>
                <w:sz w:val="16"/>
              </w:rPr>
              <w:t>Peripheral neuropathy, visual acuity/colour, hearing, skin, mental state</w:t>
            </w:r>
          </w:p>
        </w:tc>
        <w:tc>
          <w:tcPr>
            <w:tcW w:type="dxa" w:w="950"/>
            <w:vAlign w:val="top"/>
          </w:tcPr>
          <w:p>
            <w:pPr>
              <w:spacing w:after="40" w:before="0" w:line="259" w:lineRule="auto"/>
            </w:pPr>
            <w:r>
              <w:rPr>
                <w:rFonts w:ascii="Calibri" w:hAnsi="Calibri"/>
                <w:b w:val="0"/>
                <w:i w:val="0"/>
                <w:color w:val="212121"/>
                <w:sz w:val="16"/>
              </w:rPr>
              <w:t>No toxicity</w:t>
            </w:r>
          </w:p>
        </w:tc>
        <w:tc>
          <w:tcPr>
            <w:tcW w:type="dxa" w:w="950"/>
            <w:vAlign w:val="top"/>
          </w:tcPr>
          <w:p>
            <w:pPr>
              <w:spacing w:after="40" w:before="0" w:line="259" w:lineRule="auto"/>
            </w:pPr>
            <w:r>
              <w:rPr>
                <w:rFonts w:ascii="Calibri" w:hAnsi="Calibri"/>
                <w:b w:val="0"/>
                <w:i w:val="0"/>
                <w:color w:val="212121"/>
                <w:sz w:val="16"/>
              </w:rPr>
              <w:t>Neuropathy, optic/colour changes, hearing loss, dysglycaemia, depression</w:t>
            </w:r>
          </w:p>
        </w:tc>
        <w:tc>
          <w:tcPr>
            <w:tcW w:type="dxa" w:w="1036"/>
            <w:vAlign w:val="top"/>
          </w:tcPr>
          <w:p>
            <w:pPr>
              <w:spacing w:after="40" w:before="0" w:line="259" w:lineRule="auto"/>
            </w:pPr>
            <w:r>
              <w:rPr>
                <w:rFonts w:ascii="Calibri" w:hAnsi="Calibri"/>
                <w:b w:val="0"/>
                <w:i w:val="0"/>
                <w:color w:val="212121"/>
                <w:sz w:val="16"/>
              </w:rPr>
              <w:t>Detects second-line drug adverse effects (linezolid, injectables, cycloserine)</w:t>
            </w:r>
          </w:p>
        </w:tc>
        <w:tc>
          <w:tcPr>
            <w:tcW w:type="dxa" w:w="1036"/>
            <w:vAlign w:val="top"/>
          </w:tcPr>
          <w:p>
            <w:pPr>
              <w:spacing w:after="40" w:before="0" w:line="259" w:lineRule="auto"/>
            </w:pPr>
            <w:r>
              <w:rPr>
                <w:rFonts w:ascii="Calibri" w:hAnsi="Calibri"/>
                <w:b w:val="0"/>
                <w:i w:val="0"/>
                <w:color w:val="212121"/>
                <w:sz w:val="16"/>
              </w:rPr>
              <w:t>DR-TB on long/second-line regimens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Ongoing monitoring</w:t>
            </w:r>
          </w:p>
        </w:tc>
        <w:tc>
          <w:tcPr>
            <w:tcW w:type="dxa" w:w="720"/>
            <w:vAlign w:val="top"/>
          </w:tcPr>
          <w:p>
            <w:pPr>
              <w:spacing w:after="40" w:before="0" w:line="259" w:lineRule="auto"/>
            </w:pPr>
            <w:r>
              <w:rPr>
                <w:rFonts w:ascii="Calibri" w:hAnsi="Calibri"/>
                <w:b w:val="0"/>
                <w:i w:val="0"/>
                <w:color w:val="212121"/>
                <w:sz w:val="16"/>
              </w:rPr>
              <w:t>Enables timely dose adjustment and active drug-safety monitoring (aDSM)</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Persistent cough &gt; 2 weeks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Chronic productive cough that fails to resolve; hallmark of active pulmonary TB and often persistent in DR-TB.</w:t>
            </w:r>
          </w:p>
        </w:tc>
      </w:tr>
      <w:tr>
        <w:trPr>
          <w:cantSplit/>
        </w:trPr>
        <w:tc>
          <w:tcPr>
            <w:tcW w:type="dxa" w:w="2304"/>
            <w:vAlign w:val="top"/>
          </w:tcPr>
          <w:p>
            <w:pPr>
              <w:spacing w:after="40" w:before="0" w:line="259" w:lineRule="auto"/>
            </w:pPr>
            <w:r>
              <w:rPr>
                <w:rFonts w:ascii="Calibri" w:hAnsi="Calibri"/>
                <w:b/>
                <w:i w:val="0"/>
                <w:color w:val="212121"/>
                <w:sz w:val="19"/>
              </w:rPr>
              <w:t>Symptoms persisting/recurring despite treatment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Failure to improve, or relapse, on standard therapy is a key clue to underlying drug resistance.</w:t>
            </w:r>
          </w:p>
        </w:tc>
      </w:tr>
      <w:tr>
        <w:trPr>
          <w:cantSplit/>
        </w:trPr>
        <w:tc>
          <w:tcPr>
            <w:tcW w:type="dxa" w:w="2304"/>
            <w:vAlign w:val="top"/>
          </w:tcPr>
          <w:p>
            <w:pPr>
              <w:spacing w:after="40" w:before="0" w:line="259" w:lineRule="auto"/>
            </w:pPr>
            <w:r>
              <w:rPr>
                <w:rFonts w:ascii="Calibri" w:hAnsi="Calibri"/>
                <w:b/>
                <w:i w:val="0"/>
                <w:color w:val="212121"/>
                <w:sz w:val="19"/>
              </w:rPr>
              <w:t>Low-grade fever with evening rise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Classic TB fever pattern with chills, reflecting ongoing mycobacterial activity.</w:t>
            </w:r>
          </w:p>
        </w:tc>
      </w:tr>
      <w:tr>
        <w:trPr>
          <w:cantSplit/>
        </w:trPr>
        <w:tc>
          <w:tcPr>
            <w:tcW w:type="dxa" w:w="2304"/>
            <w:vAlign w:val="top"/>
          </w:tcPr>
          <w:p>
            <w:pPr>
              <w:spacing w:after="40" w:before="0" w:line="259" w:lineRule="auto"/>
            </w:pPr>
            <w:r>
              <w:rPr>
                <w:rFonts w:ascii="Calibri" w:hAnsi="Calibri"/>
                <w:b/>
                <w:i w:val="0"/>
                <w:color w:val="212121"/>
                <w:sz w:val="19"/>
              </w:rPr>
              <w:t>Night sweats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Drenching nocturnal sweating typical of active tuberculosis.</w:t>
            </w:r>
          </w:p>
        </w:tc>
      </w:tr>
      <w:tr>
        <w:trPr>
          <w:cantSplit/>
        </w:trPr>
        <w:tc>
          <w:tcPr>
            <w:tcW w:type="dxa" w:w="2304"/>
            <w:vAlign w:val="top"/>
          </w:tcPr>
          <w:p>
            <w:pPr>
              <w:spacing w:after="40" w:before="0" w:line="259" w:lineRule="auto"/>
            </w:pPr>
            <w:r>
              <w:rPr>
                <w:rFonts w:ascii="Calibri" w:hAnsi="Calibri"/>
                <w:b/>
                <w:i w:val="0"/>
                <w:color w:val="212121"/>
                <w:sz w:val="19"/>
              </w:rPr>
              <w:t>Unintentional 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wasting from chronic infection and anorexia; often marked in DR-TB.</w:t>
            </w:r>
          </w:p>
        </w:tc>
      </w:tr>
      <w:tr>
        <w:trPr>
          <w:cantSplit/>
        </w:trPr>
        <w:tc>
          <w:tcPr>
            <w:tcW w:type="dxa" w:w="2304"/>
            <w:vAlign w:val="top"/>
          </w:tcPr>
          <w:p>
            <w:pPr>
              <w:spacing w:after="40" w:before="0" w:line="259" w:lineRule="auto"/>
            </w:pPr>
            <w:r>
              <w:rPr>
                <w:rFonts w:ascii="Calibri" w:hAnsi="Calibri"/>
                <w:b/>
                <w:i w:val="0"/>
                <w:color w:val="212121"/>
                <w:sz w:val="19"/>
              </w:rPr>
              <w:t>Loss of appetite (anorexia)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intake compounds undernutrition and slows recovery.</w:t>
            </w:r>
          </w:p>
        </w:tc>
      </w:tr>
      <w:tr>
        <w:trPr>
          <w:cantSplit/>
        </w:trPr>
        <w:tc>
          <w:tcPr>
            <w:tcW w:type="dxa" w:w="2304"/>
            <w:vAlign w:val="top"/>
          </w:tcPr>
          <w:p>
            <w:pPr>
              <w:spacing w:after="40" w:before="0" w:line="259" w:lineRule="auto"/>
            </w:pPr>
            <w:r>
              <w:rPr>
                <w:rFonts w:ascii="Calibri" w:hAnsi="Calibri"/>
                <w:b/>
                <w:i w:val="0"/>
                <w:color w:val="212121"/>
                <w:sz w:val="19"/>
              </w:rPr>
              <w:t>Fatigue and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tiredness and weakness from chronic infection and anaemia.</w:t>
            </w:r>
          </w:p>
        </w:tc>
      </w:tr>
      <w:tr>
        <w:trPr>
          <w:cantSplit/>
        </w:trPr>
        <w:tc>
          <w:tcPr>
            <w:tcW w:type="dxa" w:w="2304"/>
            <w:vAlign w:val="top"/>
          </w:tcPr>
          <w:p>
            <w:pPr>
              <w:spacing w:after="40" w:before="0" w:line="259" w:lineRule="auto"/>
            </w:pPr>
            <w:r>
              <w:rPr>
                <w:rFonts w:ascii="Calibri" w:hAnsi="Calibri"/>
                <w:b/>
                <w:i w:val="0"/>
                <w:color w:val="212121"/>
                <w:sz w:val="19"/>
              </w:rPr>
              <w:t>Haemoptysis (blood in sputum)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Bleeding from inflamed or cavitary lung tissue; may be recurrent in long-standing DR-TB.</w:t>
            </w:r>
          </w:p>
        </w:tc>
      </w:tr>
      <w:tr>
        <w:trPr>
          <w:cantSplit/>
        </w:trPr>
        <w:tc>
          <w:tcPr>
            <w:tcW w:type="dxa" w:w="2304"/>
            <w:vAlign w:val="top"/>
          </w:tcPr>
          <w:p>
            <w:pPr>
              <w:spacing w:after="40" w:before="0" w:line="259" w:lineRule="auto"/>
            </w:pPr>
            <w:r>
              <w:rPr>
                <w:rFonts w:ascii="Calibri" w:hAnsi="Calibri"/>
                <w:b/>
                <w:i w:val="0"/>
                <w:color w:val="212121"/>
                <w:sz w:val="19"/>
              </w:rPr>
              <w:t>Chest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Pleuritic or dull chest pain from parenchymal or pleural involvement.</w:t>
            </w:r>
          </w:p>
        </w:tc>
      </w:tr>
      <w:tr>
        <w:trPr>
          <w:cantSplit/>
        </w:trPr>
        <w:tc>
          <w:tcPr>
            <w:tcW w:type="dxa" w:w="2304"/>
            <w:vAlign w:val="top"/>
          </w:tcPr>
          <w:p>
            <w:pPr>
              <w:spacing w:after="40" w:before="0" w:line="259" w:lineRule="auto"/>
            </w:pPr>
            <w:r>
              <w:rPr>
                <w:rFonts w:ascii="Calibri" w:hAnsi="Calibri"/>
                <w:b/>
                <w:i w:val="0"/>
                <w:color w:val="212121"/>
                <w:sz w:val="19"/>
              </w:rPr>
              <w:t>Breathlessness (dyspnoea)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Occurs with extensive disease, effusion, or advanced lung destruction.</w:t>
            </w:r>
          </w:p>
        </w:tc>
      </w:tr>
      <w:tr>
        <w:trPr>
          <w:cantSplit/>
        </w:trPr>
        <w:tc>
          <w:tcPr>
            <w:tcW w:type="dxa" w:w="2304"/>
            <w:vAlign w:val="top"/>
          </w:tcPr>
          <w:p>
            <w:pPr>
              <w:spacing w:after="40" w:before="0" w:line="259" w:lineRule="auto"/>
            </w:pPr>
            <w:r>
              <w:rPr>
                <w:rFonts w:ascii="Calibri" w:hAnsi="Calibri"/>
                <w:b/>
                <w:i w:val="0"/>
                <w:color w:val="212121"/>
                <w:sz w:val="19"/>
              </w:rPr>
              <w:t>Drug-related nausea/vomiting, tingling, dizziness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Adverse effects of second-line drugs (e.g., linezolid neuropathy, bedaquiline/moxifloxacin effects) that may impair adherence.</w:t>
            </w:r>
          </w:p>
        </w:tc>
      </w:tr>
      <w:tr>
        <w:trPr>
          <w:cantSplit/>
        </w:trPr>
        <w:tc>
          <w:tcPr>
            <w:tcW w:type="dxa" w:w="2304"/>
            <w:vAlign w:val="top"/>
          </w:tcPr>
          <w:p>
            <w:pPr>
              <w:spacing w:after="40" w:before="0" w:line="259" w:lineRule="auto"/>
            </w:pPr>
            <w:r>
              <w:rPr>
                <w:rFonts w:ascii="Calibri" w:hAnsi="Calibri"/>
                <w:b/>
                <w:i w:val="0"/>
                <w:color w:val="212121"/>
                <w:sz w:val="19"/>
              </w:rPr>
              <w:t>Hoarseness of voice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laryngeal TB, which is highly infectious and may indicate advanced disease.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Cachexia / low BMI</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wasting and muscle loss reflecting chronic catabolic infection and undernutrition.</w:t>
            </w:r>
          </w:p>
        </w:tc>
      </w:tr>
      <w:tr>
        <w:trPr>
          <w:cantSplit/>
        </w:trPr>
        <w:tc>
          <w:tcPr>
            <w:tcW w:type="dxa" w:w="3456"/>
            <w:vAlign w:val="top"/>
          </w:tcPr>
          <w:p>
            <w:pPr>
              <w:spacing w:after="40" w:before="0" w:line="259" w:lineRule="auto"/>
            </w:pPr>
            <w:r>
              <w:rPr>
                <w:rFonts w:ascii="Calibri" w:hAnsi="Calibri"/>
                <w:b/>
                <w:i w:val="0"/>
                <w:color w:val="212121"/>
                <w:sz w:val="19"/>
              </w:rPr>
              <w:t>Pallor (anaemia)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Anaemia of chronic disease, sometimes worsened by linezolid-induced myelosuppression.</w:t>
            </w:r>
          </w:p>
        </w:tc>
      </w:tr>
      <w:tr>
        <w:trPr>
          <w:cantSplit/>
        </w:trPr>
        <w:tc>
          <w:tcPr>
            <w:tcW w:type="dxa" w:w="3456"/>
            <w:vAlign w:val="top"/>
          </w:tcPr>
          <w:p>
            <w:pPr>
              <w:spacing w:after="40" w:before="0" w:line="259" w:lineRule="auto"/>
            </w:pPr>
            <w:r>
              <w:rPr>
                <w:rFonts w:ascii="Calibri" w:hAnsi="Calibri"/>
                <w:b/>
                <w:i w:val="0"/>
                <w:color w:val="212121"/>
                <w:sz w:val="19"/>
              </w:rPr>
              <w:t>Fever and 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Signs of ongoing systemic infection.</w:t>
            </w:r>
          </w:p>
        </w:tc>
      </w:tr>
      <w:tr>
        <w:trPr>
          <w:cantSplit/>
        </w:trPr>
        <w:tc>
          <w:tcPr>
            <w:tcW w:type="dxa" w:w="3456"/>
            <w:vAlign w:val="top"/>
          </w:tcPr>
          <w:p>
            <w:pPr>
              <w:spacing w:after="40" w:before="0" w:line="259" w:lineRule="auto"/>
            </w:pPr>
            <w:r>
              <w:rPr>
                <w:rFonts w:ascii="Calibri" w:hAnsi="Calibri"/>
                <w:b/>
                <w:i w:val="0"/>
                <w:color w:val="212121"/>
                <w:sz w:val="19"/>
              </w:rPr>
              <w:t>Crepitations / crackles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Adventitious sounds over affected upper zones on auscultation.</w:t>
            </w:r>
          </w:p>
        </w:tc>
      </w:tr>
      <w:tr>
        <w:trPr>
          <w:cantSplit/>
        </w:trPr>
        <w:tc>
          <w:tcPr>
            <w:tcW w:type="dxa" w:w="3456"/>
            <w:vAlign w:val="top"/>
          </w:tcPr>
          <w:p>
            <w:pPr>
              <w:spacing w:after="40" w:before="0" w:line="259" w:lineRule="auto"/>
            </w:pPr>
            <w:r>
              <w:rPr>
                <w:rFonts w:ascii="Calibri" w:hAnsi="Calibri"/>
                <w:b/>
                <w:i w:val="0"/>
                <w:color w:val="212121"/>
                <w:sz w:val="19"/>
              </w:rPr>
              <w:t>Bronchial breath sounds / signs of consolidation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Dullness, increased vocal resonance over consolidated lung.</w:t>
            </w:r>
          </w:p>
        </w:tc>
      </w:tr>
      <w:tr>
        <w:trPr>
          <w:cantSplit/>
        </w:trPr>
        <w:tc>
          <w:tcPr>
            <w:tcW w:type="dxa" w:w="3456"/>
            <w:vAlign w:val="top"/>
          </w:tcPr>
          <w:p>
            <w:pPr>
              <w:spacing w:after="40" w:before="0" w:line="259" w:lineRule="auto"/>
            </w:pPr>
            <w:r>
              <w:rPr>
                <w:rFonts w:ascii="Calibri" w:hAnsi="Calibri"/>
                <w:b/>
                <w:i w:val="0"/>
                <w:color w:val="212121"/>
                <w:sz w:val="19"/>
              </w:rPr>
              <w:t>Amphoric / cavernous breath sounds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Hollow breath sounds over a large cavity — marker of high bacillary load.</w:t>
            </w:r>
          </w:p>
        </w:tc>
      </w:tr>
      <w:tr>
        <w:trPr>
          <w:cantSplit/>
        </w:trPr>
        <w:tc>
          <w:tcPr>
            <w:tcW w:type="dxa" w:w="3456"/>
            <w:vAlign w:val="top"/>
          </w:tcPr>
          <w:p>
            <w:pPr>
              <w:spacing w:after="40" w:before="0" w:line="259" w:lineRule="auto"/>
            </w:pPr>
            <w:r>
              <w:rPr>
                <w:rFonts w:ascii="Calibri" w:hAnsi="Calibri"/>
                <w:b/>
                <w:i w:val="0"/>
                <w:color w:val="212121"/>
                <w:sz w:val="19"/>
              </w:rPr>
              <w:t>Cervical / mediastinal lymphadenopathy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Firm, matted nodes suggesting nodal or extrapulmonary involvement.</w:t>
            </w:r>
          </w:p>
        </w:tc>
      </w:tr>
      <w:tr>
        <w:trPr>
          <w:cantSplit/>
        </w:trPr>
        <w:tc>
          <w:tcPr>
            <w:tcW w:type="dxa" w:w="3456"/>
            <w:vAlign w:val="top"/>
          </w:tcPr>
          <w:p>
            <w:pPr>
              <w:spacing w:after="40" w:before="0" w:line="259" w:lineRule="auto"/>
            </w:pPr>
            <w:r>
              <w:rPr>
                <w:rFonts w:ascii="Calibri" w:hAnsi="Calibri"/>
                <w:b/>
                <w:i w:val="0"/>
                <w:color w:val="212121"/>
                <w:sz w:val="19"/>
              </w:rPr>
              <w:t>Signs of pleural effusion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Stony dull percussion note with reduced breath sounds and reduced chest movement.</w:t>
            </w:r>
          </w:p>
        </w:tc>
      </w:tr>
      <w:tr>
        <w:trPr>
          <w:cantSplit/>
        </w:trPr>
        <w:tc>
          <w:tcPr>
            <w:tcW w:type="dxa" w:w="3456"/>
            <w:vAlign w:val="top"/>
          </w:tcPr>
          <w:p>
            <w:pPr>
              <w:spacing w:after="40" w:before="0" w:line="259" w:lineRule="auto"/>
            </w:pPr>
            <w:r>
              <w:rPr>
                <w:rFonts w:ascii="Calibri" w:hAnsi="Calibri"/>
                <w:b/>
                <w:i w:val="0"/>
                <w:color w:val="212121"/>
                <w:sz w:val="19"/>
              </w:rPr>
              <w:t>Digital clubbing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Develops in chronic, extensive or long-standing pulmonary disease.</w:t>
            </w:r>
          </w:p>
        </w:tc>
      </w:tr>
      <w:tr>
        <w:trPr>
          <w:cantSplit/>
        </w:trPr>
        <w:tc>
          <w:tcPr>
            <w:tcW w:type="dxa" w:w="3456"/>
            <w:vAlign w:val="top"/>
          </w:tcPr>
          <w:p>
            <w:pPr>
              <w:spacing w:after="40" w:before="0" w:line="259" w:lineRule="auto"/>
            </w:pPr>
            <w:r>
              <w:rPr>
                <w:rFonts w:ascii="Calibri" w:hAnsi="Calibri"/>
                <w:b/>
                <w:i w:val="0"/>
                <w:color w:val="212121"/>
                <w:sz w:val="19"/>
              </w:rPr>
              <w:t>Peripheral neuropathy signs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Reduced sensation/reflexes from linezolid or cycloserine toxicity during long regimens.</w:t>
            </w:r>
          </w:p>
        </w:tc>
      </w:tr>
      <w:tr>
        <w:trPr>
          <w:cantSplit/>
        </w:trPr>
        <w:tc>
          <w:tcPr>
            <w:tcW w:type="dxa" w:w="3456"/>
            <w:vAlign w:val="top"/>
          </w:tcPr>
          <w:p>
            <w:pPr>
              <w:spacing w:after="40" w:before="0" w:line="259" w:lineRule="auto"/>
            </w:pPr>
            <w:r>
              <w:rPr>
                <w:rFonts w:ascii="Calibri" w:hAnsi="Calibri"/>
                <w:b/>
                <w:i w:val="0"/>
                <w:color w:val="212121"/>
                <w:sz w:val="19"/>
              </w:rPr>
              <w:t>Icterus / tender hepatomegaly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Drug-induced hepatotoxicity from anti-TB medicines, especially with alcohol use.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 failure with persistent culture positivity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Amplification of resistance (MDR → pre-XDR → XDR) under inadequate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Continued airborne transmission of resistant strains to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Extensive lung parenchymal destruction and cavitation</w:t>
            </w:r>
          </w:p>
        </w:tc>
        <w:tc>
          <w:tcPr>
            <w:tcW w:type="dxa" w:w="2980"/>
            <w:vAlign w:val="top"/>
          </w:tcPr>
          <w:p>
            <w:pPr>
              <w:spacing w:after="40" w:before="0" w:line="259" w:lineRule="auto"/>
            </w:pPr>
            <w:r>
              <w:rPr>
                <w:rFonts w:ascii="Calibri" w:hAnsi="Calibri"/>
                <w:b w:val="0"/>
                <w:i w:val="0"/>
                <w:color w:val="212121"/>
                <w:sz w:val="19"/>
              </w:rPr>
              <w:t>Direct consequences of poorly controlled, drug-resistant mycobacterial infection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Massive or recurrent haemoptysis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infection of cavities — chronic pulmonary aspergillosis / aspergilloma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Bronchiectasis and recurrent bacterial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Spontaneous pneumothorax and empyema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Second-line drug toxicities: linezolid myelosuppression / peripheral &amp; optic neuropathy, bedaquiline–moxifloxacin QT prolongation, hepatotoxicity, nephro-/oto-toxicity (injectables), hypothyroidism (ethionamide/PAS), psychosis (cycloserine)</w:t>
            </w:r>
          </w:p>
        </w:tc>
        <w:tc>
          <w:tcPr>
            <w:tcW w:type="dxa" w:w="2980"/>
            <w:vAlign w:val="top"/>
          </w:tcPr>
          <w:p>
            <w:pPr>
              <w:spacing w:after="40" w:before="0" w:line="259" w:lineRule="auto"/>
            </w:pPr>
            <w:r>
              <w:rPr>
                <w:rFonts w:ascii="Calibri" w:hAnsi="Calibri"/>
                <w:b w:val="0"/>
                <w:i w:val="0"/>
                <w:color w:val="212121"/>
                <w:sz w:val="19"/>
              </w:rPr>
              <w:t>Arise from chronic structural lung damage and from the prolonged, toxic second-line regimens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respiratory failure and post-TB lung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 pulmonale (pulmonary hypertension and right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Destroyed lung requiring long-term care or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disability, unemployment and catastrophic costs / impoverishment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and lasting mental-health and social sequelae (stigma, isolation)</w:t>
            </w:r>
          </w:p>
        </w:tc>
        <w:tc>
          <w:tcPr>
            <w:tcW w:type="dxa" w:w="2980"/>
            <w:vAlign w:val="top"/>
          </w:tcPr>
          <w:p>
            <w:pPr>
              <w:spacing w:after="40" w:before="0" w:line="259" w:lineRule="auto"/>
            </w:pPr>
            <w:r>
              <w:rPr>
                <w:rFonts w:ascii="Calibri" w:hAnsi="Calibri"/>
                <w:b w:val="0"/>
                <w:i w:val="0"/>
                <w:color w:val="212121"/>
                <w:sz w:val="19"/>
              </w:rPr>
              <w:t>Irreversible, disabling and socioeconomic outcomes of long-standing drug-resistant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HIV / AIDS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Immunosuppression sharply increases progression to active TB and reactivation, complicates DR-TB with drug interactions and overlapping toxicity; MDR-TB reached 12.5% among PLHIV in Western India.</w:t>
            </w:r>
          </w:p>
          <w:p>
            <w:pPr>
              <w:spacing w:after="40" w:before="0" w:line="259" w:lineRule="auto"/>
            </w:pPr>
            <w:r>
              <w:rPr>
                <w:rFonts w:ascii="Calibri" w:hAnsi="Calibri"/>
                <w:b/>
                <w:i w:val="0"/>
                <w:color w:val="212121"/>
                <w:sz w:val="19"/>
              </w:rPr>
              <w:t>Up to ~12.5% MDR among PLHIV</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impairs immunity and alters drug pharmacokinetics, raising MDR-TB odds (pooled OR 1.71) and delaying sputum conversion; India's dual epidemic amplifies this.</w:t>
            </w:r>
          </w:p>
          <w:p>
            <w:pPr>
              <w:spacing w:after="40" w:before="0" w:line="259" w:lineRule="auto"/>
            </w:pPr>
            <w:r>
              <w:rPr>
                <w:rFonts w:ascii="Calibri" w:hAnsi="Calibri"/>
                <w:b/>
                <w:i w:val="0"/>
                <w:color w:val="212121"/>
                <w:sz w:val="19"/>
              </w:rPr>
              <w:t>OR ~1.71 for MDR-TB</w:t>
            </w:r>
          </w:p>
        </w:tc>
      </w:tr>
      <w:tr>
        <w:trPr>
          <w:cantSplit/>
        </w:trPr>
        <w:tc>
          <w:tcPr>
            <w:tcW w:type="dxa" w:w="2232"/>
            <w:vAlign w:val="top"/>
          </w:tcPr>
          <w:p>
            <w:pPr>
              <w:spacing w:after="40" w:before="0" w:line="259" w:lineRule="auto"/>
            </w:pPr>
            <w:r>
              <w:rPr>
                <w:rFonts w:ascii="Calibri" w:hAnsi="Calibri"/>
                <w:b/>
                <w:i w:val="0"/>
                <w:color w:val="212121"/>
                <w:sz w:val="19"/>
              </w:rPr>
              <w:t>Undernutrition / protein-energy malnutrition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Both a cause and consequence of TB; low BMI predicts failure, relapse and death and lowers drug exposure, favouring resistance.</w:t>
            </w:r>
          </w:p>
          <w:p>
            <w:pPr>
              <w:spacing w:after="40" w:before="0" w:line="259" w:lineRule="auto"/>
            </w:pPr>
            <w:r>
              <w:rPr>
                <w:rFonts w:ascii="Calibri" w:hAnsi="Calibri"/>
                <w:b/>
                <w:i w:val="0"/>
                <w:color w:val="212121"/>
                <w:sz w:val="19"/>
              </w:rPr>
              <w:t>Major attributable factor in India</w:t>
            </w:r>
          </w:p>
        </w:tc>
      </w:tr>
      <w:tr>
        <w:trPr>
          <w:cantSplit/>
        </w:trPr>
        <w:tc>
          <w:tcPr>
            <w:tcW w:type="dxa" w:w="2232"/>
            <w:vAlign w:val="top"/>
          </w:tcPr>
          <w:p>
            <w:pPr>
              <w:spacing w:after="40" w:before="0" w:line="259" w:lineRule="auto"/>
            </w:pPr>
            <w:r>
              <w:rPr>
                <w:rFonts w:ascii="Calibri" w:hAnsi="Calibri"/>
                <w:b/>
                <w:i w:val="0"/>
                <w:color w:val="212121"/>
                <w:sz w:val="19"/>
              </w:rPr>
              <w:t>Alcohol use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Drives treatment interruption and loss to follow-up, worsens hepatotoxicity and undernutrition, and predicts unfavourable MDR-TB outcomes.</w:t>
            </w:r>
          </w:p>
        </w:tc>
      </w:tr>
      <w:tr>
        <w:trPr>
          <w:cantSplit/>
        </w:trPr>
        <w:tc>
          <w:tcPr>
            <w:tcW w:type="dxa" w:w="2232"/>
            <w:vAlign w:val="top"/>
          </w:tcPr>
          <w:p>
            <w:pPr>
              <w:spacing w:after="40" w:before="0" w:line="259" w:lineRule="auto"/>
            </w:pPr>
            <w:r>
              <w:rPr>
                <w:rFonts w:ascii="Calibri" w:hAnsi="Calibri"/>
                <w:b/>
                <w:i w:val="0"/>
                <w:color w:val="212121"/>
                <w:sz w:val="19"/>
              </w:rPr>
              <w:t>Post-TB lung disease / COPD</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airflow obstruction, fibrosis and bronchiectasis follow extensive DR-TB and are compounded by smoking.</w:t>
            </w:r>
          </w:p>
        </w:tc>
      </w:tr>
      <w:tr>
        <w:trPr>
          <w:cantSplit/>
        </w:trPr>
        <w:tc>
          <w:tcPr>
            <w:tcW w:type="dxa" w:w="2232"/>
            <w:vAlign w:val="top"/>
          </w:tcPr>
          <w:p>
            <w:pPr>
              <w:spacing w:after="40" w:before="0" w:line="259" w:lineRule="auto"/>
            </w:pPr>
            <w:r>
              <w:rPr>
                <w:rFonts w:ascii="Calibri" w:hAnsi="Calibri"/>
                <w:b/>
                <w:i w:val="0"/>
                <w:color w:val="212121"/>
                <w:sz w:val="19"/>
              </w:rPr>
              <w:t>Silicosis (silicotuberculosis)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Silica exposure cripples alveolar macrophages, greatly increasing TB risk and treatment failure, predisposing to resistance.</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Highly prevalent in DR-TB from long, toxic regimens and stigma; undermines adherence, and some second-line drugs cause neuropsychiatric effects.</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Alters clearance and toxicity of several anti-TB drugs (e.g., injectables), requiring dose adjustment and closer monitoring.</w:t>
            </w:r>
          </w:p>
        </w:tc>
      </w:tr>
      <w:tr>
        <w:trPr>
          <w:cantSplit/>
        </w:trPr>
        <w:tc>
          <w:tcPr>
            <w:tcW w:type="dxa" w:w="2232"/>
            <w:vAlign w:val="top"/>
          </w:tcPr>
          <w:p>
            <w:pPr>
              <w:spacing w:after="40" w:before="0" w:line="259" w:lineRule="auto"/>
            </w:pPr>
            <w:r>
              <w:rPr>
                <w:rFonts w:ascii="Calibri" w:hAnsi="Calibri"/>
                <w:b/>
                <w:i w:val="0"/>
                <w:color w:val="212121"/>
                <w:sz w:val="19"/>
              </w:rPr>
              <w:t>Viral hepatitis (B/C)</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Coexisting liver disease increases risk of drug-induced hepatotoxicity, forcing interruptions that can promote resistance.</w:t>
            </w:r>
          </w:p>
        </w:tc>
      </w:tr>
      <w:tr>
        <w:trPr>
          <w:cantSplit/>
        </w:trPr>
        <w:tc>
          <w:tcPr>
            <w:tcW w:type="dxa" w:w="2232"/>
            <w:vAlign w:val="top"/>
          </w:tcPr>
          <w:p>
            <w:pPr>
              <w:spacing w:after="40" w:before="0" w:line="259" w:lineRule="auto"/>
            </w:pPr>
            <w:r>
              <w:rPr>
                <w:rFonts w:ascii="Calibri" w:hAnsi="Calibri"/>
                <w:b/>
                <w:i w:val="0"/>
                <w:color w:val="212121"/>
                <w:sz w:val="19"/>
              </w:rPr>
              <w:t>Tobacco use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Promotes cavitation, delayed sputum conversion and relapse, and worsens DR-TB treatment outcomes.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regimen without interruption — never take TB drugs irregularly or as monotherapy, as this breeds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Insist on upfront drug-susceptibility testing (Xpert/CBNAAT) for every TB diagnosis and for all previously treated or contact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cough hygiene, ensure cross-ventilation and natural light at home, and keep windows open to cut airborne transmission.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and treat household contacts of DR-TB, and prioritise contacts who are children, elderly, or immunocompromised.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(cough &gt; 2 weeks, blood in sputum, evening fever, night sweats, weight loss) and seek prompt testing.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government support (free diagnostics and drugs, Ni-kshay Poshan Yojana nutritional benefit) and use directly-observed or digital adherence support.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TB and DR-TB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Previously treated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&amp; workplace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Slum and congregate-setting residents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 high-calorie, high-protein diet (aim 1.2–1.5 g protein/kg/day) to reverse wasting and support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micronutrient deficiencies (vitamin D, zinc, iron, vitamin A) alongside energy-dense staples.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Enrol undernourished patients (BMI &lt; 18.5) in structured nutritional support and monitor weight/MUAC at every visit.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pyridoxine (vitamin B6) with isoniazid/linezolid/cycloserine to prevent peripheral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every TB patient for diabetes and optimise glycaemic control, as both nutrition extremes worsen outcomes.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DR-TB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Low-BMI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and poor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TB–diabetes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Begin gentle, graded activity as strength allows to counter deconditioning during long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structured pulmonary rehabilitation for post-TB lung disease and persistent breathlessness.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breathing exercises and chest physiotherapy where there is extensive lung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Balance activity with adequate rest during the intensive phase and periods of drug toxicity.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DR-TB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Post-TB lung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extensive/cavitary disease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7–9 hours of regular, good-quality sleep to support immune function and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drug-related insomnia or vivid dreams (e.g., from fluoroquinolones/cycloserine) by adjusting dose timing with the treating team.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night sweats and cough that disrupt sleep as markers of disease activity needing review.</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DR-TB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long second-line regimens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(cigarettes, bidis, hookah) and smokeless forms — smoking worsens cavitation, delays conversion and increases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brief cessation advice at every visit and link to tobacco-cessation services and behavioural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biomass/indoor air pollution, especially for household contacts and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nicotine-replacement or pharmacotherapy where appropriate under supervision.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and tobacco users with TB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Occupationally exposed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harmful drinking (AUDIT) and counsel complete abstinence during DR-TB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patients with alcohol use disorder to de-addiction and psychosocial support to protect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liver function closely, as alcohol compounds anti-TB drug hepatotoxicity.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Integrate adherence support (DOT/digital) for drinkers, who are at high risk of default and acquired resistance.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alcohol use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defaulters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deranged LFTs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depression and anxiety (e.g., PHQ-9) at baseline and periodically during the long regimen.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peer support and stigma reduction to sustain adherence through months of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for and manage neuropsychiatric effects of linezolid, cycloserine and fluoroquinolones under active drug-safety monitoring.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social and financial distress of DR-TB (loss of work, isolation) through linkage to support schemes.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and community treatment supporters to reinforce adherence and emotional support.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DR-TB patients on long regimens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depression/stigma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and financially vulnerable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ture.com/articles/s41598-020-74432-y" TargetMode="External"/><Relationship Id="rId10" Type="http://schemas.openxmlformats.org/officeDocument/2006/relationships/hyperlink" Target="https://www.infectiologyjournal.com/articles/first-national-antituberculosis-drug-resistance-survey-ndrs-from-india--an-eye-opener.html" TargetMode="External"/><Relationship Id="rId11" Type="http://schemas.openxmlformats.org/officeDocument/2006/relationships/hyperlink" Target="https://link.springer.com/article/10.1186/s12889-021-12149-x" TargetMode="External"/><Relationship Id="rId12" Type="http://schemas.openxmlformats.org/officeDocument/2006/relationships/hyperlink" Target="https://academic.oup.com/cid/article/76/8/1483/6845775" TargetMode="External"/><Relationship Id="rId13" Type="http://schemas.openxmlformats.org/officeDocument/2006/relationships/hyperlink" Target="https://journals.plos.org/plosone/article?id=10.1371%2Fjournal.pone.0270003" TargetMode="External"/><Relationship Id="rId14" Type="http://schemas.openxmlformats.org/officeDocument/2006/relationships/hyperlink" Target="https://www.nature.com/articles/s41598-017-01213-5" TargetMode="External"/><Relationship Id="rId15" Type="http://schemas.openxmlformats.org/officeDocument/2006/relationships/hyperlink" Target="https://link.springer.com/article/10.1186/s12879-019-4042-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