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Chronic Bronchitis</w:t>
      </w:r>
    </w:p>
    <w:p>
      <w:pPr>
        <w:spacing w:before="0" w:after="160"/>
      </w:pPr>
      <w:r>
        <w:rPr>
          <w:rFonts w:ascii="Calibri" w:hAnsi="Calibri"/>
          <w:b/>
          <w:i w:val="0"/>
          <w:color w:val="212121"/>
          <w:sz w:val="22"/>
        </w:rPr>
        <w:t xml:space="preserve">AKA </w:t>
      </w:r>
      <w:r>
        <w:rPr>
          <w:rFonts w:ascii="Calibri" w:hAnsi="Calibri"/>
          <w:b w:val="0"/>
          <w:i w:val="0"/>
          <w:color w:val="212121"/>
          <w:sz w:val="22"/>
        </w:rPr>
        <w:t>i.e., Chronic productive cough, Smoker's cough, “Blue bloater” phenotype of COPD, Type B COPD</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Chronic bronchitis is a clinical diagnosis defined as a chronic, productive (mucus) cough present on most days for at least 3 months in each of 2 consecutive years, once other causes of chronic cough have been excluded. It is one of the two principal phenotypes of chronic obstructive pulmonary disease (COPD), the other being emphysema, and arises from long-standing irritation of the bronchial mucosa that produces mucous-gland (goblet-cell) hyperplasia, mucus hypersecretion and neutrophilic airway inflammation. When small-airway inflammation and mucus plugging obstruct expiratory airflow, fixed airflow limitation (obstructive chronic bronchitis) develops.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 the ICMR-supported INSEARCH study, chronic bronchitis affected about 3.49% of Indian adults aged ≥35 years, giving an estimated national burden of roughly 14.84 million cases. Prevalence is far higher in smokers and in never-smoking women exposed to biomass cooking smoke — a community study in Odisha found chronic bronchitis in 7.3% of never-smoking women aged 18–49. Chronic bronchitis is the symptomatic core of COPD, whose pooled Indian adult prevalence is estimated at roughly 7–13%, rising to about 27% above 60 years of age and to 37% among smokers.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Chronic bronchitis is primarily a clinical diagnosis of chronic mucus hypersecretion; spirometry, imaging and laboratory tests are used to confirm airflow obstruction, grade severity and exclude mimics. Diagnosis rests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chronic cough productive of sputum on most days for ≥ 3 months per year in ≥ 2 consecutive years, with other causes of chronic productive cough excluded;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post-bronchodilator spirometry showing FEV1/FVC &lt; 0.70 confirms fixed airflow obstruction and places the patient within the COPD spectrum (obstructive chronic bronchitis);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chest radiograph showing increased bronchovascular ('dirty chest') markings and bronchial-wall thickening, mainly used to exclude tuberculosis, bronchiectasis, malignancy and cardiac causes;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sputum examination and culture (mucoid at baseline, mucopurulent in exacerbations; common isolates Haemophilus influenzae, Streptococcus pneumoniae, Moraxella catarrhalis, and Pseudomonas in advanced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pulse oximetry / arterial blood gas to detect hypoxaemia (± hypercapnia) in moderate-to-severe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asthma, post-tuberculous obstructive disease, bronchiectasis, GERD, post-nasal drip, ACE-inhibitor cough and lung cancer, which can all mimic chronic productive cough.</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Chronic bronchitis is classified clinically by the character of the sputum and by the presence or absence of airflow obstruction; when obstruction is present it is staged using COPD (GOLD) criteria:</w:t>
      </w:r>
    </w:p>
    <w:p>
      <w:pPr>
        <w:spacing w:before="0" w:after="80"/>
      </w:pPr>
      <w:r>
        <w:rPr>
          <w:rFonts w:ascii="Calibri" w:hAnsi="Calibri"/>
          <w:b w:val="0"/>
          <w:i w:val="0"/>
          <w:color w:val="212121"/>
          <w:sz w:val="21"/>
        </w:rPr>
        <w:t>(1) Simple chronic bronchitis — chronic mucoid (clear/white) sputum production without demonstrable airflow obstruction on spirometry; often the earliest, potentially reversible stage in smokers.</w:t>
      </w:r>
    </w:p>
    <w:p>
      <w:pPr>
        <w:spacing w:before="0" w:after="80"/>
      </w:pPr>
      <w:r>
        <w:rPr>
          <w:rFonts w:ascii="Calibri" w:hAnsi="Calibri"/>
          <w:b w:val="0"/>
          <w:i w:val="0"/>
          <w:color w:val="212121"/>
          <w:sz w:val="21"/>
        </w:rPr>
        <w:t>(2) Chronic mucopurulent bronchitis — persistent or recurrent purulent (yellow/green) sputum reflecting recurrent or ongoing bacterial airway infection, independent of bronchiectasis.</w:t>
      </w:r>
    </w:p>
    <w:p>
      <w:pPr>
        <w:spacing w:before="0" w:after="80"/>
      </w:pPr>
      <w:r>
        <w:rPr>
          <w:rFonts w:ascii="Calibri" w:hAnsi="Calibri"/>
          <w:b w:val="0"/>
          <w:i w:val="0"/>
          <w:color w:val="212121"/>
          <w:sz w:val="21"/>
        </w:rPr>
        <w:t>(3) Chronic obstructive bronchitis — chronic bronchitis with fixed airflow limitation (post-bronchodilator FEV1/FVC &lt; 0.70); this is COPD, graded by FEV1 % predicted into GOLD 1 (mild, ≥ 80%), GOLD 2 (moderate, 50–79%), GOLD 3 (severe, 30–49%) and GOLD 4 (very severe, &lt; 30%), and further grouped (GOLD A–E) by symptom burden and exacerbation history.</w:t>
      </w:r>
    </w:p>
    <w:p>
      <w:pPr>
        <w:spacing w:before="0" w:after="80"/>
      </w:pPr>
      <w:r>
        <w:rPr>
          <w:rFonts w:ascii="Calibri" w:hAnsi="Calibri"/>
          <w:b w:val="0"/>
          <w:i w:val="0"/>
          <w:color w:val="212121"/>
          <w:sz w:val="21"/>
        </w:rPr>
        <w:t>(4) The classic 'blue bloater' phenotype — a chronic-bronchitis-predominant patient who is often overweight, cyanosed, hypoxaemic and hypercapnic, prone to cor pulmonale and peripheral oedema, in contrast to the 'pink puffer' emphysema-predominant phenotype.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Tobacco smoking: Cigarette and bidi smoke is the single most important cause; it triggers goblet-cell hyperplasia, submucosal-gland enlargement, ciliary damage and neutrophilic inflammation, driving mucus hypersecretion and progressive airflow obstruction.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Biomass and indoor air pollution: Combustion of wood, dung-cake, crop residue and coal for cooking/heating in poorly ventilated homes exposes millions of Indian women and children to high PM2.5, causing chronic bronchitis even in lifelong non-smokers.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Ambient (outdoor) air pollution: Chronic exposure to high ambient PM2.5, NO2 and SO2 in Indian cities and the Indo-Gangetic plain inflames the airways and accelerates loss of lung function.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Occupational exposures: Inhaled dusts, fumes and vapours (mining, stone-crushing, construction, textiles, welding, agriculture) are an under-recognised cause of chronic bronchitis and COPD in India.</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Recurrent respiratory infections: Repeated childhood and adult lower-respiratory infections — including pulmonary tuberculosis, which is highly prevalent in India — damage airways and predispose to chronic bronchitis.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Host and genetic factors: Advancing age, male sex, low socioeconomic status, airway hyper-responsiveness/asthma and (rarely) alpha-1 antitrypsin deficiency increase susceptibility.</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Chronic bronchitis is a cumulative-exposure disease: years of tobacco, biomass, occupational and ambient-pollution exposure progressively injure the bronchial mucosa, so mucus hypersecretion and chronic cough become established in mid-adult life and prevalence climbs with age.</w:t>
            </w:r>
          </w:p>
          <w:p>
            <w:pPr>
              <w:spacing w:after="40" w:before="60" w:line="259" w:lineRule="auto"/>
            </w:pPr>
            <w:r>
              <w:rPr>
                <w:rFonts w:ascii="Calibri" w:hAnsi="Calibri"/>
                <w:b w:val="0"/>
                <w:i w:val="0"/>
                <w:color w:val="212121"/>
                <w:sz w:val="19"/>
              </w:rPr>
              <w:t>In the INSEARCH study, chronic bronchitis affected 3.49% of Indian adults aged ≥35 years, an estimated national burden of about 14.84 million cases.</w:t>
            </w:r>
          </w:p>
          <w:p>
            <w:pPr>
              <w:spacing w:after="40" w:line="252" w:lineRule="auto"/>
            </w:pPr>
            <w:hyperlink r:id="rId9">
              <w:r>
                <w:rPr>
                  <w:rFonts w:ascii="Calibri" w:hAnsi="Calibri" w:cs="Calibri"/>
                  <w:sz w:val="18"/>
                  <w:color w:val="1155CC"/>
                  <w:u w:val="single"/>
                </w:rPr>
                <w:t xml:space="preserve">pubmed.ncbi.nlm.nih.gov/22871327 — INSEARCH</w:t>
              </w:r>
            </w:hyperlink>
          </w:p>
          <w:p>
            <w:pPr>
              <w:spacing w:before="60" w:after="40"/>
            </w:pPr>
            <w:r>
              <w:rPr>
                <w:rFonts w:ascii="Calibri" w:hAnsi="Calibri"/>
                <w:b w:val="0"/>
                <w:i w:val="0"/>
                <w:color w:val="5A5A5A"/>
                <w:sz w:val="18"/>
              </w:rPr>
              <w:t>#chroniccough  #mucus  #cumulativeexposure  #adults  #COPDspectrum</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With ageing, mucociliary clearance declines, respiratory-muscle strength and elastic recoil fall, and decades of exposure accumulate, so obstructive chronic bronchitis, exacerbations and cor pulmonale cluster in older adults.</w:t>
            </w:r>
          </w:p>
          <w:p>
            <w:pPr>
              <w:spacing w:after="40" w:before="60" w:line="259" w:lineRule="auto"/>
            </w:pPr>
            <w:r>
              <w:rPr>
                <w:rFonts w:ascii="Calibri" w:hAnsi="Calibri"/>
                <w:b w:val="0"/>
                <w:i w:val="0"/>
                <w:color w:val="212121"/>
                <w:sz w:val="19"/>
              </w:rPr>
              <w:t>Pooled COPD prevalence in Indian adults rises to about 27% in those aged ≥ 60 years, versus 17% in adults 18–59.</w:t>
            </w:r>
          </w:p>
          <w:p>
            <w:pPr>
              <w:spacing w:after="40" w:line="252" w:lineRule="auto"/>
            </w:pPr>
            <w:hyperlink r:id="rId10">
              <w:r>
                <w:rPr>
                  <w:rFonts w:ascii="Calibri" w:hAnsi="Calibri" w:cs="Calibri"/>
                  <w:sz w:val="18"/>
                  <w:color w:val="1155CC"/>
                  <w:u w:val="single"/>
                </w:rPr>
                <w:t xml:space="preserve">link.springer.com — COPD burden in Indian adults (meta-analysis)</w:t>
              </w:r>
            </w:hyperlink>
          </w:p>
          <w:p>
            <w:pPr>
              <w:spacing w:before="60" w:after="40"/>
            </w:pPr>
            <w:r>
              <w:rPr>
                <w:rFonts w:ascii="Calibri" w:hAnsi="Calibri"/>
                <w:b w:val="0"/>
                <w:i w:val="0"/>
                <w:color w:val="5A5A5A"/>
                <w:sz w:val="18"/>
              </w:rPr>
              <w:t>#ageing  #declininglungfunction  #exacerbations  #corpulmonale  #elderly</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in India carry a much higher tobacco-smoking (cigarette/bidi) and occupational-dust burden than women, giving them higher rates of smoking-related chronic bronchitis and obstructive disease.</w:t>
            </w:r>
          </w:p>
          <w:p>
            <w:pPr>
              <w:spacing w:after="40" w:before="60" w:line="259" w:lineRule="auto"/>
            </w:pPr>
            <w:r>
              <w:rPr>
                <w:rFonts w:ascii="Calibri" w:hAnsi="Calibri"/>
                <w:b w:val="0"/>
                <w:i w:val="0"/>
                <w:color w:val="212121"/>
                <w:sz w:val="19"/>
              </w:rPr>
              <w:t>Current tobacco smoking in India is 19.0% in men versus 2.0% in women (GATS-2, 2016–17); pooled COPD prevalence is ~16% in males versus ~9% in females.</w:t>
            </w:r>
          </w:p>
          <w:p>
            <w:pPr>
              <w:spacing w:after="40" w:line="252" w:lineRule="auto"/>
            </w:pPr>
            <w:hyperlink r:id="rId11">
              <w:r>
                <w:rPr>
                  <w:rFonts w:ascii="Calibri" w:hAnsi="Calibri" w:cs="Calibri"/>
                  <w:sz w:val="18"/>
                  <w:color w:val="1155CC"/>
                  <w:u w:val="single"/>
                </w:rPr>
                <w:t xml:space="preserve">ntcp.mohfw.gov.in — GATS-2 India fact sheet</w:t>
              </w:r>
            </w:hyperlink>
          </w:p>
          <w:p>
            <w:pPr>
              <w:spacing w:before="60" w:after="40"/>
            </w:pPr>
            <w:r>
              <w:rPr>
                <w:rFonts w:ascii="Calibri" w:hAnsi="Calibri"/>
                <w:b w:val="0"/>
                <w:i w:val="0"/>
                <w:color w:val="5A5A5A"/>
                <w:sz w:val="18"/>
              </w:rPr>
              <w:t>#bidi  #cigarette  #occupationaldust  #malesmoking  #tobacco</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Female (biomass-exposed, never-smokers)</w:t>
            </w:r>
          </w:p>
        </w:tc>
        <w:tc>
          <w:tcPr>
            <w:tcW w:type="dxa" w:w="4276"/>
            <w:vAlign w:val="top"/>
          </w:tcPr>
          <w:p>
            <w:pPr>
              <w:spacing w:after="60" w:line="259" w:lineRule="auto"/>
            </w:pPr>
            <w:r>
              <w:rPr>
                <w:rFonts w:ascii="Calibri" w:hAnsi="Calibri"/>
                <w:b w:val="0"/>
                <w:i w:val="0"/>
                <w:color w:val="212121"/>
                <w:sz w:val="19"/>
              </w:rPr>
              <w:t>Indian women who cook daily over wood, dung-cake or crop-residue fires inhale high concentrations of PM2.5, developing chronic bronchitis and airflow obstruction despite never smoking — the dominant non-smoking cause of the disease in Indian women.</w:t>
            </w:r>
          </w:p>
          <w:p>
            <w:pPr>
              <w:spacing w:after="40" w:before="60" w:line="259" w:lineRule="auto"/>
            </w:pPr>
            <w:r>
              <w:rPr>
                <w:rFonts w:ascii="Calibri" w:hAnsi="Calibri"/>
                <w:b w:val="0"/>
                <w:i w:val="0"/>
                <w:color w:val="212121"/>
                <w:sz w:val="19"/>
              </w:rPr>
              <w:t>In never-smoking women aged 18–49 in Odisha, chronic bronchitis prevalence was 7.3%, and solid-biomass cooking raised the odds of chronic bronchitis (adjusted OR 1.96, 95% CI 1.06–3.64).</w:t>
            </w:r>
          </w:p>
          <w:p>
            <w:pPr>
              <w:spacing w:after="40" w:line="252" w:lineRule="auto"/>
            </w:pPr>
            <w:hyperlink r:id="rId12">
              <w:r>
                <w:rPr>
                  <w:rFonts w:ascii="Calibri" w:hAnsi="Calibri" w:cs="Calibri"/>
                  <w:sz w:val="18"/>
                  <w:color w:val="1155CC"/>
                  <w:u w:val="single"/>
                </w:rPr>
                <w:t xml:space="preserve">link.springer.com — cooking fuel &amp; chronic bronchitis, Odisha</w:t>
              </w:r>
            </w:hyperlink>
          </w:p>
          <w:p>
            <w:pPr>
              <w:spacing w:before="60" w:after="40"/>
            </w:pPr>
            <w:r>
              <w:rPr>
                <w:rFonts w:ascii="Calibri" w:hAnsi="Calibri"/>
                <w:b w:val="0"/>
                <w:i w:val="0"/>
                <w:color w:val="5A5A5A"/>
                <w:sz w:val="18"/>
              </w:rPr>
              <w:t>#biomass  #chulha  #neversmoker  #womenshealth  #PM25</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&amp; rural poor households</w:t>
            </w:r>
          </w:p>
        </w:tc>
        <w:tc>
          <w:tcPr>
            <w:tcW w:type="dxa" w:w="4276"/>
            <w:vAlign w:val="top"/>
          </w:tcPr>
          <w:p>
            <w:pPr>
              <w:spacing w:after="60" w:line="259" w:lineRule="auto"/>
            </w:pPr>
            <w:r>
              <w:rPr>
                <w:rFonts w:ascii="Calibri" w:hAnsi="Calibri"/>
                <w:b w:val="0"/>
                <w:i w:val="0"/>
                <w:color w:val="212121"/>
                <w:sz w:val="19"/>
              </w:rPr>
              <w:t>Poverty forces reliance on solid cooking fuels in poorly ventilated homes, clusters people in high-pollution and occupational settings, and delays diagnosis and treatment — all of which raise chronic-bronchitis risk and severity.</w:t>
            </w:r>
          </w:p>
          <w:p>
            <w:pPr>
              <w:spacing w:after="40" w:before="60" w:line="259" w:lineRule="auto"/>
            </w:pPr>
            <w:r>
              <w:rPr>
                <w:rFonts w:ascii="Calibri" w:hAnsi="Calibri"/>
                <w:b w:val="0"/>
                <w:i w:val="0"/>
                <w:color w:val="212121"/>
                <w:sz w:val="19"/>
              </w:rPr>
              <w:t>COPD prevalence is about 8% in biomass-fuel-using households versus roughly 1% in those using clean (LPG) fuel.</w:t>
            </w:r>
          </w:p>
          <w:p>
            <w:pPr>
              <w:spacing w:after="40" w:line="252" w:lineRule="auto"/>
            </w:pPr>
            <w:hyperlink r:id="rId10">
              <w:r>
                <w:rPr>
                  <w:rFonts w:ascii="Calibri" w:hAnsi="Calibri" w:cs="Calibri"/>
                  <w:sz w:val="18"/>
                  <w:color w:val="1155CC"/>
                  <w:u w:val="single"/>
                </w:rPr>
                <w:t xml:space="preserve">link.springer.com — COPD burden in Indian adults (meta-analysis)</w:t>
              </w:r>
            </w:hyperlink>
          </w:p>
          <w:p>
            <w:pPr>
              <w:spacing w:before="60" w:after="40"/>
            </w:pPr>
            <w:r>
              <w:rPr>
                <w:rFonts w:ascii="Calibri" w:hAnsi="Calibri"/>
                <w:b w:val="0"/>
                <w:i w:val="0"/>
                <w:color w:val="5A5A5A"/>
                <w:sz w:val="18"/>
              </w:rPr>
              <w:t>#poverty  #solidfuel  #poorventilation  #accessgap  #ruralhealth</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ethnicity</w:t>
            </w:r>
          </w:p>
        </w:tc>
        <w:tc>
          <w:tcPr>
            <w:tcW w:type="dxa" w:w="2160"/>
            <w:vAlign w:val="top"/>
          </w:tcPr>
          <w:p>
            <w:pPr>
              <w:spacing w:after="40" w:before="0" w:line="259" w:lineRule="auto"/>
            </w:pPr>
            <w:r>
              <w:rPr>
                <w:rFonts w:ascii="Calibri" w:hAnsi="Calibri"/>
                <w:b w:val="0"/>
                <w:i w:val="0"/>
                <w:color w:val="212121"/>
                <w:sz w:val="19"/>
              </w:rPr>
              <w:t>North Indian (Indo-Gangetic plain)</w:t>
            </w:r>
          </w:p>
        </w:tc>
        <w:tc>
          <w:tcPr>
            <w:tcW w:type="dxa" w:w="4276"/>
            <w:vAlign w:val="top"/>
          </w:tcPr>
          <w:p>
            <w:pPr>
              <w:spacing w:after="60" w:line="259" w:lineRule="auto"/>
            </w:pPr>
            <w:r>
              <w:rPr>
                <w:rFonts w:ascii="Calibri" w:hAnsi="Calibri"/>
                <w:b w:val="0"/>
                <w:i w:val="0"/>
                <w:color w:val="212121"/>
                <w:sz w:val="19"/>
              </w:rPr>
              <w:t>Northern India, and especially the Indo-Gangetic plain, endures some of the world's highest ambient PM2.5 levels alongside heavy biomass and crop-residue smoke, producing higher rates of chronic bronchitis and COPD than southern India.</w:t>
            </w:r>
          </w:p>
          <w:p>
            <w:pPr>
              <w:spacing w:after="40" w:before="60" w:line="259" w:lineRule="auto"/>
            </w:pPr>
            <w:r>
              <w:rPr>
                <w:rFonts w:ascii="Calibri" w:hAnsi="Calibri"/>
                <w:b w:val="0"/>
                <w:i w:val="0"/>
                <w:color w:val="212121"/>
                <w:sz w:val="19"/>
              </w:rPr>
              <w:t>Spirometry-based COPD prevalence is about 10.4% in North India versus 3.7% in South India.</w:t>
            </w:r>
          </w:p>
          <w:p>
            <w:pPr>
              <w:spacing w:after="40" w:line="252" w:lineRule="auto"/>
            </w:pPr>
            <w:hyperlink r:id="rId13">
              <w:r>
                <w:rPr>
                  <w:rFonts w:ascii="Calibri" w:hAnsi="Calibri" w:cs="Calibri"/>
                  <w:sz w:val="18"/>
                  <w:color w:val="1155CC"/>
                  <w:u w:val="single"/>
                </w:rPr>
                <w:t xml:space="preserve">pmc.ncbi.nlm.nih.gov/PMC8614617 — COPD prevalence in India</w:t>
              </w:r>
            </w:hyperlink>
          </w:p>
          <w:p>
            <w:pPr>
              <w:spacing w:before="60" w:after="40"/>
            </w:pPr>
            <w:r>
              <w:rPr>
                <w:rFonts w:ascii="Calibri" w:hAnsi="Calibri"/>
                <w:b w:val="0"/>
                <w:i w:val="0"/>
                <w:color w:val="5A5A5A"/>
                <w:sz w:val="18"/>
              </w:rPr>
              <w:t>#northindia  #IndoGangetic  #ambientpollution  #cropburning  #regionalrisk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Urban air pollution</w:t>
            </w:r>
          </w:p>
        </w:tc>
        <w:tc>
          <w:tcPr>
            <w:tcW w:type="dxa" w:w="2160"/>
            <w:vAlign w:val="top"/>
          </w:tcPr>
          <w:p>
            <w:pPr>
              <w:spacing w:after="40" w:before="0" w:line="259" w:lineRule="auto"/>
            </w:pPr>
            <w:r>
              <w:rPr>
                <w:rFonts w:ascii="Calibri" w:hAnsi="Calibri"/>
                <w:b w:val="0"/>
                <w:i w:val="0"/>
                <w:color w:val="212121"/>
                <w:sz w:val="19"/>
              </w:rPr>
              <w:t>Residents of highly polluted cities</w:t>
            </w:r>
          </w:p>
        </w:tc>
        <w:tc>
          <w:tcPr>
            <w:tcW w:type="dxa" w:w="4276"/>
            <w:vAlign w:val="top"/>
          </w:tcPr>
          <w:p>
            <w:pPr>
              <w:spacing w:after="60" w:line="259" w:lineRule="auto"/>
            </w:pPr>
            <w:r>
              <w:rPr>
                <w:rFonts w:ascii="Calibri" w:hAnsi="Calibri"/>
                <w:b w:val="0"/>
                <w:i w:val="0"/>
                <w:color w:val="212121"/>
                <w:sz w:val="19"/>
              </w:rPr>
              <w:t>City dwellers face chronic high ambient PM2.5, NO2 and SO2 from traffic, industry and construction, which inflames airways and increases chronic-bronchitis symptoms and exacerbations, compounded by better case detection in urban areas.</w:t>
            </w:r>
          </w:p>
          <w:p>
            <w:pPr>
              <w:spacing w:after="40" w:before="60" w:line="259" w:lineRule="auto"/>
            </w:pPr>
            <w:r>
              <w:rPr>
                <w:rFonts w:ascii="Calibri" w:hAnsi="Calibri"/>
                <w:b w:val="0"/>
                <w:i w:val="0"/>
                <w:color w:val="212121"/>
                <w:sz w:val="19"/>
              </w:rPr>
              <w:t>Pooled COPD prevalence is higher in urban (11.4%) than rural (5.6%) Indian populations.</w:t>
            </w:r>
          </w:p>
          <w:p>
            <w:pPr>
              <w:spacing w:after="40" w:line="252" w:lineRule="auto"/>
            </w:pPr>
            <w:hyperlink r:id="rId13">
              <w:r>
                <w:rPr>
                  <w:rFonts w:ascii="Calibri" w:hAnsi="Calibri" w:cs="Calibri"/>
                  <w:sz w:val="18"/>
                  <w:color w:val="1155CC"/>
                  <w:u w:val="single"/>
                </w:rPr>
                <w:t xml:space="preserve">pmc.ncbi.nlm.nih.gov/PMC8614617 — COPD prevalence in India</w:t>
              </w:r>
            </w:hyperlink>
          </w:p>
          <w:p>
            <w:pPr>
              <w:spacing w:before="60" w:after="40"/>
            </w:pPr>
            <w:r>
              <w:rPr>
                <w:rFonts w:ascii="Calibri" w:hAnsi="Calibri"/>
                <w:b w:val="0"/>
                <w:i w:val="0"/>
                <w:color w:val="5A5A5A"/>
                <w:sz w:val="18"/>
              </w:rPr>
              <w:t>#urbanpollution  #traffic  #PM25  #NO2  #cityair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Household air pollution</w:t>
            </w:r>
          </w:p>
        </w:tc>
        <w:tc>
          <w:tcPr>
            <w:tcW w:type="dxa" w:w="2160"/>
            <w:vAlign w:val="top"/>
          </w:tcPr>
          <w:p>
            <w:pPr>
              <w:spacing w:after="40" w:before="0" w:line="259" w:lineRule="auto"/>
            </w:pPr>
            <w:r>
              <w:rPr>
                <w:rFonts w:ascii="Calibri" w:hAnsi="Calibri"/>
                <w:b w:val="0"/>
                <w:i w:val="0"/>
                <w:color w:val="212121"/>
                <w:sz w:val="19"/>
              </w:rPr>
              <w:t>Solid-fuel-using rural households</w:t>
            </w:r>
          </w:p>
        </w:tc>
        <w:tc>
          <w:tcPr>
            <w:tcW w:type="dxa" w:w="4276"/>
            <w:vAlign w:val="top"/>
          </w:tcPr>
          <w:p>
            <w:pPr>
              <w:spacing w:after="60" w:line="259" w:lineRule="auto"/>
            </w:pPr>
            <w:r>
              <w:rPr>
                <w:rFonts w:ascii="Calibri" w:hAnsi="Calibri"/>
                <w:b w:val="0"/>
                <w:i w:val="0"/>
                <w:color w:val="212121"/>
                <w:sz w:val="19"/>
              </w:rPr>
              <w:t>Indoor combustion of biomass in unvented kitchens creates extreme particulate exposure; women and young children spending hours near the hearth develop chronic bronchitis and airflow obstruction.</w:t>
            </w:r>
          </w:p>
          <w:p>
            <w:pPr>
              <w:spacing w:after="40" w:before="60" w:line="259" w:lineRule="auto"/>
            </w:pPr>
            <w:r>
              <w:rPr>
                <w:rFonts w:ascii="Calibri" w:hAnsi="Calibri"/>
                <w:b w:val="0"/>
                <w:i w:val="0"/>
                <w:color w:val="212121"/>
                <w:sz w:val="19"/>
              </w:rPr>
              <w:t>Median household PM2.5 was 230.6 µg/m³ in solid-biomass homes versus 87.8 µg/m³ in LPG homes; airflow obstruction reached 31% among biomass users (adjusted OR 5.55, 95% CI 3.51–8.78).</w:t>
            </w:r>
          </w:p>
          <w:p>
            <w:pPr>
              <w:spacing w:after="40" w:line="252" w:lineRule="auto"/>
            </w:pPr>
            <w:hyperlink r:id="rId12">
              <w:r>
                <w:rPr>
                  <w:rFonts w:ascii="Calibri" w:hAnsi="Calibri" w:cs="Calibri"/>
                  <w:sz w:val="18"/>
                  <w:color w:val="1155CC"/>
                  <w:u w:val="single"/>
                </w:rPr>
                <w:t xml:space="preserve">link.springer.com — cooking fuel &amp; airflow obstruction, Odisha</w:t>
              </w:r>
            </w:hyperlink>
          </w:p>
          <w:p>
            <w:pPr>
              <w:spacing w:before="60" w:after="40"/>
            </w:pPr>
            <w:r>
              <w:rPr>
                <w:rFonts w:ascii="Calibri" w:hAnsi="Calibri"/>
                <w:b w:val="0"/>
                <w:i w:val="0"/>
                <w:color w:val="5A5A5A"/>
                <w:sz w:val="18"/>
              </w:rPr>
              <w:t>#householdairpollution  #biomass  #unventedkitchen  #PM25  #indoorsmoke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Cigarette &amp; bidi smokers</w:t>
            </w:r>
          </w:p>
        </w:tc>
        <w:tc>
          <w:tcPr>
            <w:tcW w:type="dxa" w:w="4276"/>
            <w:vAlign w:val="top"/>
          </w:tcPr>
          <w:p>
            <w:pPr>
              <w:spacing w:after="60" w:line="259" w:lineRule="auto"/>
            </w:pPr>
            <w:r>
              <w:rPr>
                <w:rFonts w:ascii="Calibri" w:hAnsi="Calibri"/>
                <w:b w:val="0"/>
                <w:i w:val="0"/>
                <w:color w:val="212121"/>
                <w:sz w:val="19"/>
              </w:rPr>
              <w:t>Tobacco smoke is the dominant cause of chronic bronchitis: it induces goblet-cell and submucosal-gland hyperplasia, paralyses cilia and sustains neutrophilic inflammation, driving mucus hypersecretion and progressive airflow obstruction.</w:t>
            </w:r>
          </w:p>
          <w:p>
            <w:pPr>
              <w:spacing w:after="40" w:before="60" w:line="259" w:lineRule="auto"/>
            </w:pPr>
            <w:r>
              <w:rPr>
                <w:rFonts w:ascii="Calibri" w:hAnsi="Calibri"/>
                <w:b w:val="0"/>
                <w:i w:val="0"/>
                <w:color w:val="212121"/>
                <w:sz w:val="19"/>
              </w:rPr>
              <w:t>Pooled COPD prevalence among Indian smokers is about 37%, several-fold higher than in never-smokers.</w:t>
            </w:r>
          </w:p>
          <w:p>
            <w:pPr>
              <w:spacing w:after="40" w:line="252" w:lineRule="auto"/>
            </w:pPr>
            <w:hyperlink r:id="rId10">
              <w:r>
                <w:rPr>
                  <w:rFonts w:ascii="Calibri" w:hAnsi="Calibri" w:cs="Calibri"/>
                  <w:sz w:val="18"/>
                  <w:color w:val="1155CC"/>
                  <w:u w:val="single"/>
                </w:rPr>
                <w:t xml:space="preserve">link.springer.com — COPD burden in Indian adults (meta-analysis)</w:t>
              </w:r>
            </w:hyperlink>
          </w:p>
          <w:p>
            <w:pPr>
              <w:spacing w:before="60" w:after="40"/>
            </w:pPr>
            <w:r>
              <w:rPr>
                <w:rFonts w:ascii="Calibri" w:hAnsi="Calibri"/>
                <w:b w:val="0"/>
                <w:i w:val="0"/>
                <w:color w:val="5A5A5A"/>
                <w:sz w:val="18"/>
              </w:rPr>
              <w:t>#smoking  #bidi  #gobletcell  #mucushypersecretion  #tobacco</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Occupational exposure</w:t>
            </w:r>
          </w:p>
        </w:tc>
        <w:tc>
          <w:tcPr>
            <w:tcW w:type="dxa" w:w="2160"/>
            <w:vAlign w:val="top"/>
          </w:tcPr>
          <w:p>
            <w:pPr>
              <w:spacing w:after="40" w:before="0" w:line="259" w:lineRule="auto"/>
            </w:pPr>
            <w:r>
              <w:rPr>
                <w:rFonts w:ascii="Calibri" w:hAnsi="Calibri"/>
                <w:b w:val="0"/>
                <w:i w:val="0"/>
                <w:color w:val="212121"/>
                <w:sz w:val="19"/>
              </w:rPr>
              <w:t>Dust/fume-exposed workers</w:t>
            </w:r>
          </w:p>
        </w:tc>
        <w:tc>
          <w:tcPr>
            <w:tcW w:type="dxa" w:w="4276"/>
            <w:vAlign w:val="top"/>
          </w:tcPr>
          <w:p>
            <w:pPr>
              <w:spacing w:after="60" w:line="259" w:lineRule="auto"/>
            </w:pPr>
            <w:r>
              <w:rPr>
                <w:rFonts w:ascii="Calibri" w:hAnsi="Calibri"/>
                <w:b w:val="0"/>
                <w:i w:val="0"/>
                <w:color w:val="212121"/>
                <w:sz w:val="19"/>
              </w:rPr>
              <w:t>Chronic inhalation of mineral and organic dusts, fumes and vapours in mining, stone-crushing, construction, welding, textiles and farming injures the bronchial epithelium and is an under-recognised cause of chronic bronchitis in India.</w:t>
            </w:r>
          </w:p>
          <w:p>
            <w:pPr>
              <w:spacing w:after="40" w:before="60" w:line="259" w:lineRule="auto"/>
            </w:pPr>
            <w:r>
              <w:rPr>
                <w:rFonts w:ascii="Calibri" w:hAnsi="Calibri"/>
                <w:b w:val="0"/>
                <w:i w:val="0"/>
                <w:color w:val="212121"/>
                <w:sz w:val="19"/>
              </w:rPr>
              <w:t>Occupational dust/fume exposure is a consistently significant risk factor for COPD in Indian systematic-review data.</w:t>
            </w:r>
          </w:p>
          <w:p>
            <w:pPr>
              <w:spacing w:after="40" w:line="252" w:lineRule="auto"/>
            </w:pPr>
            <w:hyperlink r:id="rId14">
              <w:r>
                <w:rPr>
                  <w:rFonts w:ascii="Calibri" w:hAnsi="Calibri" w:cs="Calibri"/>
                  <w:sz w:val="18"/>
                  <w:color w:val="1155CC"/>
                  <w:u w:val="single"/>
                </w:rPr>
                <w:t xml:space="preserve">jogh.org — COPD prevalence, population &gt;30y, India</w:t>
              </w:r>
            </w:hyperlink>
          </w:p>
          <w:p>
            <w:pPr>
              <w:spacing w:before="60" w:after="40"/>
            </w:pPr>
            <w:r>
              <w:rPr>
                <w:rFonts w:ascii="Calibri" w:hAnsi="Calibri"/>
                <w:b w:val="0"/>
                <w:i w:val="0"/>
                <w:color w:val="5A5A5A"/>
                <w:sz w:val="18"/>
              </w:rPr>
              <w:t>#occupational  #dust  #silica  #welding  #workplacehazard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Sedentary / deconditioned</w:t>
            </w:r>
          </w:p>
        </w:tc>
        <w:tc>
          <w:tcPr>
            <w:tcW w:type="dxa" w:w="2160"/>
            <w:vAlign w:val="top"/>
          </w:tcPr>
          <w:p>
            <w:pPr>
              <w:spacing w:after="40" w:before="0" w:line="259" w:lineRule="auto"/>
            </w:pPr>
            <w:r>
              <w:rPr>
                <w:rFonts w:ascii="Calibri" w:hAnsi="Calibri"/>
                <w:b w:val="0"/>
                <w:i w:val="0"/>
                <w:color w:val="212121"/>
                <w:sz w:val="19"/>
              </w:rPr>
              <w:t>Physically inactive adults</w:t>
            </w:r>
          </w:p>
        </w:tc>
        <w:tc>
          <w:tcPr>
            <w:tcW w:type="dxa" w:w="4276"/>
            <w:vAlign w:val="top"/>
          </w:tcPr>
          <w:p>
            <w:pPr>
              <w:spacing w:after="60" w:line="259" w:lineRule="auto"/>
            </w:pPr>
            <w:r>
              <w:rPr>
                <w:rFonts w:ascii="Calibri" w:hAnsi="Calibri"/>
                <w:b w:val="0"/>
                <w:i w:val="0"/>
                <w:color w:val="212121"/>
                <w:sz w:val="19"/>
              </w:rPr>
              <w:t>Physical inactivity accelerates skeletal-muscle deconditioning and worsens dyspnoea, exacerbation frequency and quality of life in chronic bronchitis, creating a vicious cycle of breathlessness and further inactivity.</w:t>
            </w:r>
          </w:p>
          <w:p>
            <w:pPr>
              <w:spacing w:after="40" w:before="60" w:line="259" w:lineRule="auto"/>
            </w:pPr>
            <w:r>
              <w:rPr>
                <w:rFonts w:ascii="Calibri" w:hAnsi="Calibri"/>
                <w:b w:val="0"/>
                <w:i w:val="0"/>
                <w:color w:val="212121"/>
                <w:sz w:val="19"/>
              </w:rPr>
              <w:t>Low physical activity and reduced exercise capacity are strongly associated with more frequent exacerbations and worse prognosis in chronic bronchitis/COPD.</w:t>
            </w:r>
          </w:p>
          <w:p>
            <w:pPr>
              <w:spacing w:before="60" w:after="40"/>
            </w:pPr>
            <w:r>
              <w:rPr>
                <w:rFonts w:ascii="Calibri" w:hAnsi="Calibri"/>
                <w:b w:val="0"/>
                <w:i w:val="0"/>
                <w:color w:val="5A5A5A"/>
                <w:sz w:val="18"/>
              </w:rPr>
              <w:t>#sedentary  #deconditioning  #dyspnoea  #lowexercise  #vicious cycle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alcohol users</w:t>
            </w:r>
          </w:p>
        </w:tc>
        <w:tc>
          <w:tcPr>
            <w:tcW w:type="dxa" w:w="4276"/>
            <w:vAlign w:val="top"/>
          </w:tcPr>
          <w:p>
            <w:pPr>
              <w:spacing w:after="60" w:line="259" w:lineRule="auto"/>
            </w:pPr>
            <w:r>
              <w:rPr>
                <w:rFonts w:ascii="Calibri" w:hAnsi="Calibri"/>
                <w:b w:val="0"/>
                <w:i w:val="0"/>
                <w:color w:val="212121"/>
                <w:sz w:val="19"/>
              </w:rPr>
              <w:t>Heavy alcohol intake impairs mucociliary clearance, pulmonary immune defence and glutathione antioxidant capacity, and often coexists with heavy smoking, indirectly raising the risk and severity of chronic bronchitis and chest infections.</w:t>
            </w:r>
          </w:p>
          <w:p>
            <w:pPr>
              <w:spacing w:after="40" w:before="60" w:line="259" w:lineRule="auto"/>
            </w:pPr>
            <w:r>
              <w:rPr>
                <w:rFonts w:ascii="Calibri" w:hAnsi="Calibri"/>
                <w:b w:val="0"/>
                <w:i w:val="0"/>
                <w:color w:val="212121"/>
                <w:sz w:val="19"/>
              </w:rPr>
              <w:t>Heavy drinking is associated with impaired airway clearance and higher susceptibility to respiratory infection; it frequently clusters with tobacco use.</w:t>
            </w:r>
          </w:p>
          <w:p>
            <w:pPr>
              <w:spacing w:before="60" w:after="40"/>
            </w:pPr>
            <w:r>
              <w:rPr>
                <w:rFonts w:ascii="Calibri" w:hAnsi="Calibri"/>
                <w:b w:val="0"/>
                <w:i w:val="0"/>
                <w:color w:val="5A5A5A"/>
                <w:sz w:val="18"/>
              </w:rPr>
              <w:t>#alcohol  #mucociliary  #immunedefence  #infection  #smokingcluster</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Diets low in fruit, vegetables &amp; antioxidants</w:t>
            </w:r>
          </w:p>
        </w:tc>
        <w:tc>
          <w:tcPr>
            <w:tcW w:type="dxa" w:w="4276"/>
            <w:vAlign w:val="top"/>
          </w:tcPr>
          <w:p>
            <w:pPr>
              <w:spacing w:after="60" w:line="259" w:lineRule="auto"/>
            </w:pPr>
            <w:r>
              <w:rPr>
                <w:rFonts w:ascii="Calibri" w:hAnsi="Calibri"/>
                <w:b w:val="0"/>
                <w:i w:val="0"/>
                <w:color w:val="212121"/>
                <w:sz w:val="19"/>
              </w:rPr>
              <w:t>Diets poor in fresh fruit, vegetables and antioxidant micronutrients (vitamins C and E, flavonoids) provide weaker defence against the oxidative airway injury caused by smoke and pollution, and are linked to more chronic-bronchitis symptoms and faster lung-function decline.</w:t>
            </w:r>
          </w:p>
          <w:p>
            <w:pPr>
              <w:spacing w:after="40" w:before="60" w:line="259" w:lineRule="auto"/>
            </w:pPr>
            <w:r>
              <w:rPr>
                <w:rFonts w:ascii="Calibri" w:hAnsi="Calibri"/>
                <w:b w:val="0"/>
                <w:i w:val="0"/>
                <w:color w:val="212121"/>
                <w:sz w:val="19"/>
              </w:rPr>
              <w:t>Low intake of fruit, vegetables and dietary antioxidants is associated with more respiratory symptoms and poorer lung function.</w:t>
            </w:r>
          </w:p>
          <w:p>
            <w:pPr>
              <w:spacing w:before="60" w:after="40"/>
            </w:pPr>
            <w:r>
              <w:rPr>
                <w:rFonts w:ascii="Calibri" w:hAnsi="Calibri"/>
                <w:b w:val="0"/>
                <w:i w:val="0"/>
                <w:color w:val="5A5A5A"/>
                <w:sz w:val="18"/>
              </w:rPr>
              <w:t>#antioxidants  #fruitveg  #oxidativestress  #micronutrients  #diet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Undernutrition / low BMI</w:t>
            </w:r>
          </w:p>
        </w:tc>
        <w:tc>
          <w:tcPr>
            <w:tcW w:type="dxa" w:w="2160"/>
            <w:vAlign w:val="top"/>
          </w:tcPr>
          <w:p>
            <w:pPr>
              <w:spacing w:after="40" w:before="0" w:line="259" w:lineRule="auto"/>
            </w:pPr>
            <w:r>
              <w:rPr>
                <w:rFonts w:ascii="Calibri" w:hAnsi="Calibri"/>
                <w:b w:val="0"/>
                <w:i w:val="0"/>
                <w:color w:val="212121"/>
                <w:sz w:val="19"/>
              </w:rPr>
              <w:t>Underweight adults (BMI &lt; 18.5)</w:t>
            </w:r>
          </w:p>
        </w:tc>
        <w:tc>
          <w:tcPr>
            <w:tcW w:type="dxa" w:w="4276"/>
            <w:vAlign w:val="top"/>
          </w:tcPr>
          <w:p>
            <w:pPr>
              <w:spacing w:after="60" w:line="259" w:lineRule="auto"/>
            </w:pPr>
            <w:r>
              <w:rPr>
                <w:rFonts w:ascii="Calibri" w:hAnsi="Calibri"/>
                <w:b w:val="0"/>
                <w:i w:val="0"/>
                <w:color w:val="212121"/>
                <w:sz w:val="19"/>
              </w:rPr>
              <w:t>Low body-mass index and muscle wasting reflect the systemic, catabolic component of advanced chronic bronchitis/COPD, weaken respiratory muscles, and independently predict more exacerbations and higher mortality.</w:t>
            </w:r>
          </w:p>
          <w:p>
            <w:pPr>
              <w:spacing w:after="40" w:before="60" w:line="259" w:lineRule="auto"/>
            </w:pPr>
            <w:r>
              <w:rPr>
                <w:rFonts w:ascii="Calibri" w:hAnsi="Calibri"/>
                <w:b w:val="0"/>
                <w:i w:val="0"/>
                <w:color w:val="212121"/>
                <w:sz w:val="19"/>
              </w:rPr>
              <w:t>Low BMI and muscle wasting are independent predictors of exacerbations and mortality in COPD.</w:t>
            </w:r>
          </w:p>
          <w:p>
            <w:pPr>
              <w:spacing w:before="60" w:after="40"/>
            </w:pPr>
            <w:r>
              <w:rPr>
                <w:rFonts w:ascii="Calibri" w:hAnsi="Calibri"/>
                <w:b w:val="0"/>
                <w:i w:val="0"/>
                <w:color w:val="5A5A5A"/>
                <w:sz w:val="18"/>
              </w:rPr>
              <w:t>#lowBMI  #cachexia  #musclewasting  #undernutrition  #poorprognosis</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COPD/chronic bronchitis</w:t>
            </w:r>
          </w:p>
        </w:tc>
        <w:tc>
          <w:tcPr>
            <w:tcW w:type="dxa" w:w="4276"/>
            <w:vAlign w:val="top"/>
          </w:tcPr>
          <w:p>
            <w:pPr>
              <w:spacing w:after="60" w:line="259" w:lineRule="auto"/>
            </w:pPr>
            <w:r>
              <w:rPr>
                <w:rFonts w:ascii="Calibri" w:hAnsi="Calibri"/>
                <w:b w:val="0"/>
                <w:i w:val="0"/>
                <w:color w:val="212121"/>
                <w:sz w:val="19"/>
              </w:rPr>
              <w:t>Familial clustering reflects shared genetic susceptibility (airway hyper-responsiveness, antioxidant and protease-antiprotease genes) together with shared household smoke and biomass exposure.</w:t>
            </w:r>
          </w:p>
          <w:p>
            <w:pPr>
              <w:spacing w:after="40" w:before="60" w:line="259" w:lineRule="auto"/>
            </w:pPr>
            <w:r>
              <w:rPr>
                <w:rFonts w:ascii="Calibri" w:hAnsi="Calibri"/>
                <w:b w:val="0"/>
                <w:i w:val="0"/>
                <w:color w:val="212121"/>
                <w:sz w:val="19"/>
              </w:rPr>
              <w:t>A family history of chronic bronchitis/COPD increases individual risk through combined genetic and shared-environment effects.</w:t>
            </w:r>
          </w:p>
          <w:p>
            <w:pPr>
              <w:spacing w:before="60" w:after="40"/>
            </w:pPr>
            <w:r>
              <w:rPr>
                <w:rFonts w:ascii="Calibri" w:hAnsi="Calibri"/>
                <w:b w:val="0"/>
                <w:i w:val="0"/>
                <w:color w:val="5A5A5A"/>
                <w:sz w:val="18"/>
              </w:rPr>
              <w:t>#familyhistory  #geneticsusceptibility  #sharedexposure  #airwayreactivity  #heritability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Alpha-1 antitrypsin deficiency</w:t>
            </w:r>
          </w:p>
        </w:tc>
        <w:tc>
          <w:tcPr>
            <w:tcW w:type="dxa" w:w="2160"/>
            <w:vAlign w:val="top"/>
          </w:tcPr>
          <w:p>
            <w:pPr>
              <w:spacing w:after="40" w:before="0" w:line="259" w:lineRule="auto"/>
            </w:pPr>
            <w:r>
              <w:rPr>
                <w:rFonts w:ascii="Calibri" w:hAnsi="Calibri"/>
                <w:b w:val="0"/>
                <w:i w:val="0"/>
                <w:color w:val="212121"/>
                <w:sz w:val="19"/>
              </w:rPr>
              <w:t>Carriers of AAT deficiency</w:t>
            </w:r>
          </w:p>
        </w:tc>
        <w:tc>
          <w:tcPr>
            <w:tcW w:type="dxa" w:w="4276"/>
            <w:vAlign w:val="top"/>
          </w:tcPr>
          <w:p>
            <w:pPr>
              <w:spacing w:after="60" w:line="259" w:lineRule="auto"/>
            </w:pPr>
            <w:r>
              <w:rPr>
                <w:rFonts w:ascii="Calibri" w:hAnsi="Calibri"/>
                <w:b w:val="0"/>
                <w:i w:val="0"/>
                <w:color w:val="212121"/>
                <w:sz w:val="19"/>
              </w:rPr>
              <w:t>Alpha-1 antitrypsin deficiency removes a key protective anti-protease from the lung, allowing neutrophil elastase to damage airways and alveoli, producing early-onset chronic bronchitis/emphysema, especially with any smoking.</w:t>
            </w:r>
          </w:p>
          <w:p>
            <w:pPr>
              <w:spacing w:after="40" w:before="60" w:line="259" w:lineRule="auto"/>
            </w:pPr>
            <w:r>
              <w:rPr>
                <w:rFonts w:ascii="Calibri" w:hAnsi="Calibri"/>
                <w:b w:val="0"/>
                <w:i w:val="0"/>
                <w:color w:val="212121"/>
                <w:sz w:val="19"/>
              </w:rPr>
              <w:t>Alpha-1 antitrypsin deficiency is a recognised inherited cause of early-onset chronic bronchitis and emphysema, particularly in smokers and non-smokers with premature disease.</w:t>
            </w:r>
          </w:p>
          <w:p>
            <w:pPr>
              <w:spacing w:after="40" w:line="252" w:lineRule="auto"/>
            </w:pPr>
            <w:hyperlink r:id="rId15">
              <w:r>
                <w:rPr>
                  <w:rFonts w:ascii="Calibri" w:hAnsi="Calibri" w:cs="Calibri"/>
                  <w:sz w:val="18"/>
                  <w:color w:val="1155CC"/>
                  <w:u w:val="single"/>
                </w:rPr>
                <w:t xml:space="preserve">ncbi.nlm.nih.gov — Chronic Bronchitis (StatPearls)</w:t>
              </w:r>
            </w:hyperlink>
          </w:p>
          <w:p>
            <w:pPr>
              <w:spacing w:before="60" w:after="40"/>
            </w:pPr>
            <w:r>
              <w:rPr>
                <w:rFonts w:ascii="Calibri" w:hAnsi="Calibri"/>
                <w:b w:val="0"/>
                <w:i w:val="0"/>
                <w:color w:val="5A5A5A"/>
                <w:sz w:val="18"/>
              </w:rPr>
              <w:t>#alpha1antitrypsin  #antiprotease  #earlyonset  #geneticCOPD  #neutrophilelastase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Asthma</w:t>
            </w:r>
          </w:p>
        </w:tc>
        <w:tc>
          <w:tcPr>
            <w:tcW w:type="dxa" w:w="2160"/>
            <w:vAlign w:val="top"/>
          </w:tcPr>
          <w:p>
            <w:pPr>
              <w:spacing w:after="40" w:before="0" w:line="259" w:lineRule="auto"/>
            </w:pPr>
            <w:r>
              <w:rPr>
                <w:rFonts w:ascii="Calibri" w:hAnsi="Calibri"/>
                <w:b w:val="0"/>
                <w:i w:val="0"/>
                <w:color w:val="212121"/>
                <w:sz w:val="19"/>
              </w:rPr>
              <w:t>Adults with long-standing asthma (asthma-COPD overlap)</w:t>
            </w:r>
          </w:p>
        </w:tc>
        <w:tc>
          <w:tcPr>
            <w:tcW w:type="dxa" w:w="4276"/>
            <w:vAlign w:val="top"/>
          </w:tcPr>
          <w:p>
            <w:pPr>
              <w:spacing w:after="60" w:line="259" w:lineRule="auto"/>
            </w:pPr>
            <w:r>
              <w:rPr>
                <w:rFonts w:ascii="Calibri" w:hAnsi="Calibri"/>
                <w:b w:val="0"/>
                <w:i w:val="0"/>
                <w:color w:val="212121"/>
                <w:sz w:val="19"/>
              </w:rPr>
              <w:t>Chronic airway inflammation and hyper-responsiveness in asthma, especially with smoking, can evolve into fixed obstruction and chronic mucus hypersecretion, producing asthma-COPD overlap with more symptoms and exacerbations.</w:t>
            </w:r>
          </w:p>
          <w:p>
            <w:pPr>
              <w:spacing w:after="40" w:before="60" w:line="259" w:lineRule="auto"/>
            </w:pPr>
            <w:r>
              <w:rPr>
                <w:rFonts w:ascii="Calibri" w:hAnsi="Calibri"/>
                <w:b w:val="0"/>
                <w:i w:val="0"/>
                <w:color w:val="212121"/>
                <w:sz w:val="19"/>
              </w:rPr>
              <w:t>Coexisting asthma (asthma-COPD overlap) is associated with greater symptom burden, faster lung-function decline and more frequent exacerbations.</w:t>
            </w:r>
          </w:p>
          <w:p>
            <w:pPr>
              <w:spacing w:before="60" w:after="40"/>
            </w:pPr>
            <w:r>
              <w:rPr>
                <w:rFonts w:ascii="Calibri" w:hAnsi="Calibri"/>
                <w:b w:val="0"/>
                <w:i w:val="0"/>
                <w:color w:val="5A5A5A"/>
                <w:sz w:val="18"/>
              </w:rPr>
              <w:t>#asthma  #ACOS  #airwayhyperresponsiveness  #overlap  #fixedobstruction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Pulmonary tuberculosis</w:t>
            </w:r>
          </w:p>
        </w:tc>
        <w:tc>
          <w:tcPr>
            <w:tcW w:type="dxa" w:w="2160"/>
            <w:vAlign w:val="top"/>
          </w:tcPr>
          <w:p>
            <w:pPr>
              <w:spacing w:after="40" w:before="0" w:line="259" w:lineRule="auto"/>
            </w:pPr>
            <w:r>
              <w:rPr>
                <w:rFonts w:ascii="Calibri" w:hAnsi="Calibri"/>
                <w:b w:val="0"/>
                <w:i w:val="0"/>
                <w:color w:val="212121"/>
                <w:sz w:val="19"/>
              </w:rPr>
              <w:t>Adults with prior/active TB</w:t>
            </w:r>
          </w:p>
        </w:tc>
        <w:tc>
          <w:tcPr>
            <w:tcW w:type="dxa" w:w="4276"/>
            <w:vAlign w:val="top"/>
          </w:tcPr>
          <w:p>
            <w:pPr>
              <w:spacing w:after="60" w:line="259" w:lineRule="auto"/>
            </w:pPr>
            <w:r>
              <w:rPr>
                <w:rFonts w:ascii="Calibri" w:hAnsi="Calibri"/>
                <w:b w:val="0"/>
                <w:i w:val="0"/>
                <w:color w:val="212121"/>
                <w:sz w:val="19"/>
              </w:rPr>
              <w:t>Post-tuberculous airway and parenchymal damage — highly prevalent in India — leaves chronic bronchitis, bronchiectasis and fixed airflow obstruction, so a TB history is a major India-specific driver of chronic bronchitis.</w:t>
            </w:r>
          </w:p>
          <w:p>
            <w:pPr>
              <w:spacing w:after="40" w:before="60" w:line="259" w:lineRule="auto"/>
            </w:pPr>
            <w:r>
              <w:rPr>
                <w:rFonts w:ascii="Calibri" w:hAnsi="Calibri"/>
                <w:b w:val="0"/>
                <w:i w:val="0"/>
                <w:color w:val="212121"/>
                <w:sz w:val="19"/>
              </w:rPr>
              <w:t>A history of tuberculosis is a consistently significant risk factor for COPD/chronic airflow obstruction in Indian data.</w:t>
            </w:r>
          </w:p>
          <w:p>
            <w:pPr>
              <w:spacing w:after="40" w:line="252" w:lineRule="auto"/>
            </w:pPr>
            <w:hyperlink r:id="rId14">
              <w:r>
                <w:rPr>
                  <w:rFonts w:ascii="Calibri" w:hAnsi="Calibri" w:cs="Calibri"/>
                  <w:sz w:val="18"/>
                  <w:color w:val="1155CC"/>
                  <w:u w:val="single"/>
                </w:rPr>
                <w:t xml:space="preserve">jogh.org — COPD prevalence, population &gt;30y, India</w:t>
              </w:r>
            </w:hyperlink>
          </w:p>
          <w:p>
            <w:pPr>
              <w:spacing w:before="60" w:after="40"/>
            </w:pPr>
            <w:r>
              <w:rPr>
                <w:rFonts w:ascii="Calibri" w:hAnsi="Calibri"/>
                <w:b w:val="0"/>
                <w:i w:val="0"/>
                <w:color w:val="5A5A5A"/>
                <w:sz w:val="18"/>
              </w:rPr>
              <w:t>#tuberculosis  #postTB  #airwaydamage  #bronchiectasis  #indiaTB</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GERD</w:t>
            </w:r>
          </w:p>
        </w:tc>
        <w:tc>
          <w:tcPr>
            <w:tcW w:type="dxa" w:w="2160"/>
            <w:vAlign w:val="top"/>
          </w:tcPr>
          <w:p>
            <w:pPr>
              <w:spacing w:after="40" w:before="0" w:line="259" w:lineRule="auto"/>
            </w:pPr>
            <w:r>
              <w:rPr>
                <w:rFonts w:ascii="Calibri" w:hAnsi="Calibri"/>
                <w:b w:val="0"/>
                <w:i w:val="0"/>
                <w:color w:val="212121"/>
                <w:sz w:val="19"/>
              </w:rPr>
              <w:t>Patients with gastro-oesophageal reflux</w:t>
            </w:r>
          </w:p>
        </w:tc>
        <w:tc>
          <w:tcPr>
            <w:tcW w:type="dxa" w:w="4276"/>
            <w:vAlign w:val="top"/>
          </w:tcPr>
          <w:p>
            <w:pPr>
              <w:spacing w:after="60" w:line="259" w:lineRule="auto"/>
            </w:pPr>
            <w:r>
              <w:rPr>
                <w:rFonts w:ascii="Calibri" w:hAnsi="Calibri"/>
                <w:b w:val="0"/>
                <w:i w:val="0"/>
                <w:color w:val="212121"/>
                <w:sz w:val="19"/>
              </w:rPr>
              <w:t>Micro-aspiration of gastric contents and vagally mediated reflexes in GERD provoke chronic cough, airway inflammation and more frequent exacerbations, and reflux is markedly more common in chronic bronchitis/COPD.</w:t>
            </w:r>
          </w:p>
          <w:p>
            <w:pPr>
              <w:spacing w:after="40" w:before="60" w:line="259" w:lineRule="auto"/>
            </w:pPr>
            <w:r>
              <w:rPr>
                <w:rFonts w:ascii="Calibri" w:hAnsi="Calibri"/>
                <w:b w:val="0"/>
                <w:i w:val="0"/>
                <w:color w:val="212121"/>
                <w:sz w:val="19"/>
              </w:rPr>
              <w:t>GERD is a common comorbidity in chronic bronchitis/COPD and an independent trigger of chronic cough and exacerbations.</w:t>
            </w:r>
          </w:p>
          <w:p>
            <w:pPr>
              <w:spacing w:before="60" w:after="40"/>
            </w:pPr>
            <w:r>
              <w:rPr>
                <w:rFonts w:ascii="Calibri" w:hAnsi="Calibri"/>
                <w:b w:val="0"/>
                <w:i w:val="0"/>
                <w:color w:val="5A5A5A"/>
                <w:sz w:val="18"/>
              </w:rPr>
              <w:t>#GERD  #microaspiration  #chroniccough  #exacerbationtrigger  #reflux</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Recurrent childhood/adult LRTI</w:t>
            </w:r>
          </w:p>
        </w:tc>
        <w:tc>
          <w:tcPr>
            <w:tcW w:type="dxa" w:w="2160"/>
            <w:vAlign w:val="top"/>
          </w:tcPr>
          <w:p>
            <w:pPr>
              <w:spacing w:after="40" w:before="0" w:line="259" w:lineRule="auto"/>
            </w:pPr>
            <w:r>
              <w:rPr>
                <w:rFonts w:ascii="Calibri" w:hAnsi="Calibri"/>
                <w:b w:val="0"/>
                <w:i w:val="0"/>
                <w:color w:val="212121"/>
                <w:sz w:val="19"/>
              </w:rPr>
              <w:t>People with recurrent lower-respiratory infections</w:t>
            </w:r>
          </w:p>
        </w:tc>
        <w:tc>
          <w:tcPr>
            <w:tcW w:type="dxa" w:w="4276"/>
            <w:vAlign w:val="top"/>
          </w:tcPr>
          <w:p>
            <w:pPr>
              <w:spacing w:after="60" w:line="259" w:lineRule="auto"/>
            </w:pPr>
            <w:r>
              <w:rPr>
                <w:rFonts w:ascii="Calibri" w:hAnsi="Calibri"/>
                <w:b w:val="0"/>
                <w:i w:val="0"/>
                <w:color w:val="212121"/>
                <w:sz w:val="19"/>
              </w:rPr>
              <w:t>Repeated lower-respiratory infections and heavy environmental tobacco-smoke exposure in childhood impair lung growth and airway defences, predisposing to chronic bronchitis in adult life.</w:t>
            </w:r>
          </w:p>
          <w:p>
            <w:pPr>
              <w:spacing w:after="40" w:before="60" w:line="259" w:lineRule="auto"/>
            </w:pPr>
            <w:r>
              <w:rPr>
                <w:rFonts w:ascii="Calibri" w:hAnsi="Calibri"/>
                <w:b w:val="0"/>
                <w:i w:val="0"/>
                <w:color w:val="212121"/>
                <w:sz w:val="19"/>
              </w:rPr>
              <w:t>INSEARCH linked chronic bronchitis to advancing age, active smoking, household environmental tobacco smoke and use of unclean cooking fuels.</w:t>
            </w:r>
          </w:p>
          <w:p>
            <w:pPr>
              <w:spacing w:after="40" w:line="252" w:lineRule="auto"/>
            </w:pPr>
            <w:hyperlink r:id="rId9">
              <w:r>
                <w:rPr>
                  <w:rFonts w:ascii="Calibri" w:hAnsi="Calibri" w:cs="Calibri"/>
                  <w:sz w:val="18"/>
                  <w:color w:val="1155CC"/>
                  <w:u w:val="single"/>
                </w:rPr>
                <w:t xml:space="preserve">pubmed.ncbi.nlm.nih.gov/22871327 — INSEARCH</w:t>
              </w:r>
            </w:hyperlink>
          </w:p>
          <w:p>
            <w:pPr>
              <w:spacing w:before="60" w:after="40"/>
            </w:pPr>
            <w:r>
              <w:rPr>
                <w:rFonts w:ascii="Calibri" w:hAnsi="Calibri"/>
                <w:b w:val="0"/>
                <w:i w:val="0"/>
                <w:color w:val="5A5A5A"/>
                <w:sz w:val="18"/>
              </w:rPr>
              <w:t>#recurrentLRTI  #childhoodinfection  #ETS  #passivesmoke  #lunggrowth</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Physical inactivity accelerates deconditioning and worsens dyspnoea and exacerbations; structured exercise within pulmonary rehabilitation improves exercise capacity, symptoms and quality of life and reduces hospital readmissions.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Diets low in fruit, vegetables and antioxidants are linked to more respiratory symptoms and faster lung-function decline, while undernutrition and low BMI predict worse outcomes; adequate protein and antioxidant intake supports respiratory-muscle mass and defence.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Nocturnal cough, hypoxaemia and coexisting obstructive sleep apnoea (overlap syndrome) fragment sleep and worsen daytime symptoms, pulmonary hypertension and exacerbation risk.</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Tobacco (cigarette and bidi) smoke is the single most important cause; it drives goblet-cell hyperplasia, ciliary damage and neutrophilic inflammation, and COPD prevalence reaches ~37% in Indian smokers. Cessation is the only intervention that slows lung-function decline.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Heavy alcohol use impairs mucociliary clearance and pulmonary immune defence and clusters with smoking, indirectly increasing infection and exacerbation risk; a direct causal link is weak.</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Depression and anxiety are very common in chronic bronchitis/COPD — up to ~63% and ~67% respectively in Indian cohorts — and worsen dyspnoea perception, treatment adherence, exacerbations and outcomes.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systemic hydration helps keep airway secretions thin and easier to clear; evidence that it modifies disease course is limited, but dehydration can thicken mucus.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Caffeine is a weak methylxanthine bronchodilator that may transiently improve airway function for a few hours, but it has no meaningful disease-modifying effect in chronic bronchitis.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Hand and respiratory hygiene, oral hygiene, and vaccination (influenza, pneumococcal, COVID-19) reduce infective exacerbations, which are a major driver of decline and hospitalisation.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Airborne triggers — tobacco and biomass smoke, ambient PM2.5, occupational dusts/fumes, cold air and respiratory viral/bacterial infections — precipitate acute exacerbations of chronic bronchitis; avoidance is central to management.</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Forward-lean ('tripod') positioning and pursed-lip breathing relieve dyspnoea, and postural/airway-clearance techniques aid sputum expectoration in patients with copious secretions.</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Cumulative smoking exposure (pack-years / bidi-years)</w:t>
            </w:r>
          </w:p>
        </w:tc>
        <w:tc>
          <w:tcPr>
            <w:tcW w:type="dxa" w:w="1655"/>
            <w:vAlign w:val="top"/>
          </w:tcPr>
          <w:p>
            <w:pPr>
              <w:spacing w:after="40" w:before="0" w:line="259" w:lineRule="auto"/>
            </w:pPr>
            <w:r>
              <w:rPr>
                <w:rFonts w:ascii="Calibri" w:hAnsi="Calibri"/>
                <w:b w:val="0"/>
                <w:i w:val="0"/>
                <w:color w:val="212121"/>
                <w:sz w:val="19"/>
              </w:rPr>
              <w:t>Adult &amp; elderly smokers</w:t>
            </w:r>
          </w:p>
        </w:tc>
        <w:tc>
          <w:tcPr>
            <w:tcW w:type="dxa" w:w="1512"/>
            <w:vAlign w:val="top"/>
          </w:tcPr>
          <w:p>
            <w:pPr>
              <w:spacing w:after="40" w:before="0" w:line="259" w:lineRule="auto"/>
            </w:pPr>
            <w:r>
              <w:rPr>
                <w:rFonts w:ascii="Calibri" w:hAnsi="Calibri"/>
                <w:b w:val="0"/>
                <w:i w:val="0"/>
                <w:color w:val="212121"/>
                <w:sz w:val="19"/>
              </w:rPr>
              <w:t>0 pack-years (never-smoker)</w:t>
            </w:r>
          </w:p>
        </w:tc>
        <w:tc>
          <w:tcPr>
            <w:tcW w:type="dxa" w:w="1512"/>
            <w:vAlign w:val="top"/>
          </w:tcPr>
          <w:p>
            <w:pPr>
              <w:spacing w:after="40" w:before="0" w:line="259" w:lineRule="auto"/>
            </w:pPr>
            <w:r>
              <w:rPr>
                <w:rFonts w:ascii="Calibri" w:hAnsi="Calibri"/>
                <w:b w:val="0"/>
                <w:i w:val="0"/>
                <w:color w:val="212121"/>
                <w:sz w:val="19"/>
              </w:rPr>
              <w:t>≥ 10–20 pack-years</w:t>
            </w:r>
          </w:p>
        </w:tc>
        <w:tc>
          <w:tcPr>
            <w:tcW w:type="dxa" w:w="1468"/>
            <w:vAlign w:val="top"/>
          </w:tcPr>
          <w:p>
            <w:pPr>
              <w:spacing w:after="60" w:line="259" w:lineRule="auto"/>
            </w:pPr>
            <w:r>
              <w:rPr>
                <w:rFonts w:ascii="Calibri" w:hAnsi="Calibri"/>
                <w:b w:val="0"/>
                <w:i w:val="0"/>
                <w:color w:val="212121"/>
                <w:sz w:val="19"/>
              </w:rPr>
              <w:t>Cumulative tobacco dose correlates with chronic-bronchitis risk and airflow obstruction</w:t>
            </w:r>
          </w:p>
          <w:p>
            <w:pPr>
              <w:spacing w:after="40" w:line="252" w:lineRule="auto"/>
            </w:pPr>
            <w:hyperlink r:id="rId11">
              <w:r>
                <w:rPr>
                  <w:rFonts w:ascii="Calibri" w:hAnsi="Calibri" w:cs="Calibri"/>
                  <w:sz w:val="18"/>
                  <w:color w:val="1155CC"/>
                  <w:u w:val="single"/>
                </w:rPr>
                <w:t xml:space="preserve">https://ntcp.mohfw.gov.in/assets/document/surveys-reports-publications/GATS-2-FactSheet.pdf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Current cigarettes / bidis per day</w:t>
            </w:r>
          </w:p>
        </w:tc>
        <w:tc>
          <w:tcPr>
            <w:tcW w:type="dxa" w:w="1655"/>
            <w:vAlign w:val="top"/>
          </w:tcPr>
          <w:p>
            <w:pPr>
              <w:spacing w:after="40" w:before="0" w:line="259" w:lineRule="auto"/>
            </w:pPr>
            <w:r>
              <w:rPr>
                <w:rFonts w:ascii="Calibri" w:hAnsi="Calibri"/>
                <w:b w:val="0"/>
                <w:i w:val="0"/>
                <w:color w:val="212121"/>
                <w:sz w:val="19"/>
              </w:rPr>
              <w:t>Smokers of any age</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 1 per day</w:t>
            </w:r>
          </w:p>
        </w:tc>
        <w:tc>
          <w:tcPr>
            <w:tcW w:type="dxa" w:w="1468"/>
            <w:vAlign w:val="top"/>
          </w:tcPr>
          <w:p>
            <w:pPr>
              <w:spacing w:after="40" w:before="0" w:line="259" w:lineRule="auto"/>
            </w:pPr>
            <w:r>
              <w:rPr>
                <w:rFonts w:ascii="Calibri" w:hAnsi="Calibri"/>
                <w:b w:val="0"/>
                <w:i w:val="0"/>
                <w:color w:val="212121"/>
                <w:sz w:val="19"/>
              </w:rPr>
              <w:t>Any daily smoking sustains mucus hypersecretion; cessation is the priority intervention</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Household cooking-fuel type / indoor PM2.5</w:t>
            </w:r>
          </w:p>
        </w:tc>
        <w:tc>
          <w:tcPr>
            <w:tcW w:type="dxa" w:w="1655"/>
            <w:vAlign w:val="top"/>
          </w:tcPr>
          <w:p>
            <w:pPr>
              <w:spacing w:after="40" w:before="0" w:line="259" w:lineRule="auto"/>
            </w:pPr>
            <w:r>
              <w:rPr>
                <w:rFonts w:ascii="Calibri" w:hAnsi="Calibri"/>
                <w:b w:val="0"/>
                <w:i w:val="0"/>
                <w:color w:val="212121"/>
                <w:sz w:val="19"/>
              </w:rPr>
              <w:t>Biomass-using women &amp; children</w:t>
            </w:r>
          </w:p>
        </w:tc>
        <w:tc>
          <w:tcPr>
            <w:tcW w:type="dxa" w:w="1512"/>
            <w:vAlign w:val="top"/>
          </w:tcPr>
          <w:p>
            <w:pPr>
              <w:spacing w:after="40" w:before="0" w:line="259" w:lineRule="auto"/>
            </w:pPr>
            <w:r>
              <w:rPr>
                <w:rFonts w:ascii="Calibri" w:hAnsi="Calibri"/>
                <w:b w:val="0"/>
                <w:i w:val="0"/>
                <w:color w:val="212121"/>
                <w:sz w:val="19"/>
              </w:rPr>
              <w:t>Clean fuel (LPG/electric); PM2.5 well controlled</w:t>
            </w:r>
          </w:p>
        </w:tc>
        <w:tc>
          <w:tcPr>
            <w:tcW w:type="dxa" w:w="1512"/>
            <w:vAlign w:val="top"/>
          </w:tcPr>
          <w:p>
            <w:pPr>
              <w:spacing w:after="40" w:before="0" w:line="259" w:lineRule="auto"/>
            </w:pPr>
            <w:r>
              <w:rPr>
                <w:rFonts w:ascii="Calibri" w:hAnsi="Calibri"/>
                <w:b w:val="0"/>
                <w:i w:val="0"/>
                <w:color w:val="212121"/>
                <w:sz w:val="19"/>
              </w:rPr>
              <w:t>Solid biomass; PM2.5 ≥ ~230 µg/m³ (unvented)</w:t>
            </w:r>
          </w:p>
        </w:tc>
        <w:tc>
          <w:tcPr>
            <w:tcW w:type="dxa" w:w="1468"/>
            <w:vAlign w:val="top"/>
          </w:tcPr>
          <w:p>
            <w:pPr>
              <w:spacing w:after="60" w:line="259" w:lineRule="auto"/>
            </w:pPr>
            <w:r>
              <w:rPr>
                <w:rFonts w:ascii="Calibri" w:hAnsi="Calibri"/>
                <w:b w:val="0"/>
                <w:i w:val="0"/>
                <w:color w:val="212121"/>
                <w:sz w:val="19"/>
              </w:rPr>
              <w:t>Switching to clean fuel and ventilation markedly lowers particulate exposure</w:t>
            </w:r>
          </w:p>
          <w:p>
            <w:pPr>
              <w:spacing w:after="40" w:line="252" w:lineRule="auto"/>
            </w:pPr>
            <w:hyperlink r:id="rId12">
              <w:r>
                <w:rPr>
                  <w:rFonts w:ascii="Calibri" w:hAnsi="Calibri" w:cs="Calibri"/>
                  <w:sz w:val="18"/>
                  <w:color w:val="1155CC"/>
                  <w:u w:val="single"/>
                </w:rPr>
                <w:t xml:space="preserve">https://link.springer.com/article/10.1186/s12889-018-5846-2</w:t>
              </w:r>
            </w:hyperlink>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6-minute walk distance (6MWD)</w:t>
            </w:r>
          </w:p>
        </w:tc>
        <w:tc>
          <w:tcPr>
            <w:tcW w:type="dxa" w:w="1655"/>
            <w:vAlign w:val="top"/>
          </w:tcPr>
          <w:p>
            <w:pPr>
              <w:spacing w:after="40" w:before="0" w:line="259" w:lineRule="auto"/>
            </w:pPr>
            <w:r>
              <w:rPr>
                <w:rFonts w:ascii="Calibri" w:hAnsi="Calibri"/>
                <w:b w:val="0"/>
                <w:i w:val="0"/>
                <w:color w:val="212121"/>
                <w:sz w:val="19"/>
              </w:rPr>
              <w:t>Symptomatic / obstructive patients</w:t>
            </w:r>
          </w:p>
        </w:tc>
        <w:tc>
          <w:tcPr>
            <w:tcW w:type="dxa" w:w="1512"/>
            <w:vAlign w:val="top"/>
          </w:tcPr>
          <w:p>
            <w:pPr>
              <w:spacing w:after="40" w:before="0" w:line="259" w:lineRule="auto"/>
            </w:pPr>
            <w:r>
              <w:rPr>
                <w:rFonts w:ascii="Calibri" w:hAnsi="Calibri"/>
                <w:b w:val="0"/>
                <w:i w:val="0"/>
                <w:color w:val="212121"/>
                <w:sz w:val="19"/>
              </w:rPr>
              <w:t>≥ ~400–500 m</w:t>
            </w:r>
          </w:p>
        </w:tc>
        <w:tc>
          <w:tcPr>
            <w:tcW w:type="dxa" w:w="1512"/>
            <w:vAlign w:val="top"/>
          </w:tcPr>
          <w:p>
            <w:pPr>
              <w:spacing w:after="40" w:before="0" w:line="259" w:lineRule="auto"/>
            </w:pPr>
            <w:r>
              <w:rPr>
                <w:rFonts w:ascii="Calibri" w:hAnsi="Calibri"/>
                <w:b w:val="0"/>
                <w:i w:val="0"/>
                <w:color w:val="212121"/>
                <w:sz w:val="19"/>
              </w:rPr>
              <w:t>&lt; 350 m</w:t>
            </w:r>
          </w:p>
        </w:tc>
        <w:tc>
          <w:tcPr>
            <w:tcW w:type="dxa" w:w="1468"/>
            <w:vAlign w:val="top"/>
          </w:tcPr>
          <w:p>
            <w:pPr>
              <w:spacing w:after="40" w:before="0" w:line="259" w:lineRule="auto"/>
            </w:pPr>
            <w:r>
              <w:rPr>
                <w:rFonts w:ascii="Calibri" w:hAnsi="Calibri"/>
                <w:b w:val="0"/>
                <w:i w:val="0"/>
                <w:color w:val="212121"/>
                <w:sz w:val="19"/>
              </w:rPr>
              <w:t>Reduced 6MWD reflects deconditioning and predicts poorer prognosis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 with chronic bronchitis</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&lt; 18.5 (cachexia) or ≥ 25 (obesity/overlap)</w:t>
            </w:r>
          </w:p>
        </w:tc>
        <w:tc>
          <w:tcPr>
            <w:tcW w:type="dxa" w:w="1468"/>
            <w:vAlign w:val="top"/>
          </w:tcPr>
          <w:p>
            <w:pPr>
              <w:spacing w:after="40" w:before="0" w:line="259" w:lineRule="auto"/>
            </w:pPr>
            <w:r>
              <w:rPr>
                <w:rFonts w:ascii="Calibri" w:hAnsi="Calibri"/>
                <w:b w:val="0"/>
                <w:i w:val="0"/>
                <w:color w:val="212121"/>
                <w:sz w:val="19"/>
              </w:rPr>
              <w:t>Both low BMI (muscle wasting) and obesity (blue-bloater/OSA overlap) worsen outcomes</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Fruit &amp; vegetable intake</w:t>
            </w:r>
          </w:p>
        </w:tc>
        <w:tc>
          <w:tcPr>
            <w:tcW w:type="dxa" w:w="1655"/>
            <w:vAlign w:val="top"/>
          </w:tcPr>
          <w:p>
            <w:pPr>
              <w:spacing w:after="40" w:before="0" w:line="259" w:lineRule="auto"/>
            </w:pPr>
            <w:r>
              <w:rPr>
                <w:rFonts w:ascii="Calibri" w:hAnsi="Calibri"/>
                <w:b w:val="0"/>
                <w:i w:val="0"/>
                <w:color w:val="212121"/>
                <w:sz w:val="19"/>
              </w:rPr>
              <w:t>All adults</w:t>
            </w:r>
          </w:p>
        </w:tc>
        <w:tc>
          <w:tcPr>
            <w:tcW w:type="dxa" w:w="1512"/>
            <w:vAlign w:val="top"/>
          </w:tcPr>
          <w:p>
            <w:pPr>
              <w:spacing w:after="40" w:before="0" w:line="259" w:lineRule="auto"/>
            </w:pPr>
            <w:r>
              <w:rPr>
                <w:rFonts w:ascii="Calibri" w:hAnsi="Calibri"/>
                <w:b w:val="0"/>
                <w:i w:val="0"/>
                <w:color w:val="212121"/>
                <w:sz w:val="19"/>
              </w:rPr>
              <w:t>≥ 5 servings/day</w:t>
            </w:r>
          </w:p>
        </w:tc>
        <w:tc>
          <w:tcPr>
            <w:tcW w:type="dxa" w:w="1512"/>
            <w:vAlign w:val="top"/>
          </w:tcPr>
          <w:p>
            <w:pPr>
              <w:spacing w:after="40" w:before="0" w:line="259" w:lineRule="auto"/>
            </w:pPr>
            <w:r>
              <w:rPr>
                <w:rFonts w:ascii="Calibri" w:hAnsi="Calibri"/>
                <w:b w:val="0"/>
                <w:i w:val="0"/>
                <w:color w:val="212121"/>
                <w:sz w:val="19"/>
              </w:rPr>
              <w:t>&lt; 2 servings/day</w:t>
            </w:r>
          </w:p>
        </w:tc>
        <w:tc>
          <w:tcPr>
            <w:tcW w:type="dxa" w:w="1468"/>
            <w:vAlign w:val="top"/>
          </w:tcPr>
          <w:p>
            <w:pPr>
              <w:spacing w:after="40" w:before="0" w:line="259" w:lineRule="auto"/>
            </w:pPr>
            <w:r>
              <w:rPr>
                <w:rFonts w:ascii="Calibri" w:hAnsi="Calibri"/>
                <w:b w:val="0"/>
                <w:i w:val="0"/>
                <w:color w:val="212121"/>
                <w:sz w:val="19"/>
              </w:rPr>
              <w:t>Antioxidant-rich diet supports airway defence against oxidative injury</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&amp; OSA screen</w:t>
            </w:r>
          </w:p>
        </w:tc>
        <w:tc>
          <w:tcPr>
            <w:tcW w:type="dxa" w:w="1655"/>
            <w:vAlign w:val="top"/>
          </w:tcPr>
          <w:p>
            <w:pPr>
              <w:spacing w:after="40" w:before="0" w:line="259" w:lineRule="auto"/>
            </w:pPr>
            <w:r>
              <w:rPr>
                <w:rFonts w:ascii="Calibri" w:hAnsi="Calibri"/>
                <w:b w:val="0"/>
                <w:i w:val="0"/>
                <w:color w:val="212121"/>
                <w:sz w:val="19"/>
              </w:rPr>
              <w:t>Adults, obese/blue-bloater phenotype</w:t>
            </w:r>
          </w:p>
        </w:tc>
        <w:tc>
          <w:tcPr>
            <w:tcW w:type="dxa" w:w="1512"/>
            <w:vAlign w:val="top"/>
          </w:tcPr>
          <w:p>
            <w:pPr>
              <w:spacing w:after="40" w:before="0" w:line="259" w:lineRule="auto"/>
            </w:pPr>
            <w:r>
              <w:rPr>
                <w:rFonts w:ascii="Calibri" w:hAnsi="Calibri"/>
                <w:b w:val="0"/>
                <w:i w:val="0"/>
                <w:color w:val="212121"/>
                <w:sz w:val="19"/>
              </w:rPr>
              <w:t>7–9 h/night; low OSA risk</w:t>
            </w:r>
          </w:p>
        </w:tc>
        <w:tc>
          <w:tcPr>
            <w:tcW w:type="dxa" w:w="1512"/>
            <w:vAlign w:val="top"/>
          </w:tcPr>
          <w:p>
            <w:pPr>
              <w:spacing w:after="40" w:before="0" w:line="259" w:lineRule="auto"/>
            </w:pPr>
            <w:r>
              <w:rPr>
                <w:rFonts w:ascii="Calibri" w:hAnsi="Calibri"/>
                <w:b w:val="0"/>
                <w:i w:val="0"/>
                <w:color w:val="212121"/>
                <w:sz w:val="19"/>
              </w:rPr>
              <w:t>&lt; 6 h/night or high OSA risk (overlap syndrome)</w:t>
            </w:r>
          </w:p>
        </w:tc>
        <w:tc>
          <w:tcPr>
            <w:tcW w:type="dxa" w:w="1468"/>
            <w:vAlign w:val="top"/>
          </w:tcPr>
          <w:p>
            <w:pPr>
              <w:spacing w:after="40" w:before="0" w:line="259" w:lineRule="auto"/>
            </w:pPr>
            <w:r>
              <w:rPr>
                <w:rFonts w:ascii="Calibri" w:hAnsi="Calibri"/>
                <w:b w:val="0"/>
                <w:i w:val="0"/>
                <w:color w:val="212121"/>
                <w:sz w:val="19"/>
              </w:rPr>
              <w:t>Overlap of COPD and OSA magnifies nocturnal hypoxaemia and pulmonary hypertension</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mMRC dyspnoea grade</w:t>
            </w:r>
          </w:p>
        </w:tc>
        <w:tc>
          <w:tcPr>
            <w:tcW w:type="dxa" w:w="1655"/>
            <w:vAlign w:val="top"/>
          </w:tcPr>
          <w:p>
            <w:pPr>
              <w:spacing w:after="40" w:before="0" w:line="259" w:lineRule="auto"/>
            </w:pPr>
            <w:r>
              <w:rPr>
                <w:rFonts w:ascii="Calibri" w:hAnsi="Calibri"/>
                <w:b w:val="0"/>
                <w:i w:val="0"/>
                <w:color w:val="212121"/>
                <w:sz w:val="19"/>
              </w:rPr>
              <w:t>Symptomatic patients</w:t>
            </w:r>
          </w:p>
        </w:tc>
        <w:tc>
          <w:tcPr>
            <w:tcW w:type="dxa" w:w="1512"/>
            <w:vAlign w:val="top"/>
          </w:tcPr>
          <w:p>
            <w:pPr>
              <w:spacing w:after="40" w:before="0" w:line="259" w:lineRule="auto"/>
            </w:pPr>
            <w:r>
              <w:rPr>
                <w:rFonts w:ascii="Calibri" w:hAnsi="Calibri"/>
                <w:b w:val="0"/>
                <w:i w:val="0"/>
                <w:color w:val="212121"/>
                <w:sz w:val="19"/>
              </w:rPr>
              <w:t>Grade 0–1</w:t>
            </w:r>
          </w:p>
        </w:tc>
        <w:tc>
          <w:tcPr>
            <w:tcW w:type="dxa" w:w="1512"/>
            <w:vAlign w:val="top"/>
          </w:tcPr>
          <w:p>
            <w:pPr>
              <w:spacing w:after="40" w:before="0" w:line="259" w:lineRule="auto"/>
            </w:pPr>
            <w:r>
              <w:rPr>
                <w:rFonts w:ascii="Calibri" w:hAnsi="Calibri"/>
                <w:b w:val="0"/>
                <w:i w:val="0"/>
                <w:color w:val="212121"/>
                <w:sz w:val="19"/>
              </w:rPr>
              <w:t>≥ Grade 2</w:t>
            </w:r>
          </w:p>
        </w:tc>
        <w:tc>
          <w:tcPr>
            <w:tcW w:type="dxa" w:w="1468"/>
            <w:vAlign w:val="top"/>
          </w:tcPr>
          <w:p>
            <w:pPr>
              <w:spacing w:after="40" w:before="0" w:line="259" w:lineRule="auto"/>
            </w:pPr>
            <w:r>
              <w:rPr>
                <w:rFonts w:ascii="Calibri" w:hAnsi="Calibri"/>
                <w:b w:val="0"/>
                <w:i w:val="0"/>
                <w:color w:val="212121"/>
                <w:sz w:val="19"/>
              </w:rPr>
              <w:t>Higher breathlessness grade indicates greater functional impairment and guides therapy group</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COPD Assessment Test (CAT) score</w:t>
            </w:r>
          </w:p>
        </w:tc>
        <w:tc>
          <w:tcPr>
            <w:tcW w:type="dxa" w:w="1655"/>
            <w:vAlign w:val="top"/>
          </w:tcPr>
          <w:p>
            <w:pPr>
              <w:spacing w:after="40" w:before="0" w:line="259" w:lineRule="auto"/>
            </w:pPr>
            <w:r>
              <w:rPr>
                <w:rFonts w:ascii="Calibri" w:hAnsi="Calibri"/>
                <w:b w:val="0"/>
                <w:i w:val="0"/>
                <w:color w:val="212121"/>
                <w:sz w:val="19"/>
              </w:rPr>
              <w:t>Patients with airflow obstruction</w:t>
            </w:r>
          </w:p>
        </w:tc>
        <w:tc>
          <w:tcPr>
            <w:tcW w:type="dxa" w:w="1512"/>
            <w:vAlign w:val="top"/>
          </w:tcPr>
          <w:p>
            <w:pPr>
              <w:spacing w:after="40" w:before="0" w:line="259" w:lineRule="auto"/>
            </w:pPr>
            <w:r>
              <w:rPr>
                <w:rFonts w:ascii="Calibri" w:hAnsi="Calibri"/>
                <w:b w:val="0"/>
                <w:i w:val="0"/>
                <w:color w:val="212121"/>
                <w:sz w:val="19"/>
              </w:rPr>
              <w:t>&lt; 10</w:t>
            </w:r>
          </w:p>
        </w:tc>
        <w:tc>
          <w:tcPr>
            <w:tcW w:type="dxa" w:w="1512"/>
            <w:vAlign w:val="top"/>
          </w:tcPr>
          <w:p>
            <w:pPr>
              <w:spacing w:after="40" w:before="0" w:line="259" w:lineRule="auto"/>
            </w:pPr>
            <w:r>
              <w:rPr>
                <w:rFonts w:ascii="Calibri" w:hAnsi="Calibri"/>
                <w:b w:val="0"/>
                <w:i w:val="0"/>
                <w:color w:val="212121"/>
                <w:sz w:val="19"/>
              </w:rPr>
              <w:t>≥ 10</w:t>
            </w:r>
          </w:p>
        </w:tc>
        <w:tc>
          <w:tcPr>
            <w:tcW w:type="dxa" w:w="1468"/>
            <w:vAlign w:val="top"/>
          </w:tcPr>
          <w:p>
            <w:pPr>
              <w:spacing w:after="40" w:before="0" w:line="259" w:lineRule="auto"/>
            </w:pPr>
            <w:r>
              <w:rPr>
                <w:rFonts w:ascii="Calibri" w:hAnsi="Calibri"/>
                <w:b w:val="0"/>
                <w:i w:val="0"/>
                <w:color w:val="212121"/>
                <w:sz w:val="19"/>
              </w:rPr>
              <w:t>Quantifies symptom burden and health-status impact; guides GOLD group and treatment</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Acute exacerbations per year</w:t>
            </w:r>
          </w:p>
        </w:tc>
        <w:tc>
          <w:tcPr>
            <w:tcW w:type="dxa" w:w="1655"/>
            <w:vAlign w:val="top"/>
          </w:tcPr>
          <w:p>
            <w:pPr>
              <w:spacing w:after="40" w:before="0" w:line="259" w:lineRule="auto"/>
            </w:pPr>
            <w:r>
              <w:rPr>
                <w:rFonts w:ascii="Calibri" w:hAnsi="Calibri"/>
                <w:b w:val="0"/>
                <w:i w:val="0"/>
                <w:color w:val="212121"/>
                <w:sz w:val="19"/>
              </w:rPr>
              <w:t>All chronic-bronchitis patients</w:t>
            </w:r>
          </w:p>
        </w:tc>
        <w:tc>
          <w:tcPr>
            <w:tcW w:type="dxa" w:w="1512"/>
            <w:vAlign w:val="top"/>
          </w:tcPr>
          <w:p>
            <w:pPr>
              <w:spacing w:after="40" w:before="0" w:line="259" w:lineRule="auto"/>
            </w:pPr>
            <w:r>
              <w:rPr>
                <w:rFonts w:ascii="Calibri" w:hAnsi="Calibri"/>
                <w:b w:val="0"/>
                <w:i w:val="0"/>
                <w:color w:val="212121"/>
                <w:sz w:val="19"/>
              </w:rPr>
              <w:t>0 per year</w:t>
            </w:r>
          </w:p>
        </w:tc>
        <w:tc>
          <w:tcPr>
            <w:tcW w:type="dxa" w:w="1512"/>
            <w:vAlign w:val="top"/>
          </w:tcPr>
          <w:p>
            <w:pPr>
              <w:spacing w:after="40" w:before="0" w:line="259" w:lineRule="auto"/>
            </w:pPr>
            <w:r>
              <w:rPr>
                <w:rFonts w:ascii="Calibri" w:hAnsi="Calibri"/>
                <w:b w:val="0"/>
                <w:i w:val="0"/>
                <w:color w:val="212121"/>
                <w:sz w:val="19"/>
              </w:rPr>
              <w:t>≥ 2 per year (or ≥ 1 hospitalised)</w:t>
            </w:r>
          </w:p>
        </w:tc>
        <w:tc>
          <w:tcPr>
            <w:tcW w:type="dxa" w:w="1468"/>
            <w:vAlign w:val="top"/>
          </w:tcPr>
          <w:p>
            <w:pPr>
              <w:spacing w:after="40" w:before="0" w:line="259" w:lineRule="auto"/>
            </w:pPr>
            <w:r>
              <w:rPr>
                <w:rFonts w:ascii="Calibri" w:hAnsi="Calibri"/>
                <w:b w:val="0"/>
                <w:i w:val="0"/>
                <w:color w:val="212121"/>
                <w:sz w:val="19"/>
              </w:rPr>
              <w:t>Frequent-exacerbator phenotype drives lung-function decline and mortality</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Resting oxygen saturation (SpO₂)</w:t>
            </w:r>
          </w:p>
        </w:tc>
        <w:tc>
          <w:tcPr>
            <w:tcW w:type="dxa" w:w="1655"/>
            <w:vAlign w:val="top"/>
          </w:tcPr>
          <w:p>
            <w:pPr>
              <w:spacing w:after="40" w:before="0" w:line="259" w:lineRule="auto"/>
            </w:pPr>
            <w:r>
              <w:rPr>
                <w:rFonts w:ascii="Calibri" w:hAnsi="Calibri"/>
                <w:b w:val="0"/>
                <w:i w:val="0"/>
                <w:color w:val="212121"/>
                <w:sz w:val="19"/>
              </w:rPr>
              <w:t>Moderate-to-severe disease</w:t>
            </w:r>
          </w:p>
        </w:tc>
        <w:tc>
          <w:tcPr>
            <w:tcW w:type="dxa" w:w="1512"/>
            <w:vAlign w:val="top"/>
          </w:tcPr>
          <w:p>
            <w:pPr>
              <w:spacing w:after="40" w:before="0" w:line="259" w:lineRule="auto"/>
            </w:pPr>
            <w:r>
              <w:rPr>
                <w:rFonts w:ascii="Calibri" w:hAnsi="Calibri"/>
                <w:b w:val="0"/>
                <w:i w:val="0"/>
                <w:color w:val="212121"/>
                <w:sz w:val="19"/>
              </w:rPr>
              <w:t>≥ 94% on room air</w:t>
            </w:r>
          </w:p>
        </w:tc>
        <w:tc>
          <w:tcPr>
            <w:tcW w:type="dxa" w:w="1512"/>
            <w:vAlign w:val="top"/>
          </w:tcPr>
          <w:p>
            <w:pPr>
              <w:spacing w:after="40" w:before="0" w:line="259" w:lineRule="auto"/>
            </w:pPr>
            <w:r>
              <w:rPr>
                <w:rFonts w:ascii="Calibri" w:hAnsi="Calibri"/>
                <w:b w:val="0"/>
                <w:i w:val="0"/>
                <w:color w:val="212121"/>
                <w:sz w:val="19"/>
              </w:rPr>
              <w:t>≤ 88% (assess for long-term oxygen therapy)</w:t>
            </w:r>
          </w:p>
        </w:tc>
        <w:tc>
          <w:tcPr>
            <w:tcW w:type="dxa" w:w="1468"/>
            <w:vAlign w:val="top"/>
          </w:tcPr>
          <w:p>
            <w:pPr>
              <w:spacing w:after="40" w:before="0" w:line="259" w:lineRule="auto"/>
            </w:pPr>
            <w:r>
              <w:rPr>
                <w:rFonts w:ascii="Calibri" w:hAnsi="Calibri"/>
                <w:b w:val="0"/>
                <w:i w:val="0"/>
                <w:color w:val="212121"/>
                <w:sz w:val="19"/>
              </w:rPr>
              <w:t>Chronic hypoxaemia (PaO₂ ≤ 55 mmHg / SpO₂ ≤ 88%) is the threshold for long-term oxygen therapy</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Pulmonary function</w:t>
            </w:r>
          </w:p>
        </w:tc>
        <w:tc>
          <w:tcPr>
            <w:tcW w:type="dxa" w:w="1036"/>
            <w:vAlign w:val="top"/>
          </w:tcPr>
          <w:p>
            <w:pPr>
              <w:spacing w:after="40" w:before="0" w:line="259" w:lineRule="auto"/>
            </w:pPr>
            <w:r>
              <w:rPr>
                <w:rFonts w:ascii="Calibri" w:hAnsi="Calibri"/>
                <w:b w:val="0"/>
                <w:i w:val="0"/>
                <w:color w:val="212121"/>
                <w:sz w:val="16"/>
              </w:rPr>
              <w:t>Post-bronchodilator FEV1/FVC ratio</w:t>
            </w:r>
          </w:p>
        </w:tc>
        <w:tc>
          <w:tcPr>
            <w:tcW w:type="dxa" w:w="892"/>
            <w:vAlign w:val="top"/>
          </w:tcPr>
          <w:p>
            <w:pPr>
              <w:spacing w:after="40" w:before="0" w:line="259" w:lineRule="auto"/>
            </w:pPr>
            <w:r>
              <w:rPr>
                <w:rFonts w:ascii="Calibri" w:hAnsi="Calibri"/>
                <w:b w:val="0"/>
                <w:i w:val="0"/>
                <w:color w:val="212121"/>
                <w:sz w:val="16"/>
              </w:rPr>
              <w:t>Spirometry</w:t>
            </w:r>
          </w:p>
        </w:tc>
        <w:tc>
          <w:tcPr>
            <w:tcW w:type="dxa" w:w="950"/>
            <w:vAlign w:val="top"/>
          </w:tcPr>
          <w:p>
            <w:pPr>
              <w:spacing w:after="40" w:before="0" w:line="259" w:lineRule="auto"/>
            </w:pPr>
            <w:r>
              <w:rPr>
                <w:rFonts w:ascii="Calibri" w:hAnsi="Calibri"/>
                <w:b w:val="0"/>
                <w:i w:val="0"/>
                <w:color w:val="212121"/>
                <w:sz w:val="16"/>
              </w:rPr>
              <w:t>≥ 0.70</w:t>
            </w:r>
          </w:p>
        </w:tc>
        <w:tc>
          <w:tcPr>
            <w:tcW w:type="dxa" w:w="950"/>
            <w:vAlign w:val="top"/>
          </w:tcPr>
          <w:p>
            <w:pPr>
              <w:spacing w:after="40" w:before="0" w:line="259" w:lineRule="auto"/>
            </w:pPr>
            <w:r>
              <w:rPr>
                <w:rFonts w:ascii="Calibri" w:hAnsi="Calibri"/>
                <w:b w:val="0"/>
                <w:i w:val="0"/>
                <w:color w:val="212121"/>
                <w:sz w:val="16"/>
              </w:rPr>
              <w:t>&lt; 0.70</w:t>
            </w:r>
          </w:p>
        </w:tc>
        <w:tc>
          <w:tcPr>
            <w:tcW w:type="dxa" w:w="1036"/>
            <w:vAlign w:val="top"/>
          </w:tcPr>
          <w:p>
            <w:pPr>
              <w:spacing w:after="40" w:before="0" w:line="259" w:lineRule="auto"/>
            </w:pPr>
            <w:r>
              <w:rPr>
                <w:rFonts w:ascii="Calibri" w:hAnsi="Calibri"/>
                <w:b w:val="0"/>
                <w:i w:val="0"/>
                <w:color w:val="212121"/>
                <w:sz w:val="16"/>
              </w:rPr>
              <w:t>A fixed ratio &lt; 0.70 confirms airflow obstruction and places chronic bronchitis within the COPD spectrum</w:t>
            </w:r>
          </w:p>
        </w:tc>
        <w:tc>
          <w:tcPr>
            <w:tcW w:type="dxa" w:w="1036"/>
            <w:vAlign w:val="top"/>
          </w:tcPr>
          <w:p>
            <w:pPr>
              <w:spacing w:after="40" w:before="0" w:line="259" w:lineRule="auto"/>
            </w:pPr>
            <w:r>
              <w:rPr>
                <w:rFonts w:ascii="Calibri" w:hAnsi="Calibri"/>
                <w:b w:val="0"/>
                <w:i w:val="0"/>
                <w:color w:val="212121"/>
                <w:sz w:val="16"/>
              </w:rPr>
              <w:t>Smokers, biomass-exposed, symptomatic adults</w:t>
            </w:r>
          </w:p>
        </w:tc>
        <w:tc>
          <w:tcPr>
            <w:tcW w:type="dxa" w:w="720"/>
            <w:vAlign w:val="top"/>
          </w:tcPr>
          <w:p>
            <w:pPr>
              <w:spacing w:after="40" w:before="0" w:line="259" w:lineRule="auto"/>
            </w:pPr>
            <w:r>
              <w:rPr>
                <w:rFonts w:ascii="Calibri" w:hAnsi="Calibri"/>
                <w:b w:val="0"/>
                <w:i w:val="0"/>
                <w:color w:val="212121"/>
                <w:sz w:val="16"/>
              </w:rPr>
              <w:t>Smoking; 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Perform after bronchodilator to distinguish from asthma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Pulmonary function</w:t>
            </w:r>
          </w:p>
        </w:tc>
        <w:tc>
          <w:tcPr>
            <w:tcW w:type="dxa" w:w="1036"/>
            <w:vAlign w:val="top"/>
          </w:tcPr>
          <w:p>
            <w:pPr>
              <w:spacing w:after="40" w:before="0" w:line="259" w:lineRule="auto"/>
            </w:pPr>
            <w:r>
              <w:rPr>
                <w:rFonts w:ascii="Calibri" w:hAnsi="Calibri"/>
                <w:b w:val="0"/>
                <w:i w:val="0"/>
                <w:color w:val="212121"/>
                <w:sz w:val="16"/>
              </w:rPr>
              <w:t>FEV1 % predicted</w:t>
            </w:r>
          </w:p>
        </w:tc>
        <w:tc>
          <w:tcPr>
            <w:tcW w:type="dxa" w:w="892"/>
            <w:vAlign w:val="top"/>
          </w:tcPr>
          <w:p>
            <w:pPr>
              <w:spacing w:after="40" w:before="0" w:line="259" w:lineRule="auto"/>
            </w:pPr>
            <w:r>
              <w:rPr>
                <w:rFonts w:ascii="Calibri" w:hAnsi="Calibri"/>
                <w:b w:val="0"/>
                <w:i w:val="0"/>
                <w:color w:val="212121"/>
                <w:sz w:val="16"/>
              </w:rPr>
              <w:t>Spirometry</w:t>
            </w:r>
          </w:p>
        </w:tc>
        <w:tc>
          <w:tcPr>
            <w:tcW w:type="dxa" w:w="950"/>
            <w:vAlign w:val="top"/>
          </w:tcPr>
          <w:p>
            <w:pPr>
              <w:spacing w:after="40" w:before="0" w:line="259" w:lineRule="auto"/>
            </w:pPr>
            <w:r>
              <w:rPr>
                <w:rFonts w:ascii="Calibri" w:hAnsi="Calibri"/>
                <w:b w:val="0"/>
                <w:i w:val="0"/>
                <w:color w:val="212121"/>
                <w:sz w:val="16"/>
              </w:rPr>
              <w:t>≥ 80% predicted</w:t>
            </w:r>
          </w:p>
        </w:tc>
        <w:tc>
          <w:tcPr>
            <w:tcW w:type="dxa" w:w="950"/>
            <w:vAlign w:val="top"/>
          </w:tcPr>
          <w:p>
            <w:pPr>
              <w:spacing w:after="40" w:before="0" w:line="259" w:lineRule="auto"/>
            </w:pPr>
            <w:r>
              <w:rPr>
                <w:rFonts w:ascii="Calibri" w:hAnsi="Calibri"/>
                <w:b w:val="0"/>
                <w:i w:val="0"/>
                <w:color w:val="212121"/>
                <w:sz w:val="16"/>
              </w:rPr>
              <w:t>&lt; 80% (GOLD 2–4 as it falls)</w:t>
            </w:r>
          </w:p>
        </w:tc>
        <w:tc>
          <w:tcPr>
            <w:tcW w:type="dxa" w:w="1036"/>
            <w:vAlign w:val="top"/>
          </w:tcPr>
          <w:p>
            <w:pPr>
              <w:spacing w:after="40" w:before="0" w:line="259" w:lineRule="auto"/>
            </w:pPr>
            <w:r>
              <w:rPr>
                <w:rFonts w:ascii="Calibri" w:hAnsi="Calibri"/>
                <w:b w:val="0"/>
                <w:i w:val="0"/>
                <w:color w:val="212121"/>
                <w:sz w:val="16"/>
              </w:rPr>
              <w:t>Grades severity of airflow obstruction and tracks disease progression</w:t>
            </w:r>
          </w:p>
        </w:tc>
        <w:tc>
          <w:tcPr>
            <w:tcW w:type="dxa" w:w="1036"/>
            <w:vAlign w:val="top"/>
          </w:tcPr>
          <w:p>
            <w:pPr>
              <w:spacing w:after="40" w:before="0" w:line="259" w:lineRule="auto"/>
            </w:pPr>
            <w:r>
              <w:rPr>
                <w:rFonts w:ascii="Calibri" w:hAnsi="Calibri"/>
                <w:b w:val="0"/>
                <w:i w:val="0"/>
                <w:color w:val="212121"/>
                <w:sz w:val="16"/>
              </w:rPr>
              <w:t>Confirmed obstructive chronic bronchitis</w:t>
            </w:r>
          </w:p>
        </w:tc>
        <w:tc>
          <w:tcPr>
            <w:tcW w:type="dxa" w:w="720"/>
            <w:vAlign w:val="top"/>
          </w:tcPr>
          <w:p>
            <w:pPr>
              <w:spacing w:after="40" w:before="0" w:line="259" w:lineRule="auto"/>
            </w:pPr>
            <w:r>
              <w:rPr>
                <w:rFonts w:ascii="Calibri" w:hAnsi="Calibri"/>
                <w:b w:val="0"/>
                <w:i w:val="0"/>
                <w:color w:val="212121"/>
                <w:sz w:val="16"/>
              </w:rPr>
              <w:t>Smoking; Physical activity</w:t>
            </w:r>
          </w:p>
        </w:tc>
        <w:tc>
          <w:tcPr>
            <w:tcW w:type="dxa" w:w="720"/>
            <w:vAlign w:val="top"/>
          </w:tcPr>
          <w:p>
            <w:pPr>
              <w:spacing w:after="40" w:before="0" w:line="259" w:lineRule="auto"/>
            </w:pPr>
            <w:r>
              <w:rPr>
                <w:rFonts w:ascii="Calibri" w:hAnsi="Calibri"/>
                <w:b w:val="0"/>
                <w:i w:val="0"/>
                <w:color w:val="212121"/>
                <w:sz w:val="16"/>
              </w:rPr>
              <w:t>Grading</w:t>
            </w:r>
          </w:p>
        </w:tc>
        <w:tc>
          <w:tcPr>
            <w:tcW w:type="dxa" w:w="720"/>
            <w:vAlign w:val="top"/>
          </w:tcPr>
          <w:p>
            <w:pPr>
              <w:spacing w:after="40" w:before="0" w:line="259" w:lineRule="auto"/>
            </w:pPr>
            <w:r>
              <w:rPr>
                <w:rFonts w:ascii="Calibri" w:hAnsi="Calibri"/>
                <w:b w:val="0"/>
                <w:i w:val="0"/>
                <w:color w:val="212121"/>
                <w:sz w:val="16"/>
              </w:rPr>
              <w:t>Falling FEV1 indicates progression; used for GOLD staging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Blood gas / oximetry</w:t>
            </w:r>
          </w:p>
        </w:tc>
        <w:tc>
          <w:tcPr>
            <w:tcW w:type="dxa" w:w="1036"/>
            <w:vAlign w:val="top"/>
          </w:tcPr>
          <w:p>
            <w:pPr>
              <w:spacing w:after="40" w:before="0" w:line="259" w:lineRule="auto"/>
            </w:pPr>
            <w:r>
              <w:rPr>
                <w:rFonts w:ascii="Calibri" w:hAnsi="Calibri"/>
                <w:b w:val="0"/>
                <w:i w:val="0"/>
                <w:color w:val="212121"/>
                <w:sz w:val="16"/>
              </w:rPr>
              <w:t>SpO₂ / arterial PaO₂ and PaCO₂</w:t>
            </w:r>
          </w:p>
        </w:tc>
        <w:tc>
          <w:tcPr>
            <w:tcW w:type="dxa" w:w="892"/>
            <w:vAlign w:val="top"/>
          </w:tcPr>
          <w:p>
            <w:pPr>
              <w:spacing w:after="40" w:before="0" w:line="259" w:lineRule="auto"/>
            </w:pPr>
            <w:r>
              <w:rPr>
                <w:rFonts w:ascii="Calibri" w:hAnsi="Calibri"/>
                <w:b w:val="0"/>
                <w:i w:val="0"/>
                <w:color w:val="212121"/>
                <w:sz w:val="16"/>
              </w:rPr>
              <w:t>Pulse oximetry &amp; ABG</w:t>
            </w:r>
          </w:p>
        </w:tc>
        <w:tc>
          <w:tcPr>
            <w:tcW w:type="dxa" w:w="950"/>
            <w:vAlign w:val="top"/>
          </w:tcPr>
          <w:p>
            <w:pPr>
              <w:spacing w:after="40" w:before="0" w:line="259" w:lineRule="auto"/>
            </w:pPr>
            <w:r>
              <w:rPr>
                <w:rFonts w:ascii="Calibri" w:hAnsi="Calibri"/>
                <w:b w:val="0"/>
                <w:i w:val="0"/>
                <w:color w:val="212121"/>
                <w:sz w:val="16"/>
              </w:rPr>
              <w:t>SpO₂ ≥ 94%; PaO₂ 80–100; PaCO₂ 35–45 mmHg</w:t>
            </w:r>
          </w:p>
        </w:tc>
        <w:tc>
          <w:tcPr>
            <w:tcW w:type="dxa" w:w="950"/>
            <w:vAlign w:val="top"/>
          </w:tcPr>
          <w:p>
            <w:pPr>
              <w:spacing w:after="40" w:before="0" w:line="259" w:lineRule="auto"/>
            </w:pPr>
            <w:r>
              <w:rPr>
                <w:rFonts w:ascii="Calibri" w:hAnsi="Calibri"/>
                <w:b w:val="0"/>
                <w:i w:val="0"/>
                <w:color w:val="212121"/>
                <w:sz w:val="16"/>
              </w:rPr>
              <w:t>SpO₂ ≤ 88%; PaO₂ ≤ 55; rising PaCO₂</w:t>
            </w:r>
          </w:p>
        </w:tc>
        <w:tc>
          <w:tcPr>
            <w:tcW w:type="dxa" w:w="1036"/>
            <w:vAlign w:val="top"/>
          </w:tcPr>
          <w:p>
            <w:pPr>
              <w:spacing w:after="40" w:before="0" w:line="259" w:lineRule="auto"/>
            </w:pPr>
            <w:r>
              <w:rPr>
                <w:rFonts w:ascii="Calibri" w:hAnsi="Calibri"/>
                <w:b w:val="0"/>
                <w:i w:val="0"/>
                <w:color w:val="212121"/>
                <w:sz w:val="16"/>
              </w:rPr>
              <w:t>Detects hypoxaemic and hypercapnic respiratory failure; PaO₂ ≤ 55 mmHg qualifies for long-term oxygen</w:t>
            </w:r>
          </w:p>
        </w:tc>
        <w:tc>
          <w:tcPr>
            <w:tcW w:type="dxa" w:w="1036"/>
            <w:vAlign w:val="top"/>
          </w:tcPr>
          <w:p>
            <w:pPr>
              <w:spacing w:after="40" w:before="0" w:line="259" w:lineRule="auto"/>
            </w:pPr>
            <w:r>
              <w:rPr>
                <w:rFonts w:ascii="Calibri" w:hAnsi="Calibri"/>
                <w:b w:val="0"/>
                <w:i w:val="0"/>
                <w:color w:val="212121"/>
                <w:sz w:val="16"/>
              </w:rPr>
              <w:t>Blue-bloater phenotype, advanced disease, exacerbations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ABG needed if SpO₂ low or CO₂ retention suspected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Bronchovascular markings; exclusion of mimics</w:t>
            </w:r>
          </w:p>
        </w:tc>
        <w:tc>
          <w:tcPr>
            <w:tcW w:type="dxa" w:w="892"/>
            <w:vAlign w:val="top"/>
          </w:tcPr>
          <w:p>
            <w:pPr>
              <w:spacing w:after="40" w:before="0" w:line="259" w:lineRule="auto"/>
            </w:pPr>
            <w:r>
              <w:rPr>
                <w:rFonts w:ascii="Calibri" w:hAnsi="Calibri"/>
                <w:b w:val="0"/>
                <w:i w:val="0"/>
                <w:color w:val="212121"/>
                <w:sz w:val="16"/>
              </w:rPr>
              <w:t>Chest radiograph (± HRCT)</w:t>
            </w:r>
          </w:p>
        </w:tc>
        <w:tc>
          <w:tcPr>
            <w:tcW w:type="dxa" w:w="950"/>
            <w:vAlign w:val="top"/>
          </w:tcPr>
          <w:p>
            <w:pPr>
              <w:spacing w:after="40" w:before="0" w:line="259" w:lineRule="auto"/>
            </w:pPr>
            <w:r>
              <w:rPr>
                <w:rFonts w:ascii="Calibri" w:hAnsi="Calibri"/>
                <w:b w:val="0"/>
                <w:i w:val="0"/>
                <w:color w:val="212121"/>
                <w:sz w:val="16"/>
              </w:rPr>
              <w:t>Clear lung fields</w:t>
            </w:r>
          </w:p>
        </w:tc>
        <w:tc>
          <w:tcPr>
            <w:tcW w:type="dxa" w:w="950"/>
            <w:vAlign w:val="top"/>
          </w:tcPr>
          <w:p>
            <w:pPr>
              <w:spacing w:after="40" w:before="0" w:line="259" w:lineRule="auto"/>
            </w:pPr>
            <w:r>
              <w:rPr>
                <w:rFonts w:ascii="Calibri" w:hAnsi="Calibri"/>
                <w:b w:val="0"/>
                <w:i w:val="0"/>
                <w:color w:val="212121"/>
                <w:sz w:val="16"/>
              </w:rPr>
              <w:t>Increased ('dirty') markings, bronchial-wall thickening; hyperinflation</w:t>
            </w:r>
          </w:p>
        </w:tc>
        <w:tc>
          <w:tcPr>
            <w:tcW w:type="dxa" w:w="1036"/>
            <w:vAlign w:val="top"/>
          </w:tcPr>
          <w:p>
            <w:pPr>
              <w:spacing w:after="40" w:before="0" w:line="259" w:lineRule="auto"/>
            </w:pPr>
            <w:r>
              <w:rPr>
                <w:rFonts w:ascii="Calibri" w:hAnsi="Calibri"/>
                <w:b w:val="0"/>
                <w:i w:val="0"/>
                <w:color w:val="212121"/>
                <w:sz w:val="16"/>
              </w:rPr>
              <w:t>Supports chronic bronchitis and, crucially, excludes TB, bronchiectasis, cardiac failure and malignancy</w:t>
            </w:r>
          </w:p>
        </w:tc>
        <w:tc>
          <w:tcPr>
            <w:tcW w:type="dxa" w:w="1036"/>
            <w:vAlign w:val="top"/>
          </w:tcPr>
          <w:p>
            <w:pPr>
              <w:spacing w:after="40" w:before="0" w:line="259" w:lineRule="auto"/>
            </w:pPr>
            <w:r>
              <w:rPr>
                <w:rFonts w:ascii="Calibri" w:hAnsi="Calibri"/>
                <w:b w:val="0"/>
                <w:i w:val="0"/>
                <w:color w:val="212121"/>
                <w:sz w:val="16"/>
              </w:rPr>
              <w:t>All new/worsening cases, haemoptysis, weight loss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(exclusion)</w:t>
            </w:r>
          </w:p>
        </w:tc>
        <w:tc>
          <w:tcPr>
            <w:tcW w:type="dxa" w:w="720"/>
            <w:vAlign w:val="top"/>
          </w:tcPr>
          <w:p>
            <w:pPr>
              <w:spacing w:after="40" w:before="0" w:line="259" w:lineRule="auto"/>
            </w:pPr>
            <w:r>
              <w:rPr>
                <w:rFonts w:ascii="Calibri" w:hAnsi="Calibri"/>
                <w:b w:val="0"/>
                <w:i w:val="0"/>
                <w:color w:val="212121"/>
                <w:sz w:val="16"/>
              </w:rPr>
              <w:t>HRCT if bronchiectasis or malignancy suspected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Sputum Gram stain, culture &amp; AFB</w:t>
            </w:r>
          </w:p>
        </w:tc>
        <w:tc>
          <w:tcPr>
            <w:tcW w:type="dxa" w:w="892"/>
            <w:vAlign w:val="top"/>
          </w:tcPr>
          <w:p>
            <w:pPr>
              <w:spacing w:after="40" w:before="0" w:line="259" w:lineRule="auto"/>
            </w:pPr>
            <w:r>
              <w:rPr>
                <w:rFonts w:ascii="Calibri" w:hAnsi="Calibri"/>
                <w:b w:val="0"/>
                <w:i w:val="0"/>
                <w:color w:val="212121"/>
                <w:sz w:val="16"/>
              </w:rPr>
              <w:t>Sputum examination</w:t>
            </w:r>
          </w:p>
        </w:tc>
        <w:tc>
          <w:tcPr>
            <w:tcW w:type="dxa" w:w="950"/>
            <w:vAlign w:val="top"/>
          </w:tcPr>
          <w:p>
            <w:pPr>
              <w:spacing w:after="40" w:before="0" w:line="259" w:lineRule="auto"/>
            </w:pPr>
            <w:r>
              <w:rPr>
                <w:rFonts w:ascii="Calibri" w:hAnsi="Calibri"/>
                <w:b w:val="0"/>
                <w:i w:val="0"/>
                <w:color w:val="212121"/>
                <w:sz w:val="16"/>
              </w:rPr>
              <w:t>Mucoid, commensal flora, AFB negative</w:t>
            </w:r>
          </w:p>
        </w:tc>
        <w:tc>
          <w:tcPr>
            <w:tcW w:type="dxa" w:w="950"/>
            <w:vAlign w:val="top"/>
          </w:tcPr>
          <w:p>
            <w:pPr>
              <w:spacing w:after="40" w:before="0" w:line="259" w:lineRule="auto"/>
            </w:pPr>
            <w:r>
              <w:rPr>
                <w:rFonts w:ascii="Calibri" w:hAnsi="Calibri"/>
                <w:b w:val="0"/>
                <w:i w:val="0"/>
                <w:color w:val="212121"/>
                <w:sz w:val="16"/>
              </w:rPr>
              <w:t>Mucopurulent; H. influenzae, S. pneumoniae, M. catarrhalis, Pseudomonas; AFB positive</w:t>
            </w:r>
          </w:p>
        </w:tc>
        <w:tc>
          <w:tcPr>
            <w:tcW w:type="dxa" w:w="1036"/>
            <w:vAlign w:val="top"/>
          </w:tcPr>
          <w:p>
            <w:pPr>
              <w:spacing w:after="40" w:before="0" w:line="259" w:lineRule="auto"/>
            </w:pPr>
            <w:r>
              <w:rPr>
                <w:rFonts w:ascii="Calibri" w:hAnsi="Calibri"/>
                <w:b w:val="0"/>
                <w:i w:val="0"/>
                <w:color w:val="212121"/>
                <w:sz w:val="16"/>
              </w:rPr>
              <w:t>Guides antibiotic choice in exacerbations and excludes pulmonary tuberculosis</w:t>
            </w:r>
          </w:p>
        </w:tc>
        <w:tc>
          <w:tcPr>
            <w:tcW w:type="dxa" w:w="1036"/>
            <w:vAlign w:val="top"/>
          </w:tcPr>
          <w:p>
            <w:pPr>
              <w:spacing w:after="40" w:before="0" w:line="259" w:lineRule="auto"/>
            </w:pPr>
            <w:r>
              <w:rPr>
                <w:rFonts w:ascii="Calibri" w:hAnsi="Calibri"/>
                <w:b w:val="0"/>
                <w:i w:val="0"/>
                <w:color w:val="212121"/>
                <w:sz w:val="16"/>
              </w:rPr>
              <w:t>Purulent/exacerbating patients, TB-endemic settings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Always send AFB/GeneXpert in India to exclude TB</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Haematological</w:t>
            </w:r>
          </w:p>
        </w:tc>
        <w:tc>
          <w:tcPr>
            <w:tcW w:type="dxa" w:w="1036"/>
            <w:vAlign w:val="top"/>
          </w:tcPr>
          <w:p>
            <w:pPr>
              <w:spacing w:after="40" w:before="0" w:line="259" w:lineRule="auto"/>
            </w:pPr>
            <w:r>
              <w:rPr>
                <w:rFonts w:ascii="Calibri" w:hAnsi="Calibri"/>
                <w:b w:val="0"/>
                <w:i w:val="0"/>
                <w:color w:val="212121"/>
                <w:sz w:val="16"/>
              </w:rPr>
              <w:t>Haemoglobin/haematocrit &amp; eosinophil count</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Normal Hb/Hct; eosinophils normal</w:t>
            </w:r>
          </w:p>
        </w:tc>
        <w:tc>
          <w:tcPr>
            <w:tcW w:type="dxa" w:w="950"/>
            <w:vAlign w:val="top"/>
          </w:tcPr>
          <w:p>
            <w:pPr>
              <w:spacing w:after="40" w:before="0" w:line="259" w:lineRule="auto"/>
            </w:pPr>
            <w:r>
              <w:rPr>
                <w:rFonts w:ascii="Calibri" w:hAnsi="Calibri"/>
                <w:b w:val="0"/>
                <w:i w:val="0"/>
                <w:color w:val="212121"/>
                <w:sz w:val="16"/>
              </w:rPr>
              <w:t>Secondary polycythaemia (raised Hb/Hct); blood eosinophilia</w:t>
            </w:r>
          </w:p>
        </w:tc>
        <w:tc>
          <w:tcPr>
            <w:tcW w:type="dxa" w:w="1036"/>
            <w:vAlign w:val="top"/>
          </w:tcPr>
          <w:p>
            <w:pPr>
              <w:spacing w:after="40" w:before="0" w:line="259" w:lineRule="auto"/>
            </w:pPr>
            <w:r>
              <w:rPr>
                <w:rFonts w:ascii="Calibri" w:hAnsi="Calibri"/>
                <w:b w:val="0"/>
                <w:i w:val="0"/>
                <w:color w:val="212121"/>
                <w:sz w:val="16"/>
              </w:rPr>
              <w:t>Polycythaemia signals chronic hypoxaemia; blood eosinophils help predict inhaled-corticosteroid response</w:t>
            </w:r>
          </w:p>
        </w:tc>
        <w:tc>
          <w:tcPr>
            <w:tcW w:type="dxa" w:w="1036"/>
            <w:vAlign w:val="top"/>
          </w:tcPr>
          <w:p>
            <w:pPr>
              <w:spacing w:after="40" w:before="0" w:line="259" w:lineRule="auto"/>
            </w:pPr>
            <w:r>
              <w:rPr>
                <w:rFonts w:ascii="Calibri" w:hAnsi="Calibri"/>
                <w:b w:val="0"/>
                <w:i w:val="0"/>
                <w:color w:val="212121"/>
                <w:sz w:val="16"/>
              </w:rPr>
              <w:t>Chronic hypoxaemic patients; exacerbation-prone</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Anaemia of chronic disease may also occur and worsens dyspnoea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alpha-1 antitrypsin level</w:t>
            </w:r>
          </w:p>
        </w:tc>
        <w:tc>
          <w:tcPr>
            <w:tcW w:type="dxa" w:w="892"/>
            <w:vAlign w:val="top"/>
          </w:tcPr>
          <w:p>
            <w:pPr>
              <w:spacing w:after="40" w:before="0" w:line="259" w:lineRule="auto"/>
            </w:pPr>
            <w:r>
              <w:rPr>
                <w:rFonts w:ascii="Calibri" w:hAnsi="Calibri"/>
                <w:b w:val="0"/>
                <w:i w:val="0"/>
                <w:color w:val="212121"/>
                <w:sz w:val="16"/>
              </w:rPr>
              <w:t>Alpha-1 antitrypsin assay</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Low level (deficiency)</w:t>
            </w:r>
          </w:p>
        </w:tc>
        <w:tc>
          <w:tcPr>
            <w:tcW w:type="dxa" w:w="1036"/>
            <w:vAlign w:val="top"/>
          </w:tcPr>
          <w:p>
            <w:pPr>
              <w:spacing w:after="40" w:before="0" w:line="259" w:lineRule="auto"/>
            </w:pPr>
            <w:r>
              <w:rPr>
                <w:rFonts w:ascii="Calibri" w:hAnsi="Calibri"/>
                <w:b w:val="0"/>
                <w:i w:val="0"/>
                <w:color w:val="212121"/>
                <w:sz w:val="16"/>
              </w:rPr>
              <w:t>Identifies an inherited cause of early-onset chronic bronchitis/emphysema</w:t>
            </w:r>
          </w:p>
        </w:tc>
        <w:tc>
          <w:tcPr>
            <w:tcW w:type="dxa" w:w="1036"/>
            <w:vAlign w:val="top"/>
          </w:tcPr>
          <w:p>
            <w:pPr>
              <w:spacing w:after="40" w:before="0" w:line="259" w:lineRule="auto"/>
            </w:pPr>
            <w:r>
              <w:rPr>
                <w:rFonts w:ascii="Calibri" w:hAnsi="Calibri"/>
                <w:b w:val="0"/>
                <w:i w:val="0"/>
                <w:color w:val="212121"/>
                <w:sz w:val="16"/>
              </w:rPr>
              <w:t>Early-onset, non-smokers, strong family history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Test younger patients or those with disease disproportionate to exposure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Cardiac</w:t>
            </w:r>
          </w:p>
        </w:tc>
        <w:tc>
          <w:tcPr>
            <w:tcW w:type="dxa" w:w="1036"/>
            <w:vAlign w:val="top"/>
          </w:tcPr>
          <w:p>
            <w:pPr>
              <w:spacing w:after="40" w:before="0" w:line="259" w:lineRule="auto"/>
            </w:pPr>
            <w:r>
              <w:rPr>
                <w:rFonts w:ascii="Calibri" w:hAnsi="Calibri"/>
                <w:b w:val="0"/>
                <w:i w:val="0"/>
                <w:color w:val="212121"/>
                <w:sz w:val="16"/>
              </w:rPr>
              <w:t>Signs of cor pulmonale / pulmonary hypertension</w:t>
            </w:r>
          </w:p>
        </w:tc>
        <w:tc>
          <w:tcPr>
            <w:tcW w:type="dxa" w:w="892"/>
            <w:vAlign w:val="top"/>
          </w:tcPr>
          <w:p>
            <w:pPr>
              <w:spacing w:after="40" w:before="0" w:line="259" w:lineRule="auto"/>
            </w:pPr>
            <w:r>
              <w:rPr>
                <w:rFonts w:ascii="Calibri" w:hAnsi="Calibri"/>
                <w:b w:val="0"/>
                <w:i w:val="0"/>
                <w:color w:val="212121"/>
                <w:sz w:val="16"/>
              </w:rPr>
              <w:t>ECG &amp; echocardiography</w:t>
            </w:r>
          </w:p>
        </w:tc>
        <w:tc>
          <w:tcPr>
            <w:tcW w:type="dxa" w:w="950"/>
            <w:vAlign w:val="top"/>
          </w:tcPr>
          <w:p>
            <w:pPr>
              <w:spacing w:after="40" w:before="0" w:line="259" w:lineRule="auto"/>
            </w:pPr>
            <w:r>
              <w:rPr>
                <w:rFonts w:ascii="Calibri" w:hAnsi="Calibri"/>
                <w:b w:val="0"/>
                <w:i w:val="0"/>
                <w:color w:val="212121"/>
                <w:sz w:val="16"/>
              </w:rPr>
              <w:t>Normal right heart</w:t>
            </w:r>
          </w:p>
        </w:tc>
        <w:tc>
          <w:tcPr>
            <w:tcW w:type="dxa" w:w="950"/>
            <w:vAlign w:val="top"/>
          </w:tcPr>
          <w:p>
            <w:pPr>
              <w:spacing w:after="40" w:before="0" w:line="259" w:lineRule="auto"/>
            </w:pPr>
            <w:r>
              <w:rPr>
                <w:rFonts w:ascii="Calibri" w:hAnsi="Calibri"/>
                <w:b w:val="0"/>
                <w:i w:val="0"/>
                <w:color w:val="212121"/>
                <w:sz w:val="16"/>
              </w:rPr>
              <w:t>P pulmonale, right-axis deviation, RV hypertrophy; raised RVSP/PASP on echo</w:t>
            </w:r>
          </w:p>
        </w:tc>
        <w:tc>
          <w:tcPr>
            <w:tcW w:type="dxa" w:w="1036"/>
            <w:vAlign w:val="top"/>
          </w:tcPr>
          <w:p>
            <w:pPr>
              <w:spacing w:after="40" w:before="0" w:line="259" w:lineRule="auto"/>
            </w:pPr>
            <w:r>
              <w:rPr>
                <w:rFonts w:ascii="Calibri" w:hAnsi="Calibri"/>
                <w:b w:val="0"/>
                <w:i w:val="0"/>
                <w:color w:val="212121"/>
                <w:sz w:val="16"/>
              </w:rPr>
              <w:t>Detects pulmonary hypertension and right-heart strain complicating advanced chronic bronchitis</w:t>
            </w:r>
          </w:p>
        </w:tc>
        <w:tc>
          <w:tcPr>
            <w:tcW w:type="dxa" w:w="1036"/>
            <w:vAlign w:val="top"/>
          </w:tcPr>
          <w:p>
            <w:pPr>
              <w:spacing w:after="40" w:before="0" w:line="259" w:lineRule="auto"/>
            </w:pPr>
            <w:r>
              <w:rPr>
                <w:rFonts w:ascii="Calibri" w:hAnsi="Calibri"/>
                <w:b w:val="0"/>
                <w:i w:val="0"/>
                <w:color w:val="212121"/>
                <w:sz w:val="16"/>
              </w:rPr>
              <w:t>Advanced/hypoxaemic patients, peripheral oedema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Echo estimates pulmonary artery pressure non-invasively</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w:t>
            </w:r>
          </w:p>
        </w:tc>
        <w:tc>
          <w:tcPr>
            <w:tcW w:type="dxa" w:w="979"/>
            <w:vAlign w:val="top"/>
          </w:tcPr>
          <w:p>
            <w:pPr>
              <w:spacing w:after="40" w:before="0" w:line="259" w:lineRule="auto"/>
            </w:pPr>
            <w:r>
              <w:rPr>
                <w:rFonts w:ascii="Calibri" w:hAnsi="Calibri"/>
                <w:b w:val="0"/>
                <w:i w:val="0"/>
                <w:color w:val="212121"/>
                <w:sz w:val="16"/>
              </w:rPr>
              <w:t>Chronic productive cough duration</w:t>
            </w:r>
          </w:p>
        </w:tc>
        <w:tc>
          <w:tcPr>
            <w:tcW w:type="dxa" w:w="950"/>
            <w:vAlign w:val="top"/>
          </w:tcPr>
          <w:p>
            <w:pPr>
              <w:spacing w:after="40" w:before="0" w:line="259" w:lineRule="auto"/>
            </w:pPr>
            <w:r>
              <w:rPr>
                <w:rFonts w:ascii="Calibri" w:hAnsi="Calibri"/>
                <w:b w:val="0"/>
                <w:i w:val="0"/>
                <w:color w:val="212121"/>
                <w:sz w:val="16"/>
              </w:rPr>
              <w:t>No chronic cough</w:t>
            </w:r>
          </w:p>
        </w:tc>
        <w:tc>
          <w:tcPr>
            <w:tcW w:type="dxa" w:w="950"/>
            <w:vAlign w:val="top"/>
          </w:tcPr>
          <w:p>
            <w:pPr>
              <w:spacing w:after="40" w:before="0" w:line="259" w:lineRule="auto"/>
            </w:pPr>
            <w:r>
              <w:rPr>
                <w:rFonts w:ascii="Calibri" w:hAnsi="Calibri"/>
                <w:b w:val="0"/>
                <w:i w:val="0"/>
                <w:color w:val="212121"/>
                <w:sz w:val="16"/>
              </w:rPr>
              <w:t>Productive cough ≥ 3 months/year for ≥ 2 consecutive years</w:t>
            </w:r>
          </w:p>
        </w:tc>
        <w:tc>
          <w:tcPr>
            <w:tcW w:type="dxa" w:w="1036"/>
            <w:vAlign w:val="top"/>
          </w:tcPr>
          <w:p>
            <w:pPr>
              <w:spacing w:after="40" w:before="0" w:line="259" w:lineRule="auto"/>
            </w:pPr>
            <w:r>
              <w:rPr>
                <w:rFonts w:ascii="Calibri" w:hAnsi="Calibri"/>
                <w:b w:val="0"/>
                <w:i w:val="0"/>
                <w:color w:val="212121"/>
                <w:sz w:val="16"/>
              </w:rPr>
              <w:t>Fulfils the clinical definition of chronic bronchitis</w:t>
            </w:r>
          </w:p>
        </w:tc>
        <w:tc>
          <w:tcPr>
            <w:tcW w:type="dxa" w:w="1036"/>
            <w:vAlign w:val="top"/>
          </w:tcPr>
          <w:p>
            <w:pPr>
              <w:spacing w:after="40" w:before="0" w:line="259" w:lineRule="auto"/>
            </w:pPr>
            <w:r>
              <w:rPr>
                <w:rFonts w:ascii="Calibri" w:hAnsi="Calibri"/>
                <w:b w:val="0"/>
                <w:i w:val="0"/>
                <w:color w:val="212121"/>
                <w:sz w:val="16"/>
              </w:rPr>
              <w:t>Smokers, biomass-exposed, occupationally exposed</w:t>
            </w:r>
          </w:p>
        </w:tc>
        <w:tc>
          <w:tcPr>
            <w:tcW w:type="dxa" w:w="720"/>
            <w:vAlign w:val="top"/>
          </w:tcPr>
          <w:p>
            <w:pPr>
              <w:spacing w:after="40" w:before="0" w:line="259" w:lineRule="auto"/>
            </w:pPr>
            <w:r>
              <w:rPr>
                <w:rFonts w:ascii="Calibri" w:hAnsi="Calibri"/>
                <w:b w:val="0"/>
                <w:i w:val="0"/>
                <w:color w:val="212121"/>
                <w:sz w:val="16"/>
              </w:rPr>
              <w:t>Smoking; 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Quantify sputum volume and colour change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Exposure history</w:t>
            </w:r>
          </w:p>
        </w:tc>
        <w:tc>
          <w:tcPr>
            <w:tcW w:type="dxa" w:w="979"/>
            <w:vAlign w:val="top"/>
          </w:tcPr>
          <w:p>
            <w:pPr>
              <w:spacing w:after="40" w:before="0" w:line="259" w:lineRule="auto"/>
            </w:pPr>
            <w:r>
              <w:rPr>
                <w:rFonts w:ascii="Calibri" w:hAnsi="Calibri"/>
                <w:b w:val="0"/>
                <w:i w:val="0"/>
                <w:color w:val="212121"/>
                <w:sz w:val="16"/>
              </w:rPr>
              <w:t>Tobacco, biomass &amp; occupational exposure</w:t>
            </w:r>
          </w:p>
        </w:tc>
        <w:tc>
          <w:tcPr>
            <w:tcW w:type="dxa" w:w="950"/>
            <w:vAlign w:val="top"/>
          </w:tcPr>
          <w:p>
            <w:pPr>
              <w:spacing w:after="40" w:before="0" w:line="259" w:lineRule="auto"/>
            </w:pPr>
            <w:r>
              <w:rPr>
                <w:rFonts w:ascii="Calibri" w:hAnsi="Calibri"/>
                <w:b w:val="0"/>
                <w:i w:val="0"/>
                <w:color w:val="212121"/>
                <w:sz w:val="16"/>
              </w:rPr>
              <w:t>No significant exposure</w:t>
            </w:r>
          </w:p>
        </w:tc>
        <w:tc>
          <w:tcPr>
            <w:tcW w:type="dxa" w:w="950"/>
            <w:vAlign w:val="top"/>
          </w:tcPr>
          <w:p>
            <w:pPr>
              <w:spacing w:after="40" w:before="0" w:line="259" w:lineRule="auto"/>
            </w:pPr>
            <w:r>
              <w:rPr>
                <w:rFonts w:ascii="Calibri" w:hAnsi="Calibri"/>
                <w:b w:val="0"/>
                <w:i w:val="0"/>
                <w:color w:val="212121"/>
                <w:sz w:val="16"/>
              </w:rPr>
              <w:t>Smoking pack-years; years of biomass cooking; dust/fume occupation</w:t>
            </w:r>
          </w:p>
        </w:tc>
        <w:tc>
          <w:tcPr>
            <w:tcW w:type="dxa" w:w="1036"/>
            <w:vAlign w:val="top"/>
          </w:tcPr>
          <w:p>
            <w:pPr>
              <w:spacing w:after="40" w:before="0" w:line="259" w:lineRule="auto"/>
            </w:pPr>
            <w:r>
              <w:rPr>
                <w:rFonts w:ascii="Calibri" w:hAnsi="Calibri"/>
                <w:b w:val="0"/>
                <w:i w:val="0"/>
                <w:color w:val="212121"/>
                <w:sz w:val="16"/>
              </w:rPr>
              <w:t>Establishes causal exposures and cessation/avoidance targets</w:t>
            </w:r>
          </w:p>
        </w:tc>
        <w:tc>
          <w:tcPr>
            <w:tcW w:type="dxa" w:w="1036"/>
            <w:vAlign w:val="top"/>
          </w:tcPr>
          <w:p>
            <w:pPr>
              <w:spacing w:after="40" w:before="0" w:line="259" w:lineRule="auto"/>
            </w:pPr>
            <w:r>
              <w:rPr>
                <w:rFonts w:ascii="Calibri" w:hAnsi="Calibri"/>
                <w:b w:val="0"/>
                <w:i w:val="0"/>
                <w:color w:val="212121"/>
                <w:sz w:val="16"/>
              </w:rPr>
              <w:t>Smokers, rural women, industrial workers</w:t>
            </w:r>
          </w:p>
        </w:tc>
        <w:tc>
          <w:tcPr>
            <w:tcW w:type="dxa" w:w="720"/>
            <w:vAlign w:val="top"/>
          </w:tcPr>
          <w:p>
            <w:pPr>
              <w:spacing w:after="40" w:before="0" w:line="259" w:lineRule="auto"/>
            </w:pPr>
            <w:r>
              <w:rPr>
                <w:rFonts w:ascii="Calibri" w:hAnsi="Calibri"/>
                <w:b w:val="0"/>
                <w:i w:val="0"/>
                <w:color w:val="212121"/>
                <w:sz w:val="16"/>
              </w:rPr>
              <w:t>Smoking;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Ask specifically about bidi, hookah and second-hand smoke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Exacerbation &amp; comorbidity history</w:t>
            </w:r>
          </w:p>
        </w:tc>
        <w:tc>
          <w:tcPr>
            <w:tcW w:type="dxa" w:w="979"/>
            <w:vAlign w:val="top"/>
          </w:tcPr>
          <w:p>
            <w:pPr>
              <w:spacing w:after="40" w:before="0" w:line="259" w:lineRule="auto"/>
            </w:pPr>
            <w:r>
              <w:rPr>
                <w:rFonts w:ascii="Calibri" w:hAnsi="Calibri"/>
                <w:b w:val="0"/>
                <w:i w:val="0"/>
                <w:color w:val="212121"/>
                <w:sz w:val="16"/>
              </w:rPr>
              <w:t>Exacerbation frequency, TB, cardiac &amp; reflux history</w:t>
            </w:r>
          </w:p>
        </w:tc>
        <w:tc>
          <w:tcPr>
            <w:tcW w:type="dxa" w:w="950"/>
            <w:vAlign w:val="top"/>
          </w:tcPr>
          <w:p>
            <w:pPr>
              <w:spacing w:after="40" w:before="0" w:line="259" w:lineRule="auto"/>
            </w:pPr>
            <w:r>
              <w:rPr>
                <w:rFonts w:ascii="Calibri" w:hAnsi="Calibri"/>
                <w:b w:val="0"/>
                <w:i w:val="0"/>
                <w:color w:val="212121"/>
                <w:sz w:val="16"/>
              </w:rPr>
              <w:t>No exacerbations; no relevant comorbidity</w:t>
            </w:r>
          </w:p>
        </w:tc>
        <w:tc>
          <w:tcPr>
            <w:tcW w:type="dxa" w:w="950"/>
            <w:vAlign w:val="top"/>
          </w:tcPr>
          <w:p>
            <w:pPr>
              <w:spacing w:after="40" w:before="0" w:line="259" w:lineRule="auto"/>
            </w:pPr>
            <w:r>
              <w:rPr>
                <w:rFonts w:ascii="Calibri" w:hAnsi="Calibri"/>
                <w:b w:val="0"/>
                <w:i w:val="0"/>
                <w:color w:val="212121"/>
                <w:sz w:val="16"/>
              </w:rPr>
              <w:t>≥ 2 exacerbations/year; prior TB; heart disease; GERD</w:t>
            </w:r>
          </w:p>
        </w:tc>
        <w:tc>
          <w:tcPr>
            <w:tcW w:type="dxa" w:w="1036"/>
            <w:vAlign w:val="top"/>
          </w:tcPr>
          <w:p>
            <w:pPr>
              <w:spacing w:after="40" w:before="0" w:line="259" w:lineRule="auto"/>
            </w:pPr>
            <w:r>
              <w:rPr>
                <w:rFonts w:ascii="Calibri" w:hAnsi="Calibri"/>
                <w:b w:val="0"/>
                <w:i w:val="0"/>
                <w:color w:val="212121"/>
                <w:sz w:val="16"/>
              </w:rPr>
              <w:t>Defines the frequent-exacerbator phenotype and comorbid burden guiding therapy</w:t>
            </w:r>
          </w:p>
        </w:tc>
        <w:tc>
          <w:tcPr>
            <w:tcW w:type="dxa" w:w="1036"/>
            <w:vAlign w:val="top"/>
          </w:tcPr>
          <w:p>
            <w:pPr>
              <w:spacing w:after="40" w:before="0" w:line="259" w:lineRule="auto"/>
            </w:pPr>
            <w:r>
              <w:rPr>
                <w:rFonts w:ascii="Calibri" w:hAnsi="Calibri"/>
                <w:b w:val="0"/>
                <w:i w:val="0"/>
                <w:color w:val="212121"/>
                <w:sz w:val="16"/>
              </w:rPr>
              <w:t>All chronic-bronchitis patients</w:t>
            </w:r>
          </w:p>
        </w:tc>
        <w:tc>
          <w:tcPr>
            <w:tcW w:type="dxa" w:w="720"/>
            <w:vAlign w:val="top"/>
          </w:tcPr>
          <w:p>
            <w:pPr>
              <w:spacing w:after="40" w:before="0" w:line="259" w:lineRule="auto"/>
            </w:pPr>
            <w:r>
              <w:rPr>
                <w:rFonts w:ascii="Calibri" w:hAnsi="Calibri"/>
                <w:b w:val="0"/>
                <w:i w:val="0"/>
                <w:color w:val="212121"/>
                <w:sz w:val="16"/>
              </w:rPr>
              <w:t>Provoking factors; Mental health</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Prior TB is a key India-specific enquiry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Chest auscultation</w:t>
            </w:r>
          </w:p>
        </w:tc>
        <w:tc>
          <w:tcPr>
            <w:tcW w:type="dxa" w:w="979"/>
            <w:vAlign w:val="top"/>
          </w:tcPr>
          <w:p>
            <w:pPr>
              <w:spacing w:after="40" w:before="0" w:line="259" w:lineRule="auto"/>
            </w:pPr>
            <w:r>
              <w:rPr>
                <w:rFonts w:ascii="Calibri" w:hAnsi="Calibri"/>
                <w:b w:val="0"/>
                <w:i w:val="0"/>
                <w:color w:val="212121"/>
                <w:sz w:val="16"/>
              </w:rPr>
              <w:t>Rhonchi, coarse crackles, wheeze, expiratory phase</w:t>
            </w:r>
          </w:p>
        </w:tc>
        <w:tc>
          <w:tcPr>
            <w:tcW w:type="dxa" w:w="950"/>
            <w:vAlign w:val="top"/>
          </w:tcPr>
          <w:p>
            <w:pPr>
              <w:spacing w:after="40" w:before="0" w:line="259" w:lineRule="auto"/>
            </w:pPr>
            <w:r>
              <w:rPr>
                <w:rFonts w:ascii="Calibri" w:hAnsi="Calibri"/>
                <w:b w:val="0"/>
                <w:i w:val="0"/>
                <w:color w:val="212121"/>
                <w:sz w:val="16"/>
              </w:rPr>
              <w:t>Vesicular breath sounds, no added sounds</w:t>
            </w:r>
          </w:p>
        </w:tc>
        <w:tc>
          <w:tcPr>
            <w:tcW w:type="dxa" w:w="950"/>
            <w:vAlign w:val="top"/>
          </w:tcPr>
          <w:p>
            <w:pPr>
              <w:spacing w:after="40" w:before="0" w:line="259" w:lineRule="auto"/>
            </w:pPr>
            <w:r>
              <w:rPr>
                <w:rFonts w:ascii="Calibri" w:hAnsi="Calibri"/>
                <w:b w:val="0"/>
                <w:i w:val="0"/>
                <w:color w:val="212121"/>
                <w:sz w:val="16"/>
              </w:rPr>
              <w:t>Widespread rhonchi/coarse crackles, wheeze, prolonged expiration</w:t>
            </w:r>
          </w:p>
        </w:tc>
        <w:tc>
          <w:tcPr>
            <w:tcW w:type="dxa" w:w="1036"/>
            <w:vAlign w:val="top"/>
          </w:tcPr>
          <w:p>
            <w:pPr>
              <w:spacing w:after="40" w:before="0" w:line="259" w:lineRule="auto"/>
            </w:pPr>
            <w:r>
              <w:rPr>
                <w:rFonts w:ascii="Calibri" w:hAnsi="Calibri"/>
                <w:b w:val="0"/>
                <w:i w:val="0"/>
                <w:color w:val="212121"/>
                <w:sz w:val="16"/>
              </w:rPr>
              <w:t>Reflects mucus in airways and airflow obstruction</w:t>
            </w:r>
          </w:p>
        </w:tc>
        <w:tc>
          <w:tcPr>
            <w:tcW w:type="dxa" w:w="1036"/>
            <w:vAlign w:val="top"/>
          </w:tcPr>
          <w:p>
            <w:pPr>
              <w:spacing w:after="40" w:before="0" w:line="259" w:lineRule="auto"/>
            </w:pPr>
            <w:r>
              <w:rPr>
                <w:rFonts w:ascii="Calibri" w:hAnsi="Calibri"/>
                <w:b w:val="0"/>
                <w:i w:val="0"/>
                <w:color w:val="212121"/>
                <w:sz w:val="16"/>
              </w:rPr>
              <w:t>Symptomatic and exacerbating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Crackles may clear partially after coughing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Signs of hypoxaemia &amp; cor pulmonale</w:t>
            </w:r>
          </w:p>
        </w:tc>
        <w:tc>
          <w:tcPr>
            <w:tcW w:type="dxa" w:w="979"/>
            <w:vAlign w:val="top"/>
          </w:tcPr>
          <w:p>
            <w:pPr>
              <w:spacing w:after="40" w:before="0" w:line="259" w:lineRule="auto"/>
            </w:pPr>
            <w:r>
              <w:rPr>
                <w:rFonts w:ascii="Calibri" w:hAnsi="Calibri"/>
                <w:b w:val="0"/>
                <w:i w:val="0"/>
                <w:color w:val="212121"/>
                <w:sz w:val="16"/>
              </w:rPr>
              <w:t>Central cyanosis, raised JVP, pedal oedema, loud P2</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Cyanosis, elevated JVP, ankle oedema, right-heart signs</w:t>
            </w:r>
          </w:p>
        </w:tc>
        <w:tc>
          <w:tcPr>
            <w:tcW w:type="dxa" w:w="1036"/>
            <w:vAlign w:val="top"/>
          </w:tcPr>
          <w:p>
            <w:pPr>
              <w:spacing w:after="40" w:before="0" w:line="259" w:lineRule="auto"/>
            </w:pPr>
            <w:r>
              <w:rPr>
                <w:rFonts w:ascii="Calibri" w:hAnsi="Calibri"/>
                <w:b w:val="0"/>
                <w:i w:val="0"/>
                <w:color w:val="212121"/>
                <w:sz w:val="16"/>
              </w:rPr>
              <w:t>Indicate chronic hypoxaemia and right-heart failure ('blue bloater')</w:t>
            </w:r>
          </w:p>
        </w:tc>
        <w:tc>
          <w:tcPr>
            <w:tcW w:type="dxa" w:w="1036"/>
            <w:vAlign w:val="top"/>
          </w:tcPr>
          <w:p>
            <w:pPr>
              <w:spacing w:after="40" w:before="0" w:line="259" w:lineRule="auto"/>
            </w:pPr>
            <w:r>
              <w:rPr>
                <w:rFonts w:ascii="Calibri" w:hAnsi="Calibri"/>
                <w:b w:val="0"/>
                <w:i w:val="0"/>
                <w:color w:val="212121"/>
                <w:sz w:val="16"/>
              </w:rPr>
              <w:t>Advanced obstructive chronic bronchitis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Prompts oximetry/ABG and echocardiography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Work of breathing</w:t>
            </w:r>
          </w:p>
        </w:tc>
        <w:tc>
          <w:tcPr>
            <w:tcW w:type="dxa" w:w="979"/>
            <w:vAlign w:val="top"/>
          </w:tcPr>
          <w:p>
            <w:pPr>
              <w:spacing w:after="40" w:before="0" w:line="259" w:lineRule="auto"/>
            </w:pPr>
            <w:r>
              <w:rPr>
                <w:rFonts w:ascii="Calibri" w:hAnsi="Calibri"/>
                <w:b w:val="0"/>
                <w:i w:val="0"/>
                <w:color w:val="212121"/>
                <w:sz w:val="16"/>
              </w:rPr>
              <w:t>Accessory-muscle use, pursed-lip breathing, tripod posture</w:t>
            </w:r>
          </w:p>
        </w:tc>
        <w:tc>
          <w:tcPr>
            <w:tcW w:type="dxa" w:w="950"/>
            <w:vAlign w:val="top"/>
          </w:tcPr>
          <w:p>
            <w:pPr>
              <w:spacing w:after="40" w:before="0" w:line="259" w:lineRule="auto"/>
            </w:pPr>
            <w:r>
              <w:rPr>
                <w:rFonts w:ascii="Calibri" w:hAnsi="Calibri"/>
                <w:b w:val="0"/>
                <w:i w:val="0"/>
                <w:color w:val="212121"/>
                <w:sz w:val="16"/>
              </w:rPr>
              <w:t>Relaxed, unlaboured breathing</w:t>
            </w:r>
          </w:p>
        </w:tc>
        <w:tc>
          <w:tcPr>
            <w:tcW w:type="dxa" w:w="950"/>
            <w:vAlign w:val="top"/>
          </w:tcPr>
          <w:p>
            <w:pPr>
              <w:spacing w:after="40" w:before="0" w:line="259" w:lineRule="auto"/>
            </w:pPr>
            <w:r>
              <w:rPr>
                <w:rFonts w:ascii="Calibri" w:hAnsi="Calibri"/>
                <w:b w:val="0"/>
                <w:i w:val="0"/>
                <w:color w:val="212121"/>
                <w:sz w:val="16"/>
              </w:rPr>
              <w:t>Accessory-muscle use, pursed-lip breathing, forward-lean posture</w:t>
            </w:r>
          </w:p>
        </w:tc>
        <w:tc>
          <w:tcPr>
            <w:tcW w:type="dxa" w:w="1036"/>
            <w:vAlign w:val="top"/>
          </w:tcPr>
          <w:p>
            <w:pPr>
              <w:spacing w:after="40" w:before="0" w:line="259" w:lineRule="auto"/>
            </w:pPr>
            <w:r>
              <w:rPr>
                <w:rFonts w:ascii="Calibri" w:hAnsi="Calibri"/>
                <w:b w:val="0"/>
                <w:i w:val="0"/>
                <w:color w:val="212121"/>
                <w:sz w:val="16"/>
              </w:rPr>
              <w:t>Signals increased respiratory effort and air-trapping</w:t>
            </w:r>
          </w:p>
        </w:tc>
        <w:tc>
          <w:tcPr>
            <w:tcW w:type="dxa" w:w="1036"/>
            <w:vAlign w:val="top"/>
          </w:tcPr>
          <w:p>
            <w:pPr>
              <w:spacing w:after="40" w:before="0" w:line="259" w:lineRule="auto"/>
            </w:pPr>
            <w:r>
              <w:rPr>
                <w:rFonts w:ascii="Calibri" w:hAnsi="Calibri"/>
                <w:b w:val="0"/>
                <w:i w:val="0"/>
                <w:color w:val="212121"/>
                <w:sz w:val="16"/>
              </w:rPr>
              <w:t>Moderate-to-severe disease, during exacerbations</w:t>
            </w:r>
          </w:p>
        </w:tc>
        <w:tc>
          <w:tcPr>
            <w:tcW w:type="dxa" w:w="720"/>
            <w:vAlign w:val="top"/>
          </w:tcPr>
          <w:p>
            <w:pPr>
              <w:spacing w:after="40" w:before="0" w:line="259" w:lineRule="auto"/>
            </w:pPr>
            <w:r>
              <w:rPr>
                <w:rFonts w:ascii="Calibri" w:hAnsi="Calibri"/>
                <w:b w:val="0"/>
                <w:i w:val="0"/>
                <w:color w:val="212121"/>
                <w:sz w:val="16"/>
              </w:rPr>
              <w:t>Posture; Physical activity</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Correlates with dyspnoea grade and severity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Questionnaire</w:t>
            </w:r>
          </w:p>
        </w:tc>
        <w:tc>
          <w:tcPr>
            <w:tcW w:type="dxa" w:w="950"/>
            <w:vAlign w:val="top"/>
          </w:tcPr>
          <w:p>
            <w:pPr>
              <w:spacing w:after="40" w:before="0" w:line="259" w:lineRule="auto"/>
            </w:pPr>
            <w:r>
              <w:rPr>
                <w:rFonts w:ascii="Calibri" w:hAnsi="Calibri"/>
                <w:b w:val="0"/>
                <w:i w:val="0"/>
                <w:color w:val="212121"/>
                <w:sz w:val="16"/>
              </w:rPr>
              <w:t>Symptom &amp; mood assessment</w:t>
            </w:r>
          </w:p>
        </w:tc>
        <w:tc>
          <w:tcPr>
            <w:tcW w:type="dxa" w:w="979"/>
            <w:vAlign w:val="top"/>
          </w:tcPr>
          <w:p>
            <w:pPr>
              <w:spacing w:after="40" w:before="0" w:line="259" w:lineRule="auto"/>
            </w:pPr>
            <w:r>
              <w:rPr>
                <w:rFonts w:ascii="Calibri" w:hAnsi="Calibri"/>
                <w:b w:val="0"/>
                <w:i w:val="0"/>
                <w:color w:val="212121"/>
                <w:sz w:val="16"/>
              </w:rPr>
              <w:t>mMRC / CAT and depression-anxiety screen</w:t>
            </w:r>
          </w:p>
        </w:tc>
        <w:tc>
          <w:tcPr>
            <w:tcW w:type="dxa" w:w="950"/>
            <w:vAlign w:val="top"/>
          </w:tcPr>
          <w:p>
            <w:pPr>
              <w:spacing w:after="40" w:before="0" w:line="259" w:lineRule="auto"/>
            </w:pPr>
            <w:r>
              <w:rPr>
                <w:rFonts w:ascii="Calibri" w:hAnsi="Calibri"/>
                <w:b w:val="0"/>
                <w:i w:val="0"/>
                <w:color w:val="212121"/>
                <w:sz w:val="16"/>
              </w:rPr>
              <w:t>mMRC 0–1, CAT &lt; 10, no mood disorder</w:t>
            </w:r>
          </w:p>
        </w:tc>
        <w:tc>
          <w:tcPr>
            <w:tcW w:type="dxa" w:w="950"/>
            <w:vAlign w:val="top"/>
          </w:tcPr>
          <w:p>
            <w:pPr>
              <w:spacing w:after="40" w:before="0" w:line="259" w:lineRule="auto"/>
            </w:pPr>
            <w:r>
              <w:rPr>
                <w:rFonts w:ascii="Calibri" w:hAnsi="Calibri"/>
                <w:b w:val="0"/>
                <w:i w:val="0"/>
                <w:color w:val="212121"/>
                <w:sz w:val="16"/>
              </w:rPr>
              <w:t>mMRC ≥ 2, CAT ≥ 10, positive depression/anxiety screen</w:t>
            </w:r>
          </w:p>
        </w:tc>
        <w:tc>
          <w:tcPr>
            <w:tcW w:type="dxa" w:w="1036"/>
            <w:vAlign w:val="top"/>
          </w:tcPr>
          <w:p>
            <w:pPr>
              <w:spacing w:after="40" w:before="0" w:line="259" w:lineRule="auto"/>
            </w:pPr>
            <w:r>
              <w:rPr>
                <w:rFonts w:ascii="Calibri" w:hAnsi="Calibri"/>
                <w:b w:val="0"/>
                <w:i w:val="0"/>
                <w:color w:val="212121"/>
                <w:sz w:val="16"/>
              </w:rPr>
              <w:t>Grades symptom burden and detects highly prevalent mood comorbidity</w:t>
            </w:r>
          </w:p>
        </w:tc>
        <w:tc>
          <w:tcPr>
            <w:tcW w:type="dxa" w:w="1036"/>
            <w:vAlign w:val="top"/>
          </w:tcPr>
          <w:p>
            <w:pPr>
              <w:spacing w:after="40" w:before="0" w:line="259" w:lineRule="auto"/>
            </w:pPr>
            <w:r>
              <w:rPr>
                <w:rFonts w:ascii="Calibri" w:hAnsi="Calibri"/>
                <w:b w:val="0"/>
                <w:i w:val="0"/>
                <w:color w:val="212121"/>
                <w:sz w:val="16"/>
              </w:rPr>
              <w:t>All patients, especially frequent exacerbators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Depression/anxiety reach ~63%/~67% in Indian COPD cohorts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Chronic productive cough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defining symptom — cough with sputum on most days, typically worst in the mornings, for ≥ 3 months/year over ≥ 2 years.</w:t>
            </w:r>
          </w:p>
        </w:tc>
      </w:tr>
      <w:tr>
        <w:trPr>
          <w:cantSplit/>
        </w:trPr>
        <w:tc>
          <w:tcPr>
            <w:tcW w:type="dxa" w:w="2304"/>
            <w:vAlign w:val="top"/>
          </w:tcPr>
          <w:p>
            <w:pPr>
              <w:spacing w:after="40" w:before="0" w:line="259" w:lineRule="auto"/>
            </w:pPr>
            <w:r>
              <w:rPr>
                <w:rFonts w:ascii="Calibri" w:hAnsi="Calibri"/>
                <w:b/>
                <w:i w:val="0"/>
                <w:color w:val="212121"/>
                <w:sz w:val="19"/>
              </w:rPr>
              <w:t>Sputum (mucoid to mucopurulent)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Clear/white mucoid sputum at baseline; turns yellow/green and increases in volume during infective exacerbations.</w:t>
            </w:r>
          </w:p>
        </w:tc>
      </w:tr>
      <w:tr>
        <w:trPr>
          <w:cantSplit/>
        </w:trPr>
        <w:tc>
          <w:tcPr>
            <w:tcW w:type="dxa" w:w="2304"/>
            <w:vAlign w:val="top"/>
          </w:tcPr>
          <w:p>
            <w:pPr>
              <w:spacing w:after="40" w:before="0" w:line="259" w:lineRule="auto"/>
            </w:pPr>
            <w:r>
              <w:rPr>
                <w:rFonts w:ascii="Calibri" w:hAnsi="Calibri"/>
                <w:b/>
                <w:i w:val="0"/>
                <w:color w:val="212121"/>
                <w:sz w:val="19"/>
              </w:rPr>
              <w:t>Exertional breathlessness (dyspnoea)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Progressive breathlessness on exertion as airflow obstruction develops; graded by the mMRC scale.</w:t>
            </w:r>
          </w:p>
        </w:tc>
      </w:tr>
      <w:tr>
        <w:trPr>
          <w:cantSplit/>
        </w:trPr>
        <w:tc>
          <w:tcPr>
            <w:tcW w:type="dxa" w:w="2304"/>
            <w:vAlign w:val="top"/>
          </w:tcPr>
          <w:p>
            <w:pPr>
              <w:spacing w:after="40" w:before="0" w:line="259" w:lineRule="auto"/>
            </w:pPr>
            <w:r>
              <w:rPr>
                <w:rFonts w:ascii="Calibri" w:hAnsi="Calibri"/>
                <w:b/>
                <w:i w:val="0"/>
                <w:color w:val="212121"/>
                <w:sz w:val="19"/>
              </w:rPr>
              <w:t>Wheezing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Musical expiratory sounds from narrowed, mucus-laden airways, often worse in exacerbations.</w:t>
            </w:r>
          </w:p>
        </w:tc>
      </w:tr>
      <w:tr>
        <w:trPr>
          <w:cantSplit/>
        </w:trPr>
        <w:tc>
          <w:tcPr>
            <w:tcW w:type="dxa" w:w="2304"/>
            <w:vAlign w:val="top"/>
          </w:tcPr>
          <w:p>
            <w:pPr>
              <w:spacing w:after="40" w:before="0" w:line="259" w:lineRule="auto"/>
            </w:pPr>
            <w:r>
              <w:rPr>
                <w:rFonts w:ascii="Calibri" w:hAnsi="Calibri"/>
                <w:b/>
                <w:i w:val="0"/>
                <w:color w:val="212121"/>
                <w:sz w:val="19"/>
              </w:rPr>
              <w:t>Chest tightness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sense of constriction, particularly on exertion or during exacerbations.</w:t>
            </w:r>
          </w:p>
        </w:tc>
      </w:tr>
      <w:tr>
        <w:trPr>
          <w:cantSplit/>
        </w:trPr>
        <w:tc>
          <w:tcPr>
            <w:tcW w:type="dxa" w:w="2304"/>
            <w:vAlign w:val="top"/>
          </w:tcPr>
          <w:p>
            <w:pPr>
              <w:spacing w:after="40" w:before="0" w:line="259" w:lineRule="auto"/>
            </w:pPr>
            <w:r>
              <w:rPr>
                <w:rFonts w:ascii="Calibri" w:hAnsi="Calibri"/>
                <w:b/>
                <w:i w:val="0"/>
                <w:color w:val="212121"/>
                <w:sz w:val="19"/>
              </w:rPr>
              <w:t>Frequent chest infections / exacerbations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Recurrent episodes of increased cough, sputum and dyspnoea, frequently triggered by viral or bacterial infection.</w:t>
            </w:r>
          </w:p>
        </w:tc>
      </w:tr>
      <w:tr>
        <w:trPr>
          <w:cantSplit/>
        </w:trPr>
        <w:tc>
          <w:tcPr>
            <w:tcW w:type="dxa" w:w="2304"/>
            <w:vAlign w:val="top"/>
          </w:tcPr>
          <w:p>
            <w:pPr>
              <w:spacing w:after="40" w:before="0" w:line="259" w:lineRule="auto"/>
            </w:pPr>
            <w:r>
              <w:rPr>
                <w:rFonts w:ascii="Calibri" w:hAnsi="Calibri"/>
                <w:b/>
                <w:i w:val="0"/>
                <w:color w:val="212121"/>
                <w:sz w:val="19"/>
              </w:rPr>
              <w:t>Fatigue and reduced exercise tolerance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Due to hypoxaemia, increased work of breathing, deconditioning and systemic inflammation.</w:t>
            </w:r>
          </w:p>
        </w:tc>
      </w:tr>
      <w:tr>
        <w:trPr>
          <w:cantSplit/>
        </w:trPr>
        <w:tc>
          <w:tcPr>
            <w:tcW w:type="dxa" w:w="2304"/>
            <w:vAlign w:val="top"/>
          </w:tcPr>
          <w:p>
            <w:pPr>
              <w:spacing w:after="40" w:before="0" w:line="259" w:lineRule="auto"/>
            </w:pPr>
            <w:r>
              <w:rPr>
                <w:rFonts w:ascii="Calibri" w:hAnsi="Calibri"/>
                <w:b/>
                <w:i w:val="0"/>
                <w:color w:val="212121"/>
                <w:sz w:val="19"/>
              </w:rPr>
              <w:t>Morning-predominant cough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Overnight mucus accumulation produces a characteristic productive cough on waking.</w:t>
            </w:r>
          </w:p>
        </w:tc>
      </w:tr>
      <w:tr>
        <w:trPr>
          <w:cantSplit/>
        </w:trPr>
        <w:tc>
          <w:tcPr>
            <w:tcW w:type="dxa" w:w="2304"/>
            <w:vAlign w:val="top"/>
          </w:tcPr>
          <w:p>
            <w:pPr>
              <w:spacing w:after="40" w:before="0" w:line="259" w:lineRule="auto"/>
            </w:pPr>
            <w:r>
              <w:rPr>
                <w:rFonts w:ascii="Calibri" w:hAnsi="Calibri"/>
                <w:b/>
                <w:i w:val="0"/>
                <w:color w:val="212121"/>
                <w:sz w:val="19"/>
              </w:rPr>
              <w:t>Haemoptysis (blood-streaked sputum)</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Usually minor streaking from mucosal inflammation, but mandates exclusion of TB, bronchiectasis and malignancy.</w:t>
            </w:r>
          </w:p>
        </w:tc>
      </w:tr>
      <w:tr>
        <w:trPr>
          <w:cantSplit/>
        </w:trPr>
        <w:tc>
          <w:tcPr>
            <w:tcW w:type="dxa" w:w="2304"/>
            <w:vAlign w:val="top"/>
          </w:tcPr>
          <w:p>
            <w:pPr>
              <w:spacing w:after="40" w:before="0" w:line="259" w:lineRule="auto"/>
            </w:pPr>
            <w:r>
              <w:rPr>
                <w:rFonts w:ascii="Calibri" w:hAnsi="Calibri"/>
                <w:b/>
                <w:i w:val="0"/>
                <w:color w:val="212121"/>
                <w:sz w:val="19"/>
              </w:rPr>
              <w:t>Anorexia and weight loss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Reflects the systemic, catabolic component of advanced disease and predicts worse prognosis.</w:t>
            </w:r>
          </w:p>
        </w:tc>
      </w:tr>
      <w:tr>
        <w:trPr>
          <w:cantSplit/>
        </w:trPr>
        <w:tc>
          <w:tcPr>
            <w:tcW w:type="dxa" w:w="2304"/>
            <w:vAlign w:val="top"/>
          </w:tcPr>
          <w:p>
            <w:pPr>
              <w:spacing w:after="40" w:before="0" w:line="259" w:lineRule="auto"/>
            </w:pPr>
            <w:r>
              <w:rPr>
                <w:rFonts w:ascii="Calibri" w:hAnsi="Calibri"/>
                <w:b/>
                <w:i w:val="0"/>
                <w:color w:val="212121"/>
                <w:sz w:val="19"/>
              </w:rPr>
              <w:t>Ankle / leg swelling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Peripheral oedema signalling developing cor pulmonale and right-heart failure.</w:t>
            </w:r>
          </w:p>
        </w:tc>
      </w:tr>
      <w:tr>
        <w:trPr>
          <w:cantSplit/>
        </w:trPr>
        <w:tc>
          <w:tcPr>
            <w:tcW w:type="dxa" w:w="2304"/>
            <w:vAlign w:val="top"/>
          </w:tcPr>
          <w:p>
            <w:pPr>
              <w:spacing w:after="40" w:before="0" w:line="259" w:lineRule="auto"/>
            </w:pPr>
            <w:r>
              <w:rPr>
                <w:rFonts w:ascii="Calibri" w:hAnsi="Calibri"/>
                <w:b/>
                <w:i w:val="0"/>
                <w:color w:val="212121"/>
                <w:sz w:val="19"/>
              </w:rPr>
              <w:t>Depressed mood and anxiety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Highly prevalent in Indian COPD cohorts (up to ~63% depression, ~67% anxiety); worsen adherence and dyspnoea perception.</w:t>
            </w:r>
          </w:p>
        </w:tc>
      </w:tr>
      <w:tr>
        <w:trPr>
          <w:cantSplit/>
        </w:trPr>
        <w:tc>
          <w:tcPr>
            <w:tcW w:type="dxa" w:w="2304"/>
            <w:vAlign w:val="top"/>
          </w:tcPr>
          <w:p>
            <w:pPr>
              <w:spacing w:after="40" w:before="0" w:line="259" w:lineRule="auto"/>
            </w:pPr>
            <w:r>
              <w:rPr>
                <w:rFonts w:ascii="Calibri" w:hAnsi="Calibri"/>
                <w:b/>
                <w:i w:val="0"/>
                <w:color w:val="212121"/>
                <w:sz w:val="19"/>
              </w:rPr>
              <w:t>Central cyanosis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Bluish discolouration of lips/tongue indicating significant chronic hypoxaemia in the 'blue bloater'.</w:t>
            </w:r>
          </w:p>
        </w:tc>
      </w:tr>
      <w:tr>
        <w:trPr>
          <w:cantSplit/>
        </w:trPr>
        <w:tc>
          <w:tcPr>
            <w:tcW w:type="dxa" w:w="2304"/>
            <w:vAlign w:val="top"/>
          </w:tcPr>
          <w:p>
            <w:pPr>
              <w:spacing w:after="40" w:before="0" w:line="259" w:lineRule="auto"/>
            </w:pPr>
            <w:r>
              <w:rPr>
                <w:rFonts w:ascii="Calibri" w:hAnsi="Calibri"/>
                <w:b/>
                <w:i w:val="0"/>
                <w:color w:val="212121"/>
                <w:sz w:val="19"/>
              </w:rPr>
              <w:t>Early-morning headache / drowsiness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carbon-dioxide retention (hypercapnia) in advanced respiratory failure.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Rhonchi and coarse crackles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Widespread low-pitched rhonchi and coarse crackles from secretions in the airways; may shift or clear with coughing.</w:t>
            </w:r>
          </w:p>
        </w:tc>
      </w:tr>
      <w:tr>
        <w:trPr>
          <w:cantSplit/>
        </w:trPr>
        <w:tc>
          <w:tcPr>
            <w:tcW w:type="dxa" w:w="3456"/>
            <w:vAlign w:val="top"/>
          </w:tcPr>
          <w:p>
            <w:pPr>
              <w:spacing w:after="40" w:before="0" w:line="259" w:lineRule="auto"/>
            </w:pPr>
            <w:r>
              <w:rPr>
                <w:rFonts w:ascii="Calibri" w:hAnsi="Calibri"/>
                <w:b/>
                <w:i w:val="0"/>
                <w:color w:val="212121"/>
                <w:sz w:val="19"/>
              </w:rPr>
              <w:t>Expiratory wheeze with prolonged expiration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Reflects airflow obstruction and dynamic airway narrowing.</w:t>
            </w:r>
          </w:p>
        </w:tc>
      </w:tr>
      <w:tr>
        <w:trPr>
          <w:cantSplit/>
        </w:trPr>
        <w:tc>
          <w:tcPr>
            <w:tcW w:type="dxa" w:w="3456"/>
            <w:vAlign w:val="top"/>
          </w:tcPr>
          <w:p>
            <w:pPr>
              <w:spacing w:after="40" w:before="0" w:line="259" w:lineRule="auto"/>
            </w:pPr>
            <w:r>
              <w:rPr>
                <w:rFonts w:ascii="Calibri" w:hAnsi="Calibri"/>
                <w:b/>
                <w:i w:val="0"/>
                <w:color w:val="212121"/>
                <w:sz w:val="19"/>
              </w:rPr>
              <w:t>Use of accessory respiratory muscles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Sternocleidomastoid and scalene use indicating increased work of breathing.</w:t>
            </w:r>
          </w:p>
        </w:tc>
      </w:tr>
      <w:tr>
        <w:trPr>
          <w:cantSplit/>
        </w:trPr>
        <w:tc>
          <w:tcPr>
            <w:tcW w:type="dxa" w:w="3456"/>
            <w:vAlign w:val="top"/>
          </w:tcPr>
          <w:p>
            <w:pPr>
              <w:spacing w:after="40" w:before="0" w:line="259" w:lineRule="auto"/>
            </w:pPr>
            <w:r>
              <w:rPr>
                <w:rFonts w:ascii="Calibri" w:hAnsi="Calibri"/>
                <w:b/>
                <w:i w:val="0"/>
                <w:color w:val="212121"/>
                <w:sz w:val="19"/>
              </w:rPr>
              <w:t>Pursed-lip breathing / tripod posture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Adaptive strategies that raise airway pressure and relieve dyspnoea in more advanced disease.</w:t>
            </w:r>
          </w:p>
        </w:tc>
      </w:tr>
      <w:tr>
        <w:trPr>
          <w:cantSplit/>
        </w:trPr>
        <w:tc>
          <w:tcPr>
            <w:tcW w:type="dxa" w:w="3456"/>
            <w:vAlign w:val="top"/>
          </w:tcPr>
          <w:p>
            <w:pPr>
              <w:spacing w:after="40" w:before="0" w:line="259" w:lineRule="auto"/>
            </w:pPr>
            <w:r>
              <w:rPr>
                <w:rFonts w:ascii="Calibri" w:hAnsi="Calibri"/>
                <w:b/>
                <w:i w:val="0"/>
                <w:color w:val="212121"/>
                <w:sz w:val="19"/>
              </w:rPr>
              <w:t>Central cyanosis ('blue bloater')</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Bluish lips and tongue from chronic hypoxaemia, classic in the chronic-bronchitis-predominant phenotype.</w:t>
            </w:r>
          </w:p>
        </w:tc>
      </w:tr>
      <w:tr>
        <w:trPr>
          <w:cantSplit/>
        </w:trPr>
        <w:tc>
          <w:tcPr>
            <w:tcW w:type="dxa" w:w="3456"/>
            <w:vAlign w:val="top"/>
          </w:tcPr>
          <w:p>
            <w:pPr>
              <w:spacing w:after="40" w:before="0" w:line="259" w:lineRule="auto"/>
            </w:pPr>
            <w:r>
              <w:rPr>
                <w:rFonts w:ascii="Calibri" w:hAnsi="Calibri"/>
                <w:b/>
                <w:i w:val="0"/>
                <w:color w:val="212121"/>
                <w:sz w:val="19"/>
              </w:rPr>
              <w:t>Signs of cor pulmonale (raised JVP, pedal oedema, loud P2, RV heave)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Indicate pulmonary hypertension and right-heart failure complicating chronic hypoxaemia.</w:t>
            </w:r>
          </w:p>
        </w:tc>
      </w:tr>
      <w:tr>
        <w:trPr>
          <w:cantSplit/>
        </w:trPr>
        <w:tc>
          <w:tcPr>
            <w:tcW w:type="dxa" w:w="3456"/>
            <w:vAlign w:val="top"/>
          </w:tcPr>
          <w:p>
            <w:pPr>
              <w:spacing w:after="40" w:before="0" w:line="259" w:lineRule="auto"/>
            </w:pPr>
            <w:r>
              <w:rPr>
                <w:rFonts w:ascii="Calibri" w:hAnsi="Calibri"/>
                <w:b/>
                <w:i w:val="0"/>
                <w:color w:val="212121"/>
                <w:sz w:val="19"/>
              </w:rPr>
              <w:t>Reduced chest expansion / hyper-resonant percussion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Suggest air-trapping and hyperinflation, more prominent when emphysema coexists.</w:t>
            </w:r>
          </w:p>
        </w:tc>
      </w:tr>
      <w:tr>
        <w:trPr>
          <w:cantSplit/>
        </w:trPr>
        <w:tc>
          <w:tcPr>
            <w:tcW w:type="dxa" w:w="3456"/>
            <w:vAlign w:val="top"/>
          </w:tcPr>
          <w:p>
            <w:pPr>
              <w:spacing w:after="40" w:before="0" w:line="259" w:lineRule="auto"/>
            </w:pPr>
            <w:r>
              <w:rPr>
                <w:rFonts w:ascii="Calibri" w:hAnsi="Calibri"/>
                <w:b/>
                <w:i w:val="0"/>
                <w:color w:val="212121"/>
                <w:sz w:val="19"/>
              </w:rPr>
              <w:t>Coarse crackles clearing after cough</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Movement of loose secretions distinguishes bronchitic crackles from fixed parenchymal crackles.</w:t>
            </w:r>
          </w:p>
        </w:tc>
      </w:tr>
      <w:tr>
        <w:trPr>
          <w:cantSplit/>
        </w:trPr>
        <w:tc>
          <w:tcPr>
            <w:tcW w:type="dxa" w:w="3456"/>
            <w:vAlign w:val="top"/>
          </w:tcPr>
          <w:p>
            <w:pPr>
              <w:spacing w:after="40" w:before="0" w:line="259" w:lineRule="auto"/>
            </w:pPr>
            <w:r>
              <w:rPr>
                <w:rFonts w:ascii="Calibri" w:hAnsi="Calibri"/>
                <w:b/>
                <w:i w:val="0"/>
                <w:color w:val="212121"/>
                <w:sz w:val="19"/>
              </w:rPr>
              <w:t>Peripheral / dependent oedema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Fluid retention from cor pulmonale and hypercapnia-related renal effects.</w:t>
            </w:r>
          </w:p>
        </w:tc>
      </w:tr>
      <w:tr>
        <w:trPr>
          <w:cantSplit/>
        </w:trPr>
        <w:tc>
          <w:tcPr>
            <w:tcW w:type="dxa" w:w="3456"/>
            <w:vAlign w:val="top"/>
          </w:tcPr>
          <w:p>
            <w:pPr>
              <w:spacing w:after="40" w:before="0" w:line="259" w:lineRule="auto"/>
            </w:pPr>
            <w:r>
              <w:rPr>
                <w:rFonts w:ascii="Calibri" w:hAnsi="Calibri"/>
                <w:b/>
                <w:i w:val="0"/>
                <w:color w:val="212121"/>
                <w:sz w:val="19"/>
              </w:rPr>
              <w:t>Asterixis, bounding pulse, warm peripheries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Signs of carbon-dioxide retention (hypercapnia) in decompensated disease.</w:t>
            </w:r>
          </w:p>
        </w:tc>
      </w:tr>
      <w:tr>
        <w:trPr>
          <w:cantSplit/>
        </w:trPr>
        <w:tc>
          <w:tcPr>
            <w:tcW w:type="dxa" w:w="3456"/>
            <w:vAlign w:val="top"/>
          </w:tcPr>
          <w:p>
            <w:pPr>
              <w:spacing w:after="40" w:before="0" w:line="259" w:lineRule="auto"/>
            </w:pPr>
            <w:r>
              <w:rPr>
                <w:rFonts w:ascii="Calibri" w:hAnsi="Calibri"/>
                <w:b/>
                <w:i w:val="0"/>
                <w:color w:val="212121"/>
                <w:sz w:val="19"/>
              </w:rPr>
              <w:t>Digital clubbing</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Not a feature of chronic bronchitis itself — if present, actively exclude bronchiectasis, lung cancer or interstitial disease.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infective and non-infective exacerbations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Acute-on-chronic mucus plugging and airway obstruction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Lower-respiratory-tract infections / pneumonia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hypoxaemic or hypercapnic respiratory failure</w:t>
            </w:r>
          </w:p>
        </w:tc>
        <w:tc>
          <w:tcPr>
            <w:tcW w:type="dxa" w:w="2980"/>
            <w:vAlign w:val="top"/>
          </w:tcPr>
          <w:p>
            <w:pPr>
              <w:spacing w:after="40" w:before="0" w:line="259" w:lineRule="auto"/>
            </w:pPr>
            <w:r>
              <w:rPr>
                <w:rFonts w:ascii="Calibri" w:hAnsi="Calibri"/>
                <w:b w:val="0"/>
                <w:i w:val="0"/>
                <w:color w:val="212121"/>
                <w:sz w:val="19"/>
              </w:rPr>
              <w:t>Direct consequences of airway inflammation and mucus hypersecretion, frequently precipitated by infection or pollution.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fixed airflow obstruction (established COPD)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hypoxaemia and hypercapnia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polycythaemia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Pulmonary 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pneumonia and bronchiectasis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Spontaneous pneumothorax (with coexisting emphysema)</w:t>
            </w:r>
          </w:p>
        </w:tc>
        <w:tc>
          <w:tcPr>
            <w:tcW w:type="dxa" w:w="2980"/>
            <w:vAlign w:val="top"/>
          </w:tcPr>
          <w:p>
            <w:pPr>
              <w:spacing w:after="40" w:before="0" w:line="259" w:lineRule="auto"/>
            </w:pPr>
            <w:r>
              <w:rPr>
                <w:rFonts w:ascii="Calibri" w:hAnsi="Calibri"/>
                <w:b w:val="0"/>
                <w:i w:val="0"/>
                <w:color w:val="212121"/>
                <w:sz w:val="19"/>
              </w:rPr>
              <w:t>Result from chronic hyperinflation, small-airway remodelling and sustained hypoxic pulmonary vasoconstriction.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 pulmonale and right-heart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(type II) respiratory failure needing long-term oxygen or non-invasive ventilation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disability, cachexia and poor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cardiovascular and lung-cancer mortality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 hospitalisation and premature death</w:t>
            </w:r>
          </w:p>
        </w:tc>
        <w:tc>
          <w:tcPr>
            <w:tcW w:type="dxa" w:w="2980"/>
            <w:vAlign w:val="top"/>
          </w:tcPr>
          <w:p>
            <w:pPr>
              <w:spacing w:after="40" w:before="0" w:line="259" w:lineRule="auto"/>
            </w:pPr>
            <w:r>
              <w:rPr>
                <w:rFonts w:ascii="Calibri" w:hAnsi="Calibri"/>
                <w:b w:val="0"/>
                <w:i w:val="0"/>
                <w:color w:val="212121"/>
                <w:sz w:val="19"/>
              </w:rPr>
              <w:t>Irreversible, disabling end-stage outcomes of longstanding secondary complications.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Emphysema (COPD spectrum)</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bronchitis and emphysema share tobacco/pollution aetiology and coexist in most COPD patients, jointly producing fixed airflow obstruction.</w:t>
            </w:r>
          </w:p>
        </w:tc>
      </w:tr>
      <w:tr>
        <w:trPr>
          <w:cantSplit/>
        </w:trPr>
        <w:tc>
          <w:tcPr>
            <w:tcW w:type="dxa" w:w="2232"/>
            <w:vAlign w:val="top"/>
          </w:tcPr>
          <w:p>
            <w:pPr>
              <w:spacing w:after="40" w:before="0" w:line="259" w:lineRule="auto"/>
            </w:pPr>
            <w:r>
              <w:rPr>
                <w:rFonts w:ascii="Calibri" w:hAnsi="Calibri"/>
                <w:b/>
                <w:i w:val="0"/>
                <w:color w:val="212121"/>
                <w:sz w:val="19"/>
              </w:rPr>
              <w:t>Ischaemic heart disease &amp; heart failure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Systemic inflammation, hypoxaemia and shared smoking risk raise cardiovascular events; COPD carries higher risk of heart failure (RR ~1.4) and ischaemic heart disease (RR ~1.3).</w:t>
            </w:r>
          </w:p>
        </w:tc>
      </w:tr>
      <w:tr>
        <w:trPr>
          <w:cantSplit/>
        </w:trPr>
        <w:tc>
          <w:tcPr>
            <w:tcW w:type="dxa" w:w="2232"/>
            <w:vAlign w:val="top"/>
          </w:tcPr>
          <w:p>
            <w:pPr>
              <w:spacing w:after="40" w:before="0" w:line="259" w:lineRule="auto"/>
            </w:pPr>
            <w:r>
              <w:rPr>
                <w:rFonts w:ascii="Calibri" w:hAnsi="Calibri"/>
                <w:b/>
                <w:i w:val="0"/>
                <w:color w:val="212121"/>
                <w:sz w:val="19"/>
              </w:rPr>
              <w:t>Cor pulmonale / pulmonary hypertension</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Chronic hypoxic pulmonary vasoconstriction raises pulmonary pressures, causing right-ventricular strain and failure — a direct sequela of advanced chronic bronchitis.</w:t>
            </w:r>
          </w:p>
        </w:tc>
      </w:tr>
      <w:tr>
        <w:trPr>
          <w:cantSplit/>
        </w:trPr>
        <w:tc>
          <w:tcPr>
            <w:tcW w:type="dxa" w:w="2232"/>
            <w:vAlign w:val="top"/>
          </w:tcPr>
          <w:p>
            <w:pPr>
              <w:spacing w:after="40" w:before="0" w:line="259" w:lineRule="auto"/>
            </w:pPr>
            <w:r>
              <w:rPr>
                <w:rFonts w:ascii="Calibri" w:hAnsi="Calibri"/>
                <w:b/>
                <w:i w:val="0"/>
                <w:color w:val="212121"/>
                <w:sz w:val="19"/>
              </w:rPr>
              <w:t>Depression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Highly prevalent and bidirectional — breathlessness and disability drive low mood, which in turn worsens adherence and outcomes.</w:t>
            </w:r>
          </w:p>
          <w:p>
            <w:pPr>
              <w:spacing w:after="40" w:before="0" w:line="259" w:lineRule="auto"/>
            </w:pPr>
            <w:r>
              <w:rPr>
                <w:rFonts w:ascii="Calibri" w:hAnsi="Calibri"/>
                <w:b/>
                <w:i w:val="0"/>
                <w:color w:val="212121"/>
                <w:sz w:val="19"/>
              </w:rPr>
              <w:t>Up to ~62.7% (Indian COPD cohort)</w:t>
            </w:r>
          </w:p>
        </w:tc>
      </w:tr>
      <w:tr>
        <w:trPr>
          <w:cantSplit/>
        </w:trPr>
        <w:tc>
          <w:tcPr>
            <w:tcW w:type="dxa" w:w="2232"/>
            <w:vAlign w:val="top"/>
          </w:tcPr>
          <w:p>
            <w:pPr>
              <w:spacing w:after="40" w:before="0" w:line="259" w:lineRule="auto"/>
            </w:pPr>
            <w:r>
              <w:rPr>
                <w:rFonts w:ascii="Calibri" w:hAnsi="Calibri"/>
                <w:b/>
                <w:i w:val="0"/>
                <w:color w:val="212121"/>
                <w:sz w:val="19"/>
              </w:rPr>
              <w:t>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Dyspnoea and fear of exacerbations fuel anxiety, which amplifies breathlessness perception and healthcare use.</w:t>
            </w:r>
          </w:p>
          <w:p>
            <w:pPr>
              <w:spacing w:after="40" w:before="0" w:line="259" w:lineRule="auto"/>
            </w:pPr>
            <w:r>
              <w:rPr>
                <w:rFonts w:ascii="Calibri" w:hAnsi="Calibri"/>
                <w:b/>
                <w:i w:val="0"/>
                <w:color w:val="212121"/>
                <w:sz w:val="19"/>
              </w:rPr>
              <w:t>Up to ~66.9% (Indian COPD cohort)</w:t>
            </w:r>
          </w:p>
        </w:tc>
      </w:tr>
      <w:tr>
        <w:trPr>
          <w:cantSplit/>
        </w:trPr>
        <w:tc>
          <w:tcPr>
            <w:tcW w:type="dxa" w:w="2232"/>
            <w:vAlign w:val="top"/>
          </w:tcPr>
          <w:p>
            <w:pPr>
              <w:spacing w:after="40" w:before="0" w:line="259" w:lineRule="auto"/>
            </w:pPr>
            <w:r>
              <w:rPr>
                <w:rFonts w:ascii="Calibri" w:hAnsi="Calibri"/>
                <w:b/>
                <w:i w:val="0"/>
                <w:color w:val="212121"/>
                <w:sz w:val="19"/>
              </w:rPr>
              <w:t>Osteoporosis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Driven by systemic inflammation, low BMI, inactivity, vitamin-D deficiency and corticosteroid therapy; corticosteroid treatment further weakens bone.</w:t>
            </w:r>
          </w:p>
          <w:p>
            <w:pPr>
              <w:spacing w:after="40" w:before="0" w:line="259" w:lineRule="auto"/>
            </w:pPr>
            <w:r>
              <w:rPr>
                <w:rFonts w:ascii="Calibri" w:hAnsi="Calibri"/>
                <w:b/>
                <w:i w:val="0"/>
                <w:color w:val="212121"/>
                <w:sz w:val="19"/>
              </w:rPr>
              <w:t>~35% (range 9–69%); up to ~66.6% in Indian studies</w:t>
            </w:r>
          </w:p>
        </w:tc>
      </w:tr>
      <w:tr>
        <w:trPr>
          <w:cantSplit/>
        </w:trPr>
        <w:tc>
          <w:tcPr>
            <w:tcW w:type="dxa" w:w="2232"/>
            <w:vAlign w:val="top"/>
          </w:tcPr>
          <w:p>
            <w:pPr>
              <w:spacing w:after="40" w:before="0" w:line="259" w:lineRule="auto"/>
            </w:pPr>
            <w:r>
              <w:rPr>
                <w:rFonts w:ascii="Calibri" w:hAnsi="Calibri"/>
                <w:b/>
                <w:i w:val="0"/>
                <w:color w:val="212121"/>
                <w:sz w:val="19"/>
              </w:rPr>
              <w:t>Lung cancer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Shared tobacco/pollution exposure and chronic airway inflammation make lung cancer substantially more common in chronic bronchitis/COPD.</w:t>
            </w:r>
          </w:p>
        </w:tc>
      </w:tr>
      <w:tr>
        <w:trPr>
          <w:cantSplit/>
        </w:trPr>
        <w:tc>
          <w:tcPr>
            <w:tcW w:type="dxa" w:w="2232"/>
            <w:vAlign w:val="top"/>
          </w:tcPr>
          <w:p>
            <w:pPr>
              <w:spacing w:after="40" w:before="0" w:line="259" w:lineRule="auto"/>
            </w:pPr>
            <w:r>
              <w:rPr>
                <w:rFonts w:ascii="Calibri" w:hAnsi="Calibri"/>
                <w:b/>
                <w:i w:val="0"/>
                <w:color w:val="212121"/>
                <w:sz w:val="19"/>
              </w:rPr>
              <w:t>Pulmonary tuberculosis (and post-TB obstructive disease)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 India's high-TB setting, TB both mimics and causes chronic bronchitis, and chronic bronchitis/COPD in turn increases susceptibility to TB.</w:t>
            </w:r>
          </w:p>
        </w:tc>
      </w:tr>
      <w:tr>
        <w:trPr>
          <w:cantSplit/>
        </w:trPr>
        <w:tc>
          <w:tcPr>
            <w:tcW w:type="dxa" w:w="2232"/>
            <w:vAlign w:val="top"/>
          </w:tcPr>
          <w:p>
            <w:pPr>
              <w:spacing w:after="40" w:before="0" w:line="259" w:lineRule="auto"/>
            </w:pPr>
            <w:r>
              <w:rPr>
                <w:rFonts w:ascii="Calibri" w:hAnsi="Calibri"/>
                <w:b/>
                <w:i w:val="0"/>
                <w:color w:val="212121"/>
                <w:sz w:val="19"/>
              </w:rPr>
              <w:t>Gastro-oesophageal reflux disease (GERD)</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Micro-aspiration and reflux reflexes trigger chronic cough and exacerbations; reflux is markedly more common in chronic bronchitis.</w:t>
            </w:r>
          </w:p>
        </w:tc>
      </w:tr>
      <w:tr>
        <w:trPr>
          <w:cantSplit/>
        </w:trPr>
        <w:tc>
          <w:tcPr>
            <w:tcW w:type="dxa" w:w="2232"/>
            <w:vAlign w:val="top"/>
          </w:tcPr>
          <w:p>
            <w:pPr>
              <w:spacing w:after="40" w:before="0" w:line="259" w:lineRule="auto"/>
            </w:pPr>
            <w:r>
              <w:rPr>
                <w:rFonts w:ascii="Calibri" w:hAnsi="Calibri"/>
                <w:b/>
                <w:i w:val="0"/>
                <w:color w:val="212121"/>
                <w:sz w:val="19"/>
              </w:rPr>
              <w:t>Obstructive sleep apnoea (overlap syndrome)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Coexisting OSA magnifies nocturnal hypoxaemia and pulmonary hypertension, worsening prognosis.</w:t>
            </w:r>
          </w:p>
        </w:tc>
      </w:tr>
      <w:tr>
        <w:trPr>
          <w:cantSplit/>
        </w:trPr>
        <w:tc>
          <w:tcPr>
            <w:tcW w:type="dxa" w:w="2232"/>
            <w:vAlign w:val="top"/>
          </w:tcPr>
          <w:p>
            <w:pPr>
              <w:spacing w:after="40" w:before="0" w:line="259" w:lineRule="auto"/>
            </w:pPr>
            <w:r>
              <w:rPr>
                <w:rFonts w:ascii="Calibri" w:hAnsi="Calibri"/>
                <w:b/>
                <w:i w:val="0"/>
                <w:color w:val="212121"/>
                <w:sz w:val="19"/>
              </w:rPr>
              <w:t>Secondary polycythaemia / anaemia of chronic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hypoxaemia stimulates erythropoiesis (polycythaemia), while systemic inflammation can instead cause anaemia — both alter oxygen delivery and symptoms.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 daily 'smoker's cough' with phlegm for months is not normal — chronic bronchitis is an early, treatable stage of COPD, and stopping exposure can halt its progression.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the main causes in India — cigarette/bidi smoking, wood/dung-cake cooking smoke, outdoor air pollution, workplace dust and a history of tuberculosis — and reduce whichever apply to you.</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Switch to clean cooking fuel (LPG/electric), improve kitchen ventilation, and keep young children away from the cooking hearth and from tobacco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warning signs of an exacerbation (more cough, more or discoloured phlegm, increasing breathlessness) and seek care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vaccinated — annual influenza, pneumococcal and COVID-19 vaccines — to prevent infective flare-ups.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regular review, use inhalers with correct technique, and ask for spirometry if you have a chronic productive cough.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&amp; bidi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Biomass-exposed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Dust-exposed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prior TB</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Quit all forms of tobacco (cigarettes, bidis, hookah) — cessation is the single most effective step and the only intervention proven to slow lung-function decline.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support: behavioural counselling plus pharmacotherapy (nicotine-replacement therapy, bupropion or varenicline) and national Quitline services.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at home and work, and make the home and vehicle strictly smoke-free.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a quit date, identify triggers, and arrange follow-up to prevent relapse.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any coexisting smokeless-tobacco use, which is highly prevalent in India.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Bidi/hookah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any airflow obstruction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 members of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Enrol in pulmonary rehabilitation — supervised exercise plus education — which improves exercise capacity, dyspnoea and quality of life and reduces readmissions.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regular aerobic activity (brisk walking, cycling) as tolerated, building up gradually, aiming for most days of the week.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lower-limb strength and breathing exercises (pursed-lip and diaphragmatic breathing) to ease breathlessness.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active during stable periods to counter the breathlessness–inactivity–deconditioning cycle.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paced activity and energy-conservation techniques on high-symptom or high-pollution days.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bronchitis/COPD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Deconditioned and elderly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 exacerbators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Post-exacerbation recovery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an antioxidant-rich diet with plenty of fruit and vegetables (target ≥ 5 servings/day) to help defend the airways against smoke and pollution.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protein and calories to preserve respiratory-muscle mass and avoid undernutrition, which worsens prognosis.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underweight or losing weight, take frequent small energy- and protein-dense meals and seek dietetic advice.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body weight — avoid obesity, which worsens breathlessness and sleep apnoea overlap.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vitamin D and calcium intake to protect bone, especially if on corticosteroids.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Underweight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corticosteroids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chronic-bronchitis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well hydrated with water to help keep airway secretions thin and easier to clear.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anaemia and nutritional deficiencies that aggravate breathlessness and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salt if there is peripheral oedema or cor pulmonale.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nutritional support with exercise for the greatest gain in muscle strength and function.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cachexia/low BMI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cor pulmonale/oedema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Anaemic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Rehabilitation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to support immune function and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loud snoring, witnessed apnoeas or daytime sleepiness — screen and treat overlap obstructive sleep apnoea, which worsens night-time oxygen levels.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with the head slightly elevated and avoid large or late meals if reflux disturbs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Optimise night-time inhaler/oxygen use as prescribed to reduce nocturnal symptoms.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 blue-bloater phenotype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suspected OSA overlap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GERD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Advanced-disease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or avoid alcohol, which impairs airway clearance and immune defence and often accompanies heavy smoking.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at times of respiratory infection, and where it interacts with prescribed medicines such as theophylline or sedatives.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support to reduce combined tobacco-and-alcohol use, which multiplies respiratory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sedating levels of alcohol in patients who retain carbon dioxide, as it can depress breathing.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alcohol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who also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theophylline/sedatives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Hypercapnic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routinely for depression and anxiety, which affect the majority of Indian COPD patients and worsen outcomes.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psychological support, breathing-control and relaxation techniques, and antidepressant therapy where indicated.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pulmonary rehabilitation, which improves mood and breathlessness together.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peer support and family involvement to sustain treatment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anxiety-driven breathlessness with education, pacing and breathing techniques rather than escalating medication alone.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depression/anxiety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 exacerbators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Socially isolated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written self-management and exacerbation action plan agreed with your clinician.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Master inhaler technique (metered-dose with spacer or dry-powder) and check it at every review.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prescribed maintenance bronchodilators (and inhaled corticosteroids where indicated by symptoms/eosinophils) regularly, not only when breathless.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Start prompt treatment of exacerbations as per plan and know when to seek emergency care (worsening breathlessness, confusion, blue lips).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for long-term oxygen assessment if persistently hypoxaemic, and use oxygen for the prescribed hours.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 exacerbators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Hypoxaemic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inhaler therapy</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22871327/" TargetMode="External"/><Relationship Id="rId10" Type="http://schemas.openxmlformats.org/officeDocument/2006/relationships/hyperlink" Target="https://link.springer.com/article/10.1186/s12890-026-04134-0" TargetMode="External"/><Relationship Id="rId11" Type="http://schemas.openxmlformats.org/officeDocument/2006/relationships/hyperlink" Target="https://ntcp.mohfw.gov.in/assets/document/surveys-reports-publications/GATS-2-FactSheet.pdf" TargetMode="External"/><Relationship Id="rId12" Type="http://schemas.openxmlformats.org/officeDocument/2006/relationships/hyperlink" Target="https://link.springer.com/article/10.1186/s12889-018-5846-2" TargetMode="External"/><Relationship Id="rId13" Type="http://schemas.openxmlformats.org/officeDocument/2006/relationships/hyperlink" Target="https://pmc.ncbi.nlm.nih.gov/articles/PMC8614617/" TargetMode="External"/><Relationship Id="rId14" Type="http://schemas.openxmlformats.org/officeDocument/2006/relationships/hyperlink" Target="https://jogh.org/documents/2021/jogh-11-04038.pdf" TargetMode="External"/><Relationship Id="rId15" Type="http://schemas.openxmlformats.org/officeDocument/2006/relationships/hyperlink" Target="https://www.ncbi.nlm.nih.gov/books/NBK4824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