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Croup (pediatric)</w:t>
      </w:r>
    </w:p>
    <w:p>
      <w:pPr>
        <w:spacing w:before="0" w:after="160"/>
      </w:pPr>
      <w:r>
        <w:rPr>
          <w:rFonts w:ascii="Calibri" w:hAnsi="Calibri"/>
          <w:b/>
          <w:i w:val="0"/>
          <w:color w:val="212121"/>
          <w:sz w:val="22"/>
        </w:rPr>
        <w:t xml:space="preserve">AKA </w:t>
      </w:r>
      <w:r>
        <w:rPr>
          <w:rFonts w:ascii="Calibri" w:hAnsi="Calibri"/>
          <w:b w:val="0"/>
          <w:i w:val="0"/>
          <w:color w:val="212121"/>
          <w:sz w:val="22"/>
        </w:rPr>
        <w:t>i.e., Laryngotracheobronchitis, Laryngotracheitis, Viral croup, Spasmodic croup, Barking-cough illness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Croup is a common acute viral respiratory illness of early childhood characterised by inflammation and oedema of the subglottic larynx, trachea and (variably) the bronchi, producing the classic triad of a barking, seal-like cough, inspiratory stridor and hoarseness, often with variable respiratory distress. It arises because swelling narrows the subglottis — the narrowest part of a young child's airway, encircled by rigid cricoid cartilage — so that even minor mucosal oedema markedly obstructs airflow. Most cases are caused by parainfluenza virus, occur in children between 6 months and 3 years of age, are self-limiting, and resolve within a few days, though a minority develop significant upper-airway obstruction requiring urgent treatment.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Croup is one of the commonest causes of acute upper-airway obstruction in young children. India has no dedicated croup registry, but acute respiratory infections (ARI) are extremely common and remain a leading cause of under-five illness and death: in the National Family Health Survey 2019–21 (NFHS-5), about 2.85% of children under five had symptoms of an acute respiratory infection in the two weeks preceding the survey, with indoor air pollution, crowding and undernutrition among the key determinants. Parainfluenza viruses — the main cause of croup — are consistently among the respiratory viruses detected in Indian children hospitalised with acute respiratory infection, and are a leading global cause of acute lower-respiratory-tract illness and croup hospitalisation in the under-fives. Internationally, croup affects roughly 3% of children aged 6 months to 3 years each year (about 532 cases per 100,000 children); parainfluenza virus is responsible for around 75% of cases, more than 85% of episodes are mild, and fewer than 1% are severe.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Croup is a clinical diagnosis based on the characteristic history and examination; investigations are usually unnecessary and are reserved for atypical, severe, recurrent or diagnostically uncertain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sudden onset (often at night) of a barking, seal-like cough in a child typically aged 6 months to 3 years, usually preceded by 1–3 days of coryza and low-grade fever;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inspiratory stridor and a hoarse voice or cry, worse with crying or agitation, indicating extrathoracic (subglottic) airway narrowing;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variable signs of upper-airway obstruction and increased work of breathing (suprasternal and intercostal retractions, nasal flaring, tachypnoea);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severity graded with the Westley croup score — level of consciousness, cyanosis, stridor, air entry and retractions;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drooling, marked dysphagia, toxaemia or a preference to sit forward in the tripod position (features that instead suggest epiglottitis, bacterial tracheitis or an inhaled foreign body);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is not routine, but a frontal neck radiograph may show subglottic narrowing (the “steeple sign”) and is used mainly to exclude alternative diagnoses — airway assessment must never be delayed for imaging in a distressed child.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Croup is classified by clinical pattern and, most importantly for management, by severity graded on the Westley croup score:</w:t>
      </w:r>
    </w:p>
    <w:p>
      <w:pPr>
        <w:spacing w:before="0" w:after="80"/>
      </w:pPr>
      <w:r>
        <w:rPr>
          <w:rFonts w:ascii="Calibri" w:hAnsi="Calibri"/>
          <w:b w:val="0"/>
          <w:i w:val="0"/>
          <w:color w:val="212121"/>
          <w:sz w:val="21"/>
        </w:rPr>
        <w:t>(1) Viral croup (acute laryngotracheobronchitis) — the classic and commonest form, caused by respiratory viruses (chiefly parainfluenza, type 1 most frequent), with a prodrome of coryza and low-grade fever;</w:t>
      </w:r>
    </w:p>
    <w:p>
      <w:pPr>
        <w:spacing w:before="0" w:after="80"/>
      </w:pPr>
      <w:r>
        <w:rPr>
          <w:rFonts w:ascii="Calibri" w:hAnsi="Calibri"/>
          <w:b w:val="0"/>
          <w:i w:val="0"/>
          <w:color w:val="212121"/>
          <w:sz w:val="21"/>
        </w:rPr>
        <w:t>(2) Spasmodic (recurrent) croup — sudden, often recurrent night-time barking cough and stridor without fever or a clear viral prodrome, thought to have an allergic / airway-hyperreactive component and to overlap with atopy and asthma;</w:t>
      </w:r>
    </w:p>
    <w:p>
      <w:pPr>
        <w:spacing w:before="0" w:after="80"/>
      </w:pPr>
      <w:r>
        <w:rPr>
          <w:rFonts w:ascii="Calibri" w:hAnsi="Calibri"/>
          <w:b w:val="0"/>
          <w:i w:val="0"/>
          <w:color w:val="212121"/>
          <w:sz w:val="21"/>
        </w:rPr>
        <w:t>(3) Severity grades by the Westley croup score — mild (≤ 2): barking cough with little or no stridor at rest; moderate (3–7): stridor at rest with visible retractions but little distress; severe (8–11): prominent stridor, marked retractions and agitation; and impending respiratory failure (≥ 12): lethargy, decreased air entry and cyanosis;</w:t>
      </w:r>
    </w:p>
    <w:p>
      <w:pPr>
        <w:spacing w:before="0" w:after="80"/>
      </w:pPr>
      <w:r>
        <w:rPr>
          <w:rFonts w:ascii="Calibri" w:hAnsi="Calibri"/>
          <w:b w:val="0"/>
          <w:i w:val="0"/>
          <w:color w:val="212121"/>
          <w:sz w:val="21"/>
        </w:rPr>
        <w:t>(4) Related and atypical forms — secondary bacterial tracheitis (a toxic child with high fever, purulent secretions and poor response to standard croup treatment) and laryngeal diphtheria (“membranous croup”), now rare where DPT immunisation coverage is high but still important where coverage is incomplete.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infection: Parainfluenza viruses (especially type 1, also types 2 and 3) cause the majority (~75%) of cases; other agents include influenza A and B, respiratory syncytial virus, adenovirus, rhinovirus, enterovirus, human metapneumovirus and SARS-CoV-2.</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Young age and airway anatomy: The subglottis is the narrowest part of a young child's airway and is surrounded by non-distensible cricoid cartilage, so a small amount of mucosal oedema causes a disproportionately large fall in cross-sectional area and produces stridor.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Subglottic inflammation and oedema: Viral infection of the laryngotracheal mucosa causes inflammation, oedema and fibrinous exudate that obstruct airflow, characteristically worst on inspiration.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Season and transmission: Autumn and early-winter peaks, together with droplet and contact spread in crowded households and daycare, raise exposure — relevant to India's dense urban living and cold-season respiratory surges.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Host and allergic factors: A personal or family history of atopy, asthma or airway hyperreactivity predisposes to recurrent (spasmodic) croup.</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exposure: Second-hand tobacco smoke, biomass-cooking smoke and high ambient air pollution irritate and injure the airway mucosa and increase susceptibility to respiratory infection.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Bacterial superinfection: Secondary bacterial infection (Staphylococcus aureus, Streptococcus pneumoniae, Haemophilus influenzae, Moraxella catarrhalis) can cause bacterial tracheitis, a dangerous complication.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toddlers (6 months–3 years)</w:t>
            </w:r>
          </w:p>
        </w:tc>
        <w:tc>
          <w:tcPr>
            <w:tcW w:type="dxa" w:w="4276"/>
            <w:vAlign w:val="top"/>
          </w:tcPr>
          <w:p>
            <w:pPr>
              <w:spacing w:after="60" w:line="259" w:lineRule="auto"/>
            </w:pPr>
            <w:r>
              <w:rPr>
                <w:rFonts w:ascii="Calibri" w:hAnsi="Calibri"/>
                <w:b w:val="0"/>
                <w:i w:val="0"/>
                <w:color w:val="212121"/>
                <w:sz w:val="19"/>
              </w:rPr>
              <w:t>This is the peak age for croup because the subglottic airway is at its narrowest relative to air-flow demand and is encircled by rigid cartilage, so viral mucosal oedema rapidly produces stridor and obstruction. Parainfluenza exposure is also common at this age.</w:t>
            </w:r>
          </w:p>
          <w:p>
            <w:pPr>
              <w:spacing w:after="40" w:before="60" w:line="259" w:lineRule="auto"/>
            </w:pPr>
            <w:r>
              <w:rPr>
                <w:rFonts w:ascii="Calibri" w:hAnsi="Calibri"/>
                <w:b w:val="0"/>
                <w:i w:val="0"/>
                <w:color w:val="212121"/>
                <w:sz w:val="19"/>
              </w:rPr>
              <w:t>Croup affects about 3% of children aged 6 months to 3 years each year (roughly 532 cases per 100,000), with peak incidence in the second year of life.</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#croup  #toddlers  #subglottis  #parainfluenza  #barkingcough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Preschool &amp; young school-age (3–6 years)</w:t>
            </w:r>
          </w:p>
        </w:tc>
        <w:tc>
          <w:tcPr>
            <w:tcW w:type="dxa" w:w="4276"/>
            <w:vAlign w:val="top"/>
          </w:tcPr>
          <w:p>
            <w:pPr>
              <w:spacing w:after="60" w:line="259" w:lineRule="auto"/>
            </w:pPr>
            <w:r>
              <w:rPr>
                <w:rFonts w:ascii="Calibri" w:hAnsi="Calibri"/>
                <w:b w:val="0"/>
                <w:i w:val="0"/>
                <w:color w:val="212121"/>
                <w:sz w:val="19"/>
              </w:rPr>
              <w:t>Croup still occurs but tends to be milder as the airway widens with growth; presentation beyond 6 years is uncommon and should prompt consideration of alternative diagnoses.</w:t>
            </w:r>
          </w:p>
          <w:p>
            <w:pPr>
              <w:spacing w:after="40" w:before="60" w:line="259" w:lineRule="auto"/>
            </w:pPr>
            <w:r>
              <w:rPr>
                <w:rFonts w:ascii="Calibri" w:hAnsi="Calibri"/>
                <w:b w:val="0"/>
                <w:i w:val="0"/>
                <w:color w:val="212121"/>
                <w:sz w:val="19"/>
              </w:rPr>
              <w:t>Croup is a common respiratory illness in children younger than 6 years and becomes uncommon thereafter.</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#preschool  #airwaygrowth  #milderdisease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infants (&lt; 6 months)</w:t>
            </w:r>
          </w:p>
        </w:tc>
        <w:tc>
          <w:tcPr>
            <w:tcW w:type="dxa" w:w="4276"/>
            <w:vAlign w:val="top"/>
          </w:tcPr>
          <w:p>
            <w:pPr>
              <w:spacing w:after="60" w:line="259" w:lineRule="auto"/>
            </w:pPr>
            <w:r>
              <w:rPr>
                <w:rFonts w:ascii="Calibri" w:hAnsi="Calibri"/>
                <w:b w:val="0"/>
                <w:i w:val="0"/>
                <w:color w:val="212121"/>
                <w:sz w:val="19"/>
              </w:rPr>
              <w:t>Classic viral croup is uncommon under 6 months; stridor in this group should raise suspicion of a congenital or structural airway lesion (subglottic stenosis, laryngomalacia, vascular ring) rather than simple croup.</w:t>
            </w:r>
          </w:p>
          <w:p>
            <w:pPr>
              <w:spacing w:after="40" w:before="60" w:line="259" w:lineRule="auto"/>
            </w:pPr>
            <w:r>
              <w:rPr>
                <w:rFonts w:ascii="Calibri" w:hAnsi="Calibri"/>
                <w:b w:val="0"/>
                <w:i w:val="0"/>
                <w:color w:val="212121"/>
                <w:sz w:val="19"/>
              </w:rPr>
              <w:t>Airway abnormalities are identified in about 10% of children with recurrent croup referred to otolaryngologists.</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#younginfant  #congenitalairway  #subglotticstenosis  #atypical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Boys are affected more often than girls, a consistent finding thought to relate to subtle differences in airway calibre; sex does not change management but reflects the typical epidemiology.</w:t>
            </w:r>
          </w:p>
          <w:p>
            <w:pPr>
              <w:spacing w:after="40" w:before="60" w:line="259" w:lineRule="auto"/>
            </w:pPr>
            <w:r>
              <w:rPr>
                <w:rFonts w:ascii="Calibri" w:hAnsi="Calibri"/>
                <w:b w:val="0"/>
                <w:i w:val="0"/>
                <w:color w:val="212121"/>
                <w:sz w:val="19"/>
              </w:rPr>
              <w:t>Croup shows an approximately 1.5:1 male-to-female predominance.</w:t>
            </w:r>
          </w:p>
          <w:p>
            <w:pPr>
              <w:spacing w:after="40" w:line="252" w:lineRule="auto"/>
            </w:pPr>
            <w:hyperlink r:id="rId10">
              <w:r>
                <w:rPr>
                  <w:rFonts w:ascii="Calibri" w:hAnsi="Calibri" w:cs="Calibri"/>
                  <w:sz w:val="18"/>
                  <w:color w:val="1155CC"/>
                  <w:u w:val="single"/>
                </w:rPr>
                <w:t xml:space="preserve">aafp.org — Croup: Diagnosis and Management (2018)</w:t>
              </w:r>
            </w:hyperlink>
          </w:p>
          <w:p>
            <w:pPr>
              <w:spacing w:before="60" w:after="40"/>
            </w:pPr>
            <w:r>
              <w:rPr>
                <w:rFonts w:ascii="Calibri" w:hAnsi="Calibri"/>
                <w:b w:val="0"/>
                <w:i w:val="0"/>
                <w:color w:val="5A5A5A"/>
                <w:sz w:val="18"/>
              </w:rPr>
              <w:t>#male  #malepredominance  #epidemiology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Crowded, low-income households</w:t>
            </w:r>
          </w:p>
        </w:tc>
        <w:tc>
          <w:tcPr>
            <w:tcW w:type="dxa" w:w="4276"/>
            <w:vAlign w:val="top"/>
          </w:tcPr>
          <w:p>
            <w:pPr>
              <w:spacing w:after="60" w:line="259" w:lineRule="auto"/>
            </w:pPr>
            <w:r>
              <w:rPr>
                <w:rFonts w:ascii="Calibri" w:hAnsi="Calibri"/>
                <w:b w:val="0"/>
                <w:i w:val="0"/>
                <w:color w:val="212121"/>
                <w:sz w:val="19"/>
              </w:rPr>
              <w:t>Overcrowding increases viral transmission, while indoor biomass-cooking smoke, environmental tobacco smoke, undernutrition and delayed care raise both the risk and the severity of childhood respiratory infection in low-resource Indian settings.</w:t>
            </w:r>
          </w:p>
          <w:p>
            <w:pPr>
              <w:spacing w:after="40" w:before="60" w:line="259" w:lineRule="auto"/>
            </w:pPr>
            <w:r>
              <w:rPr>
                <w:rFonts w:ascii="Calibri" w:hAnsi="Calibri"/>
                <w:b w:val="0"/>
                <w:i w:val="0"/>
                <w:color w:val="212121"/>
                <w:sz w:val="19"/>
              </w:rPr>
              <w:t>In NFHS 2019–21, indoor air pollution, crowding and undernutrition were among the leading determinants of acute respiratory infection in Indian under-fives.</w:t>
            </w:r>
          </w:p>
          <w:p>
            <w:pPr>
              <w:spacing w:after="40" w:line="252" w:lineRule="auto"/>
            </w:pPr>
            <w:hyperlink r:id="rId11">
              <w:r>
                <w:rPr>
                  <w:rFonts w:ascii="Calibri" w:hAnsi="Calibri" w:cs="Calibri"/>
                  <w:sz w:val="18"/>
                  <w:color w:val="1155CC"/>
                  <w:u w:val="single"/>
                </w:rPr>
                <w:t xml:space="preserve">pubmed.ncbi.nlm.nih.gov/37280601 — ARI prevalence &amp; determinants, NFHS 2019-21</w:t>
              </w:r>
            </w:hyperlink>
          </w:p>
          <w:p>
            <w:pPr>
              <w:spacing w:before="60" w:after="40"/>
            </w:pPr>
            <w:r>
              <w:rPr>
                <w:rFonts w:ascii="Calibri" w:hAnsi="Calibri"/>
                <w:b w:val="0"/>
                <w:i w:val="0"/>
                <w:color w:val="5A5A5A"/>
                <w:sz w:val="18"/>
              </w:rPr>
              <w:t>#socioeconomic  #overcrowding  #biomasssmoke  #accesstocare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Region/Climate</w:t>
            </w:r>
          </w:p>
        </w:tc>
        <w:tc>
          <w:tcPr>
            <w:tcW w:type="dxa" w:w="2160"/>
            <w:vAlign w:val="top"/>
          </w:tcPr>
          <w:p>
            <w:pPr>
              <w:spacing w:after="40" w:before="0" w:line="259" w:lineRule="auto"/>
            </w:pPr>
            <w:r>
              <w:rPr>
                <w:rFonts w:ascii="Calibri" w:hAnsi="Calibri"/>
                <w:b w:val="0"/>
                <w:i w:val="0"/>
                <w:color w:val="212121"/>
                <w:sz w:val="19"/>
              </w:rPr>
              <w:t>North Indian children in autumn–winter</w:t>
            </w:r>
          </w:p>
        </w:tc>
        <w:tc>
          <w:tcPr>
            <w:tcW w:type="dxa" w:w="4276"/>
            <w:vAlign w:val="top"/>
          </w:tcPr>
          <w:p>
            <w:pPr>
              <w:spacing w:after="60" w:line="259" w:lineRule="auto"/>
            </w:pPr>
            <w:r>
              <w:rPr>
                <w:rFonts w:ascii="Calibri" w:hAnsi="Calibri"/>
                <w:b w:val="0"/>
                <w:i w:val="0"/>
                <w:color w:val="212121"/>
                <w:sz w:val="19"/>
              </w:rPr>
              <w:t>Croup and its parainfluenza and influenza triggers peak in the cooler autumn and early-winter months; temperate north India sees a marked cold-season surge in paediatric acute respiratory infection and hospitalisation.</w:t>
            </w:r>
          </w:p>
          <w:p>
            <w:pPr>
              <w:spacing w:after="40" w:before="60" w:line="259" w:lineRule="auto"/>
            </w:pPr>
            <w:r>
              <w:rPr>
                <w:rFonts w:ascii="Calibri" w:hAnsi="Calibri"/>
                <w:b w:val="0"/>
                <w:i w:val="0"/>
                <w:color w:val="212121"/>
                <w:sz w:val="19"/>
              </w:rPr>
              <w:t>Croup is most common in the fall and early winter and can occur year-round.</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#seasonality  #winter  #northindia  #respiratorysurge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Ethnicity/Region</w:t>
            </w:r>
          </w:p>
        </w:tc>
        <w:tc>
          <w:tcPr>
            <w:tcW w:type="dxa" w:w="2160"/>
            <w:vAlign w:val="top"/>
          </w:tcPr>
          <w:p>
            <w:pPr>
              <w:spacing w:after="40" w:before="0" w:line="259" w:lineRule="auto"/>
            </w:pPr>
            <w:r>
              <w:rPr>
                <w:rFonts w:ascii="Calibri" w:hAnsi="Calibri"/>
                <w:b w:val="0"/>
                <w:i w:val="0"/>
                <w:color w:val="212121"/>
                <w:sz w:val="19"/>
              </w:rPr>
              <w:t>Urban Indian children (high air pollution)</w:t>
            </w:r>
          </w:p>
        </w:tc>
        <w:tc>
          <w:tcPr>
            <w:tcW w:type="dxa" w:w="4276"/>
            <w:vAlign w:val="top"/>
          </w:tcPr>
          <w:p>
            <w:pPr>
              <w:spacing w:after="60" w:line="259" w:lineRule="auto"/>
            </w:pPr>
            <w:r>
              <w:rPr>
                <w:rFonts w:ascii="Calibri" w:hAnsi="Calibri"/>
                <w:b w:val="0"/>
                <w:i w:val="0"/>
                <w:color w:val="212121"/>
                <w:sz w:val="19"/>
              </w:rPr>
              <w:t>Children in large Indian cities are exposed to some of the world's highest levels of particulate air pollution (PM2.5), which injures the airway mucosa, impairs local defences and increases susceptibility to viral respiratory infection.</w:t>
            </w:r>
          </w:p>
          <w:p>
            <w:pPr>
              <w:spacing w:after="40" w:before="60" w:line="259" w:lineRule="auto"/>
            </w:pPr>
            <w:r>
              <w:rPr>
                <w:rFonts w:ascii="Calibri" w:hAnsi="Calibri"/>
                <w:b w:val="0"/>
                <w:i w:val="0"/>
                <w:color w:val="212121"/>
                <w:sz w:val="19"/>
              </w:rPr>
              <w:t>Indoor and ambient air pollution are established drivers of acute respiratory infection in Indian under-five children.</w:t>
            </w:r>
          </w:p>
          <w:p>
            <w:pPr>
              <w:spacing w:after="40" w:line="252" w:lineRule="auto"/>
            </w:pPr>
            <w:hyperlink r:id="rId12">
              <w:r>
                <w:rPr>
                  <w:rFonts w:ascii="Calibri" w:hAnsi="Calibri" w:cs="Calibri"/>
                  <w:sz w:val="18"/>
                  <w:color w:val="1155CC"/>
                  <w:u w:val="single"/>
                </w:rPr>
                <w:t xml:space="preserve">pubmed.ncbi.nlm.nih.gov/32797105 — Indoor pollution &amp; ARI in under-5 India</w:t>
              </w:r>
            </w:hyperlink>
          </w:p>
          <w:p>
            <w:pPr>
              <w:spacing w:before="60" w:after="40"/>
            </w:pPr>
            <w:r>
              <w:rPr>
                <w:rFonts w:ascii="Calibri" w:hAnsi="Calibri"/>
                <w:b w:val="0"/>
                <w:i w:val="0"/>
                <w:color w:val="5A5A5A"/>
                <w:sz w:val="18"/>
              </w:rPr>
              <w:t>#india  #airpollution  #PM2point5  #urban  #mucosalinjury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Environmental tobacco / biomass smoke</w:t>
            </w:r>
          </w:p>
        </w:tc>
        <w:tc>
          <w:tcPr>
            <w:tcW w:type="dxa" w:w="2160"/>
            <w:vAlign w:val="top"/>
          </w:tcPr>
          <w:p>
            <w:pPr>
              <w:spacing w:after="40" w:before="0" w:line="259" w:lineRule="auto"/>
            </w:pPr>
            <w:r>
              <w:rPr>
                <w:rFonts w:ascii="Calibri" w:hAnsi="Calibri"/>
                <w:b w:val="0"/>
                <w:i w:val="0"/>
                <w:color w:val="212121"/>
                <w:sz w:val="19"/>
              </w:rPr>
              <w:t>Children of smokers or biomass-fuel homes</w:t>
            </w:r>
          </w:p>
        </w:tc>
        <w:tc>
          <w:tcPr>
            <w:tcW w:type="dxa" w:w="4276"/>
            <w:vAlign w:val="top"/>
          </w:tcPr>
          <w:p>
            <w:pPr>
              <w:spacing w:after="60" w:line="259" w:lineRule="auto"/>
            </w:pPr>
            <w:r>
              <w:rPr>
                <w:rFonts w:ascii="Calibri" w:hAnsi="Calibri"/>
                <w:b w:val="0"/>
                <w:i w:val="0"/>
                <w:color w:val="212121"/>
                <w:sz w:val="19"/>
              </w:rPr>
              <w:t>Second-hand tobacco smoke and smoke from solid cooking fuels irritate and damage the airway lining and are linked to more frequent and more severe childhood respiratory infection; the child is a passive victim of household exposure.</w:t>
            </w:r>
          </w:p>
          <w:p>
            <w:pPr>
              <w:spacing w:after="40" w:before="60" w:line="259" w:lineRule="auto"/>
            </w:pPr>
            <w:r>
              <w:rPr>
                <w:rFonts w:ascii="Calibri" w:hAnsi="Calibri"/>
                <w:b w:val="0"/>
                <w:i w:val="0"/>
                <w:color w:val="212121"/>
                <w:sz w:val="19"/>
              </w:rPr>
              <w:t>Household use of polluting solid cooking fuels is associated with higher odds of acute respiratory infection in Indian under-five children.</w:t>
            </w:r>
          </w:p>
          <w:p>
            <w:pPr>
              <w:spacing w:after="40" w:line="252" w:lineRule="auto"/>
            </w:pPr>
            <w:hyperlink r:id="rId12">
              <w:r>
                <w:rPr>
                  <w:rFonts w:ascii="Calibri" w:hAnsi="Calibri" w:cs="Calibri"/>
                  <w:sz w:val="18"/>
                  <w:color w:val="1155CC"/>
                  <w:u w:val="single"/>
                </w:rPr>
                <w:t xml:space="preserve">pubmed.ncbi.nlm.nih.gov/32797105 — Indoor pollution &amp; ARI in under-5 India</w:t>
              </w:r>
            </w:hyperlink>
          </w:p>
          <w:p>
            <w:pPr>
              <w:spacing w:before="60" w:after="40"/>
            </w:pPr>
            <w:r>
              <w:rPr>
                <w:rFonts w:ascii="Calibri" w:hAnsi="Calibri"/>
                <w:b w:val="0"/>
                <w:i w:val="0"/>
                <w:color w:val="5A5A5A"/>
                <w:sz w:val="18"/>
              </w:rPr>
              <w:t>#secondhandsmoke  #biomassfuel  #indoorairpollution  #passivevictim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Daycare / crowding</w:t>
            </w:r>
          </w:p>
        </w:tc>
        <w:tc>
          <w:tcPr>
            <w:tcW w:type="dxa" w:w="2160"/>
            <w:vAlign w:val="top"/>
          </w:tcPr>
          <w:p>
            <w:pPr>
              <w:spacing w:after="40" w:before="0" w:line="259" w:lineRule="auto"/>
            </w:pPr>
            <w:r>
              <w:rPr>
                <w:rFonts w:ascii="Calibri" w:hAnsi="Calibri"/>
                <w:b w:val="0"/>
                <w:i w:val="0"/>
                <w:color w:val="212121"/>
                <w:sz w:val="19"/>
              </w:rPr>
              <w:t>Creche &amp; daycare attendees</w:t>
            </w:r>
          </w:p>
        </w:tc>
        <w:tc>
          <w:tcPr>
            <w:tcW w:type="dxa" w:w="4276"/>
            <w:vAlign w:val="top"/>
          </w:tcPr>
          <w:p>
            <w:pPr>
              <w:spacing w:after="60" w:line="259" w:lineRule="auto"/>
            </w:pPr>
            <w:r>
              <w:rPr>
                <w:rFonts w:ascii="Calibri" w:hAnsi="Calibri"/>
                <w:b w:val="0"/>
                <w:i w:val="0"/>
                <w:color w:val="212121"/>
                <w:sz w:val="19"/>
              </w:rPr>
              <w:t>Group childcare and crowded living greatly increase exposure to the respiratory viruses that cause croup, which spread by droplets and contaminated surfaces.</w:t>
            </w:r>
          </w:p>
          <w:p>
            <w:pPr>
              <w:spacing w:after="40" w:before="60" w:line="259" w:lineRule="auto"/>
            </w:pPr>
            <w:r>
              <w:rPr>
                <w:rFonts w:ascii="Calibri" w:hAnsi="Calibri"/>
                <w:b w:val="0"/>
                <w:i w:val="0"/>
                <w:color w:val="212121"/>
                <w:sz w:val="19"/>
              </w:rPr>
              <w:t>Respiratory viruses are detected in up to 80% of croup cases, and person-to-person spread is the main route of transmission.</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#daycare  #crowding  #droplettransmission  #viralspread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Immunisation status</w:t>
            </w:r>
          </w:p>
        </w:tc>
        <w:tc>
          <w:tcPr>
            <w:tcW w:type="dxa" w:w="2160"/>
            <w:vAlign w:val="top"/>
          </w:tcPr>
          <w:p>
            <w:pPr>
              <w:spacing w:after="40" w:before="0" w:line="259" w:lineRule="auto"/>
            </w:pPr>
            <w:r>
              <w:rPr>
                <w:rFonts w:ascii="Calibri" w:hAnsi="Calibri"/>
                <w:b w:val="0"/>
                <w:i w:val="0"/>
                <w:color w:val="212121"/>
                <w:sz w:val="19"/>
              </w:rPr>
              <w:t>Under- or un-immunised children</w:t>
            </w:r>
          </w:p>
        </w:tc>
        <w:tc>
          <w:tcPr>
            <w:tcW w:type="dxa" w:w="4276"/>
            <w:vAlign w:val="top"/>
          </w:tcPr>
          <w:p>
            <w:pPr>
              <w:spacing w:after="60" w:line="259" w:lineRule="auto"/>
            </w:pPr>
            <w:r>
              <w:rPr>
                <w:rFonts w:ascii="Calibri" w:hAnsi="Calibri"/>
                <w:b w:val="0"/>
                <w:i w:val="0"/>
                <w:color w:val="212121"/>
                <w:sz w:val="19"/>
              </w:rPr>
              <w:t>Incomplete immunisation raises the risk of vaccine-preventable causes and mimics of croup — laryngeal diphtheria (“membranous croup”), Haemophilus influenzae type b epiglottitis, and severe influenza and measles-associated croup.</w:t>
            </w:r>
          </w:p>
          <w:p>
            <w:pPr>
              <w:spacing w:after="40" w:before="60" w:line="259" w:lineRule="auto"/>
            </w:pPr>
            <w:r>
              <w:rPr>
                <w:rFonts w:ascii="Calibri" w:hAnsi="Calibri"/>
                <w:b w:val="0"/>
                <w:i w:val="0"/>
                <w:color w:val="212121"/>
                <w:sz w:val="19"/>
              </w:rPr>
              <w:t>Measles and influenza are recognised viral causes of croup; laryngeal diphtheria is an important cause of membranous croup where vaccination coverage is incomplete.</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#immunisation  #diphtheria  #Hib  #measles  #vaccinepreventable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 / breastfeeding</w:t>
            </w:r>
          </w:p>
        </w:tc>
        <w:tc>
          <w:tcPr>
            <w:tcW w:type="dxa" w:w="2160"/>
            <w:vAlign w:val="top"/>
          </w:tcPr>
          <w:p>
            <w:pPr>
              <w:spacing w:after="40" w:before="0" w:line="259" w:lineRule="auto"/>
            </w:pPr>
            <w:r>
              <w:rPr>
                <w:rFonts w:ascii="Calibri" w:hAnsi="Calibri"/>
                <w:b w:val="0"/>
                <w:i w:val="0"/>
                <w:color w:val="212121"/>
                <w:sz w:val="19"/>
              </w:rPr>
              <w:t>Undernourished or non-breastfed infants</w:t>
            </w:r>
          </w:p>
        </w:tc>
        <w:tc>
          <w:tcPr>
            <w:tcW w:type="dxa" w:w="4276"/>
            <w:vAlign w:val="top"/>
          </w:tcPr>
          <w:p>
            <w:pPr>
              <w:spacing w:after="60" w:line="259" w:lineRule="auto"/>
            </w:pPr>
            <w:r>
              <w:rPr>
                <w:rFonts w:ascii="Calibri" w:hAnsi="Calibri"/>
                <w:b w:val="0"/>
                <w:i w:val="0"/>
                <w:color w:val="212121"/>
                <w:sz w:val="19"/>
              </w:rPr>
              <w:t>Undernutrition, vitamin A deficiency and lack of exclusive breastfeeding weaken mucosal and systemic immune defences, increasing the frequency and severity of childhood respiratory infection; this is a supportive rather than a direct cause of croup.</w:t>
            </w:r>
          </w:p>
          <w:p>
            <w:pPr>
              <w:spacing w:after="40" w:before="60" w:line="259" w:lineRule="auto"/>
            </w:pPr>
            <w:r>
              <w:rPr>
                <w:rFonts w:ascii="Calibri" w:hAnsi="Calibri"/>
                <w:b w:val="0"/>
                <w:i w:val="0"/>
                <w:color w:val="212121"/>
                <w:sz w:val="19"/>
              </w:rPr>
              <w:t>Undernutrition is a recognised determinant of acute respiratory infection among Indian under-five children.</w:t>
            </w:r>
          </w:p>
          <w:p>
            <w:pPr>
              <w:spacing w:after="40" w:line="252" w:lineRule="auto"/>
            </w:pPr>
            <w:hyperlink r:id="rId11">
              <w:r>
                <w:rPr>
                  <w:rFonts w:ascii="Calibri" w:hAnsi="Calibri" w:cs="Calibri"/>
                  <w:sz w:val="18"/>
                  <w:color w:val="1155CC"/>
                  <w:u w:val="single"/>
                </w:rPr>
                <w:t xml:space="preserve">pubmed.ncbi.nlm.nih.gov/37280601 — ARI prevalence &amp; determinants, NFHS 2019-21</w:t>
              </w:r>
            </w:hyperlink>
          </w:p>
          <w:p>
            <w:pPr>
              <w:spacing w:before="60" w:after="40"/>
            </w:pPr>
            <w:r>
              <w:rPr>
                <w:rFonts w:ascii="Calibri" w:hAnsi="Calibri"/>
                <w:b w:val="0"/>
                <w:i w:val="0"/>
                <w:color w:val="5A5A5A"/>
                <w:sz w:val="18"/>
              </w:rPr>
              <w:t>#undernutrition  #breastfeeding  #vitaminA  #immunity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atopy</w:t>
            </w:r>
          </w:p>
        </w:tc>
        <w:tc>
          <w:tcPr>
            <w:tcW w:type="dxa" w:w="2160"/>
            <w:vAlign w:val="top"/>
          </w:tcPr>
          <w:p>
            <w:pPr>
              <w:spacing w:after="40" w:before="0" w:line="259" w:lineRule="auto"/>
            </w:pPr>
            <w:r>
              <w:rPr>
                <w:rFonts w:ascii="Calibri" w:hAnsi="Calibri"/>
                <w:b w:val="0"/>
                <w:i w:val="0"/>
                <w:color w:val="212121"/>
                <w:sz w:val="19"/>
              </w:rPr>
              <w:t>Children with atopic / asthmatic family history</w:t>
            </w:r>
          </w:p>
        </w:tc>
        <w:tc>
          <w:tcPr>
            <w:tcW w:type="dxa" w:w="4276"/>
            <w:vAlign w:val="top"/>
          </w:tcPr>
          <w:p>
            <w:pPr>
              <w:spacing w:after="60" w:line="259" w:lineRule="auto"/>
            </w:pPr>
            <w:r>
              <w:rPr>
                <w:rFonts w:ascii="Calibri" w:hAnsi="Calibri"/>
                <w:b w:val="0"/>
                <w:i w:val="0"/>
                <w:color w:val="212121"/>
                <w:sz w:val="19"/>
              </w:rPr>
              <w:t>A personal or family history of atopy, asthma or airway hyperreactivity predisposes to recurrent (spasmodic) croup, in which sudden night-time stridor recurs without a clear viral prodrome.</w:t>
            </w:r>
          </w:p>
          <w:p>
            <w:pPr>
              <w:spacing w:after="40" w:before="60" w:line="259" w:lineRule="auto"/>
            </w:pPr>
            <w:r>
              <w:rPr>
                <w:rFonts w:ascii="Calibri" w:hAnsi="Calibri"/>
                <w:b w:val="0"/>
                <w:i w:val="0"/>
                <w:color w:val="212121"/>
                <w:sz w:val="19"/>
              </w:rPr>
              <w:t>About 5% of children treated for croup as outpatients re-present with recurrent symptoms within 7 days.</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#atopy  #asthma  #spasmodiccroup  #airwayhyperreactivity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airway anomaly</w:t>
            </w:r>
          </w:p>
        </w:tc>
        <w:tc>
          <w:tcPr>
            <w:tcW w:type="dxa" w:w="2160"/>
            <w:vAlign w:val="top"/>
          </w:tcPr>
          <w:p>
            <w:pPr>
              <w:spacing w:after="40" w:before="0" w:line="259" w:lineRule="auto"/>
            </w:pPr>
            <w:r>
              <w:rPr>
                <w:rFonts w:ascii="Calibri" w:hAnsi="Calibri"/>
                <w:b w:val="0"/>
                <w:i w:val="0"/>
                <w:color w:val="212121"/>
                <w:sz w:val="19"/>
              </w:rPr>
              <w:t>Subglottic stenosis / laryngomalacia</w:t>
            </w:r>
          </w:p>
        </w:tc>
        <w:tc>
          <w:tcPr>
            <w:tcW w:type="dxa" w:w="4276"/>
            <w:vAlign w:val="top"/>
          </w:tcPr>
          <w:p>
            <w:pPr>
              <w:spacing w:after="60" w:line="259" w:lineRule="auto"/>
            </w:pPr>
            <w:r>
              <w:rPr>
                <w:rFonts w:ascii="Calibri" w:hAnsi="Calibri"/>
                <w:b w:val="0"/>
                <w:i w:val="0"/>
                <w:color w:val="212121"/>
                <w:sz w:val="19"/>
              </w:rPr>
              <w:t>A congenitally narrow or floppy airway means any added viral oedema causes disproportionate obstruction, so these children develop recurrent or unusually severe croup and often need specialist airway evaluation.</w:t>
            </w:r>
          </w:p>
          <w:p>
            <w:pPr>
              <w:spacing w:after="40" w:before="60" w:line="259" w:lineRule="auto"/>
            </w:pPr>
            <w:r>
              <w:rPr>
                <w:rFonts w:ascii="Calibri" w:hAnsi="Calibri"/>
                <w:b w:val="0"/>
                <w:i w:val="0"/>
                <w:color w:val="212121"/>
                <w:sz w:val="19"/>
              </w:rPr>
              <w:t>Airway abnormalities are found in roughly 10% of children with recurrent croup referred to otolaryngologists.</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#subglotticstenosis  #laryngomalacia  #congenital  #recurrentcroup</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Prematurity / prior intubation</w:t>
            </w:r>
          </w:p>
        </w:tc>
        <w:tc>
          <w:tcPr>
            <w:tcW w:type="dxa" w:w="2160"/>
            <w:vAlign w:val="top"/>
          </w:tcPr>
          <w:p>
            <w:pPr>
              <w:spacing w:after="40" w:before="0" w:line="259" w:lineRule="auto"/>
            </w:pPr>
            <w:r>
              <w:rPr>
                <w:rFonts w:ascii="Calibri" w:hAnsi="Calibri"/>
                <w:b w:val="0"/>
                <w:i w:val="0"/>
                <w:color w:val="212121"/>
                <w:sz w:val="19"/>
              </w:rPr>
              <w:t>Ex-preterm infants with neonatal intubation</w:t>
            </w:r>
          </w:p>
        </w:tc>
        <w:tc>
          <w:tcPr>
            <w:tcW w:type="dxa" w:w="4276"/>
            <w:vAlign w:val="top"/>
          </w:tcPr>
          <w:p>
            <w:pPr>
              <w:spacing w:after="60" w:line="259" w:lineRule="auto"/>
            </w:pPr>
            <w:r>
              <w:rPr>
                <w:rFonts w:ascii="Calibri" w:hAnsi="Calibri"/>
                <w:b w:val="0"/>
                <w:i w:val="0"/>
                <w:color w:val="212121"/>
                <w:sz w:val="19"/>
              </w:rPr>
              <w:t>Neonatal intubation can leave acquired subglottic stenosis, narrowing the airway so that later viral infections present as recurrent or severe croup with a lower threshold for obstruction.</w:t>
            </w:r>
          </w:p>
          <w:p>
            <w:pPr>
              <w:spacing w:after="40" w:before="60" w:line="259" w:lineRule="auto"/>
            </w:pPr>
            <w:r>
              <w:rPr>
                <w:rFonts w:ascii="Calibri" w:hAnsi="Calibri"/>
                <w:b w:val="0"/>
                <w:i w:val="0"/>
                <w:color w:val="212121"/>
                <w:sz w:val="19"/>
              </w:rPr>
              <w:t>Acquired subglottic narrowing after neonatal intubation predisposes ex-preterm infants to recurrent and more severe croup.</w:t>
            </w:r>
          </w:p>
          <w:p>
            <w:pPr>
              <w:spacing w:before="60" w:after="40"/>
            </w:pPr>
            <w:r>
              <w:rPr>
                <w:rFonts w:ascii="Calibri" w:hAnsi="Calibri"/>
                <w:b w:val="0"/>
                <w:i w:val="0"/>
                <w:color w:val="5A5A5A"/>
                <w:sz w:val="18"/>
              </w:rPr>
              <w:t>#prematurity  #neonatalintubation  #acquiredstenosis  #recurrentcroup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Asthma / reactive airway disease</w:t>
            </w:r>
          </w:p>
        </w:tc>
        <w:tc>
          <w:tcPr>
            <w:tcW w:type="dxa" w:w="2160"/>
            <w:vAlign w:val="top"/>
          </w:tcPr>
          <w:p>
            <w:pPr>
              <w:spacing w:after="40" w:before="0" w:line="259" w:lineRule="auto"/>
            </w:pPr>
            <w:r>
              <w:rPr>
                <w:rFonts w:ascii="Calibri" w:hAnsi="Calibri"/>
                <w:b w:val="0"/>
                <w:i w:val="0"/>
                <w:color w:val="212121"/>
                <w:sz w:val="19"/>
              </w:rPr>
              <w:t>Children with asthma or recurrent wheeze</w:t>
            </w:r>
          </w:p>
        </w:tc>
        <w:tc>
          <w:tcPr>
            <w:tcW w:type="dxa" w:w="4276"/>
            <w:vAlign w:val="top"/>
          </w:tcPr>
          <w:p>
            <w:pPr>
              <w:spacing w:after="60" w:line="259" w:lineRule="auto"/>
            </w:pPr>
            <w:r>
              <w:rPr>
                <w:rFonts w:ascii="Calibri" w:hAnsi="Calibri"/>
                <w:b w:val="0"/>
                <w:i w:val="0"/>
                <w:color w:val="212121"/>
                <w:sz w:val="19"/>
              </w:rPr>
              <w:t>Asthma and airway hyperreactivity overlap with spasmodic croup; wheeze and lower-airway involvement can coexist, and recurrent croup is more common in atopic, asthmatic children.</w:t>
            </w:r>
          </w:p>
          <w:p>
            <w:pPr>
              <w:spacing w:after="40" w:before="60" w:line="259" w:lineRule="auto"/>
            </w:pPr>
            <w:r>
              <w:rPr>
                <w:rFonts w:ascii="Calibri" w:hAnsi="Calibri"/>
                <w:b w:val="0"/>
                <w:i w:val="0"/>
                <w:color w:val="212121"/>
                <w:sz w:val="19"/>
              </w:rPr>
              <w:t>Recurrent croup is associated with underlying airway hyperreactivity and atopy.</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#asthma  #reactiveairway  #recurrentcroup  #atopy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Gastro-oesophageal reflux</w:t>
            </w:r>
          </w:p>
        </w:tc>
        <w:tc>
          <w:tcPr>
            <w:tcW w:type="dxa" w:w="2160"/>
            <w:vAlign w:val="top"/>
          </w:tcPr>
          <w:p>
            <w:pPr>
              <w:spacing w:after="40" w:before="0" w:line="259" w:lineRule="auto"/>
            </w:pPr>
            <w:r>
              <w:rPr>
                <w:rFonts w:ascii="Calibri" w:hAnsi="Calibri"/>
                <w:b w:val="0"/>
                <w:i w:val="0"/>
                <w:color w:val="212121"/>
                <w:sz w:val="19"/>
              </w:rPr>
              <w:t>Children with GERD / laryngopharyngeal reflux</w:t>
            </w:r>
          </w:p>
        </w:tc>
        <w:tc>
          <w:tcPr>
            <w:tcW w:type="dxa" w:w="4276"/>
            <w:vAlign w:val="top"/>
          </w:tcPr>
          <w:p>
            <w:pPr>
              <w:spacing w:after="60" w:line="259" w:lineRule="auto"/>
            </w:pPr>
            <w:r>
              <w:rPr>
                <w:rFonts w:ascii="Calibri" w:hAnsi="Calibri"/>
                <w:b w:val="0"/>
                <w:i w:val="0"/>
                <w:color w:val="212121"/>
                <w:sz w:val="19"/>
              </w:rPr>
              <w:t>Reflux of gastric contents causes chronic laryngeal irritation and is associated with recurrent croup; treating reflux can reduce recurrent episodes in some children.</w:t>
            </w:r>
          </w:p>
          <w:p>
            <w:pPr>
              <w:spacing w:after="40" w:before="60" w:line="259" w:lineRule="auto"/>
            </w:pPr>
            <w:r>
              <w:rPr>
                <w:rFonts w:ascii="Calibri" w:hAnsi="Calibri"/>
                <w:b w:val="0"/>
                <w:i w:val="0"/>
                <w:color w:val="212121"/>
                <w:sz w:val="19"/>
              </w:rPr>
              <w:t>Gastro-oesophageal reflux is one recognised association in children with recurrent croup.</w:t>
            </w:r>
          </w:p>
          <w:p>
            <w:pPr>
              <w:spacing w:before="60" w:after="40"/>
            </w:pPr>
            <w:r>
              <w:rPr>
                <w:rFonts w:ascii="Calibri" w:hAnsi="Calibri"/>
                <w:b w:val="0"/>
                <w:i w:val="0"/>
                <w:color w:val="5A5A5A"/>
                <w:sz w:val="18"/>
              </w:rPr>
              <w:t>#GERD  #refluxlaryngitis  #recurrentcroup  #laryngealirritation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w:t>
            </w:r>
          </w:p>
        </w:tc>
        <w:tc>
          <w:tcPr>
            <w:tcW w:type="dxa" w:w="2160"/>
            <w:vAlign w:val="top"/>
          </w:tcPr>
          <w:p>
            <w:pPr>
              <w:spacing w:after="40" w:before="0" w:line="259" w:lineRule="auto"/>
            </w:pPr>
            <w:r>
              <w:rPr>
                <w:rFonts w:ascii="Calibri" w:hAnsi="Calibri"/>
                <w:b w:val="0"/>
                <w:i w:val="0"/>
                <w:color w:val="212121"/>
                <w:sz w:val="19"/>
              </w:rPr>
              <w:t>Immunocompromised children</w:t>
            </w:r>
          </w:p>
        </w:tc>
        <w:tc>
          <w:tcPr>
            <w:tcW w:type="dxa" w:w="4276"/>
            <w:vAlign w:val="top"/>
          </w:tcPr>
          <w:p>
            <w:pPr>
              <w:spacing w:after="60" w:line="259" w:lineRule="auto"/>
            </w:pPr>
            <w:r>
              <w:rPr>
                <w:rFonts w:ascii="Calibri" w:hAnsi="Calibri"/>
                <w:b w:val="0"/>
                <w:i w:val="0"/>
                <w:color w:val="212121"/>
                <w:sz w:val="19"/>
              </w:rPr>
              <w:t>Impaired immunity can lead to more severe, prolonged or atypical viral croup and a higher risk of secondary bacterial infection such as bacterial tracheitis.</w:t>
            </w:r>
          </w:p>
          <w:p>
            <w:pPr>
              <w:spacing w:after="40" w:before="60" w:line="259" w:lineRule="auto"/>
            </w:pPr>
            <w:r>
              <w:rPr>
                <w:rFonts w:ascii="Calibri" w:hAnsi="Calibri"/>
                <w:b w:val="0"/>
                <w:i w:val="0"/>
                <w:color w:val="212121"/>
                <w:sz w:val="19"/>
              </w:rPr>
              <w:t>Secondary bacterial infection and bacterial tracheitis are recognised complications, particularly in vulnerable children.</w:t>
            </w:r>
          </w:p>
          <w:p>
            <w:pPr>
              <w:spacing w:after="40" w:line="252" w:lineRule="auto"/>
            </w:pPr>
            <w:hyperlink r:id="rId9">
              <w:r>
                <w:rPr>
                  <w:rFonts w:ascii="Calibri" w:hAnsi="Calibri" w:cs="Calibri"/>
                  <w:sz w:val="18"/>
                  <w:color w:val="1155CC"/>
                  <w:u w:val="single"/>
                </w:rPr>
                <w:t xml:space="preserve">ncbi.nlm.nih.gov — StatPearls, Croup</w:t>
              </w:r>
            </w:hyperlink>
          </w:p>
          <w:p>
            <w:pPr>
              <w:spacing w:before="60" w:after="40"/>
            </w:pPr>
            <w:r>
              <w:rPr>
                <w:rFonts w:ascii="Calibri" w:hAnsi="Calibri"/>
                <w:b w:val="0"/>
                <w:i w:val="0"/>
                <w:color w:val="5A5A5A"/>
                <w:sz w:val="18"/>
              </w:rPr>
              <w:t>#immunocompromise  #severecroup  #bacterialtracheitis  #superinfection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cause of croup, but exertion, crying and agitation transiently increase airflow turbulence and worsen stridor; keeping the child calm and at rest during an acute episode reduces obstruction.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croup, but exclusive breastfeeding, adequate nutrition and vitamin A support immune defences and reduce the frequency and severity of childhood respiratory infection; maintaining fluid intake aids recovery.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Croup characteristically worsens at night, disrupting the child's (and carers') sleep; stridor occurring at rest during sleep signals at least moderate disease, while restful sleep in a calm environment supports recovery.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Second-hand tobacco smoke and biomass-cooking smoke injure the airway mucosa and are linked to more frequent and more severe childhood respiratory infection; a smoke-free home is an important protective measure.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Not applicable to the affected child; caregivers should nonetheless avoid alcohol or substance use that could impair supervision of an acutely unwell child.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Distress, crying and agitation directly worsen upper-airway obstruction in croup, so keeping the child calm and comforted (often on a caregiver's lap) is a core management principle; caregiver anxiety should be addressed to keep the child settled.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keeps secretions loose and supports recovery, while poor intake plus fever and tachypnoea can cause dehydration; small, frequent fluids are encouraged during the acute illness.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Not applicable to this young-childhood illness.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respiratory etiquette (covering coughs), surface cleaning and keeping unwell children away from others reduce transmission of the viruses that cause croup; good hygiene is central to prevention.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Episodes are provoked by viral upper-respiratory infection, the autumn–winter season, crying and agitation, cold night air, and (in spasmodic croup) allergens and airway hyperreactivity.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Children instinctively adopt a comfortable, usually upright position; they should be allowed to stay in the position of comfort and never forced to lie flat, as distress and supine posture can worsen obstruction.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Westley croup score (0–17)</w:t>
            </w:r>
          </w:p>
        </w:tc>
        <w:tc>
          <w:tcPr>
            <w:tcW w:type="dxa" w:w="1655"/>
            <w:vAlign w:val="top"/>
          </w:tcPr>
          <w:p>
            <w:pPr>
              <w:spacing w:after="40" w:before="0" w:line="259" w:lineRule="auto"/>
            </w:pPr>
            <w:r>
              <w:rPr>
                <w:rFonts w:ascii="Calibri" w:hAnsi="Calibri"/>
                <w:b w:val="0"/>
                <w:i w:val="0"/>
                <w:color w:val="212121"/>
                <w:sz w:val="19"/>
              </w:rPr>
              <w:t>All children with croup</w:t>
            </w:r>
          </w:p>
        </w:tc>
        <w:tc>
          <w:tcPr>
            <w:tcW w:type="dxa" w:w="1512"/>
            <w:vAlign w:val="top"/>
          </w:tcPr>
          <w:p>
            <w:pPr>
              <w:spacing w:after="40" w:before="0" w:line="259" w:lineRule="auto"/>
            </w:pPr>
            <w:r>
              <w:rPr>
                <w:rFonts w:ascii="Calibri" w:hAnsi="Calibri"/>
                <w:b w:val="0"/>
                <w:i w:val="0"/>
                <w:color w:val="212121"/>
                <w:sz w:val="19"/>
              </w:rPr>
              <w:t>≤ 2 (mild)</w:t>
            </w:r>
          </w:p>
        </w:tc>
        <w:tc>
          <w:tcPr>
            <w:tcW w:type="dxa" w:w="1512"/>
            <w:vAlign w:val="top"/>
          </w:tcPr>
          <w:p>
            <w:pPr>
              <w:spacing w:after="40" w:before="0" w:line="259" w:lineRule="auto"/>
            </w:pPr>
            <w:r>
              <w:rPr>
                <w:rFonts w:ascii="Calibri" w:hAnsi="Calibri"/>
                <w:b w:val="0"/>
                <w:i w:val="0"/>
                <w:color w:val="212121"/>
                <w:sz w:val="19"/>
              </w:rPr>
              <w:t>3–7 moderate; 8–11 severe; ≥ 12 impending respiratory failure</w:t>
            </w:r>
          </w:p>
        </w:tc>
        <w:tc>
          <w:tcPr>
            <w:tcW w:type="dxa" w:w="1468"/>
            <w:vAlign w:val="top"/>
          </w:tcPr>
          <w:p>
            <w:pPr>
              <w:spacing w:after="60" w:line="259" w:lineRule="auto"/>
            </w:pPr>
            <w:r>
              <w:rPr>
                <w:rFonts w:ascii="Calibri" w:hAnsi="Calibri"/>
                <w:b w:val="0"/>
                <w:i w:val="0"/>
                <w:color w:val="212121"/>
                <w:sz w:val="19"/>
              </w:rPr>
              <w:t>Standardised severity score (consciousness, cyanosis, stridor, air entry, retractions) guiding therapy and disposition</w:t>
            </w:r>
          </w:p>
          <w:p>
            <w:pPr>
              <w:spacing w:after="40" w:line="252" w:lineRule="auto"/>
            </w:pPr>
            <w:hyperlink r:id="rId10">
              <w:r>
                <w:rPr>
                  <w:rFonts w:ascii="Calibri" w:hAnsi="Calibri" w:cs="Calibri"/>
                  <w:sz w:val="18"/>
                  <w:color w:val="1155CC"/>
                  <w:u w:val="single"/>
                </w:rPr>
                <w:t xml:space="preserve">https://www.aafp.org/pubs/afp/issues/2018/0501/p575.html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Oxygen saturation (SpO₂, room air)</w:t>
            </w:r>
          </w:p>
        </w:tc>
        <w:tc>
          <w:tcPr>
            <w:tcW w:type="dxa" w:w="1655"/>
            <w:vAlign w:val="top"/>
          </w:tcPr>
          <w:p>
            <w:pPr>
              <w:spacing w:after="40" w:before="0" w:line="259" w:lineRule="auto"/>
            </w:pPr>
            <w:r>
              <w:rPr>
                <w:rFonts w:ascii="Calibri" w:hAnsi="Calibri"/>
                <w:b w:val="0"/>
                <w:i w:val="0"/>
                <w:color w:val="212121"/>
                <w:sz w:val="19"/>
              </w:rPr>
              <w:t>All children with croup</w:t>
            </w:r>
          </w:p>
        </w:tc>
        <w:tc>
          <w:tcPr>
            <w:tcW w:type="dxa" w:w="1512"/>
            <w:vAlign w:val="top"/>
          </w:tcPr>
          <w:p>
            <w:pPr>
              <w:spacing w:after="40" w:before="0" w:line="259" w:lineRule="auto"/>
            </w:pPr>
            <w:r>
              <w:rPr>
                <w:rFonts w:ascii="Calibri" w:hAnsi="Calibri"/>
                <w:b w:val="0"/>
                <w:i w:val="0"/>
                <w:color w:val="212121"/>
                <w:sz w:val="19"/>
              </w:rPr>
              <w:t>≥ 94–95%</w:t>
            </w:r>
          </w:p>
        </w:tc>
        <w:tc>
          <w:tcPr>
            <w:tcW w:type="dxa" w:w="1512"/>
            <w:vAlign w:val="top"/>
          </w:tcPr>
          <w:p>
            <w:pPr>
              <w:spacing w:after="40" w:before="0" w:line="259" w:lineRule="auto"/>
            </w:pPr>
            <w:r>
              <w:rPr>
                <w:rFonts w:ascii="Calibri" w:hAnsi="Calibri"/>
                <w:b w:val="0"/>
                <w:i w:val="0"/>
                <w:color w:val="212121"/>
                <w:sz w:val="19"/>
              </w:rPr>
              <w:t>&lt; 92% (hypoxaemia)</w:t>
            </w:r>
          </w:p>
        </w:tc>
        <w:tc>
          <w:tcPr>
            <w:tcW w:type="dxa" w:w="1468"/>
            <w:vAlign w:val="top"/>
          </w:tcPr>
          <w:p>
            <w:pPr>
              <w:spacing w:after="60" w:line="259" w:lineRule="auto"/>
            </w:pPr>
            <w:r>
              <w:rPr>
                <w:rFonts w:ascii="Calibri" w:hAnsi="Calibri"/>
                <w:b w:val="0"/>
                <w:i w:val="0"/>
                <w:color w:val="212121"/>
                <w:sz w:val="19"/>
              </w:rPr>
              <w:t>Hypoxia is a late sign of severe obstruction and mandates urgent treatment</w:t>
            </w:r>
          </w:p>
          <w:p>
            <w:pPr>
              <w:spacing w:after="40" w:line="252" w:lineRule="auto"/>
            </w:pPr>
            <w:hyperlink r:id="rId9">
              <w:r>
                <w:rPr>
                  <w:rFonts w:ascii="Calibri" w:hAnsi="Calibri" w:cs="Calibri"/>
                  <w:sz w:val="18"/>
                  <w:color w:val="1155CC"/>
                  <w:u w:val="single"/>
                </w:rPr>
                <w:t xml:space="preserve">https://www.ncbi.nlm.nih.gov/books/NBK431070/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Respiratory rate &amp; work of breathing</w:t>
            </w:r>
          </w:p>
        </w:tc>
        <w:tc>
          <w:tcPr>
            <w:tcW w:type="dxa" w:w="1655"/>
            <w:vAlign w:val="top"/>
          </w:tcPr>
          <w:p>
            <w:pPr>
              <w:spacing w:after="40" w:before="0" w:line="259" w:lineRule="auto"/>
            </w:pPr>
            <w:r>
              <w:rPr>
                <w:rFonts w:ascii="Calibri" w:hAnsi="Calibri"/>
                <w:b w:val="0"/>
                <w:i w:val="0"/>
                <w:color w:val="212121"/>
                <w:sz w:val="19"/>
              </w:rPr>
              <w:t>Infants &amp; toddlers</w:t>
            </w:r>
          </w:p>
        </w:tc>
        <w:tc>
          <w:tcPr>
            <w:tcW w:type="dxa" w:w="1512"/>
            <w:vAlign w:val="top"/>
          </w:tcPr>
          <w:p>
            <w:pPr>
              <w:spacing w:after="40" w:before="0" w:line="259" w:lineRule="auto"/>
            </w:pPr>
            <w:r>
              <w:rPr>
                <w:rFonts w:ascii="Calibri" w:hAnsi="Calibri"/>
                <w:b w:val="0"/>
                <w:i w:val="0"/>
                <w:color w:val="212121"/>
                <w:sz w:val="19"/>
              </w:rPr>
              <w:t>Age-appropriate rate, no retractions</w:t>
            </w:r>
          </w:p>
        </w:tc>
        <w:tc>
          <w:tcPr>
            <w:tcW w:type="dxa" w:w="1512"/>
            <w:vAlign w:val="top"/>
          </w:tcPr>
          <w:p>
            <w:pPr>
              <w:spacing w:after="40" w:before="0" w:line="259" w:lineRule="auto"/>
            </w:pPr>
            <w:r>
              <w:rPr>
                <w:rFonts w:ascii="Calibri" w:hAnsi="Calibri"/>
                <w:b w:val="0"/>
                <w:i w:val="0"/>
                <w:color w:val="212121"/>
                <w:sz w:val="19"/>
              </w:rPr>
              <w:t>Tachypnoea, nasal flaring, retractions, stridor at rest</w:t>
            </w:r>
          </w:p>
        </w:tc>
        <w:tc>
          <w:tcPr>
            <w:tcW w:type="dxa" w:w="1468"/>
            <w:vAlign w:val="top"/>
          </w:tcPr>
          <w:p>
            <w:pPr>
              <w:spacing w:after="40" w:before="0" w:line="259" w:lineRule="auto"/>
            </w:pPr>
            <w:r>
              <w:rPr>
                <w:rFonts w:ascii="Calibri" w:hAnsi="Calibri"/>
                <w:b w:val="0"/>
                <w:i w:val="0"/>
                <w:color w:val="212121"/>
                <w:sz w:val="19"/>
              </w:rPr>
              <w:t>Rising effort and stridor at rest indicate moderate-to-severe croup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Temperature &amp; toxic appearance</w:t>
            </w:r>
          </w:p>
        </w:tc>
        <w:tc>
          <w:tcPr>
            <w:tcW w:type="dxa" w:w="1655"/>
            <w:vAlign w:val="top"/>
          </w:tcPr>
          <w:p>
            <w:pPr>
              <w:spacing w:after="40" w:before="0" w:line="259" w:lineRule="auto"/>
            </w:pPr>
            <w:r>
              <w:rPr>
                <w:rFonts w:ascii="Calibri" w:hAnsi="Calibri"/>
                <w:b w:val="0"/>
                <w:i w:val="0"/>
                <w:color w:val="212121"/>
                <w:sz w:val="19"/>
              </w:rPr>
              <w:t>All children with croup</w:t>
            </w:r>
          </w:p>
        </w:tc>
        <w:tc>
          <w:tcPr>
            <w:tcW w:type="dxa" w:w="1512"/>
            <w:vAlign w:val="top"/>
          </w:tcPr>
          <w:p>
            <w:pPr>
              <w:spacing w:after="40" w:before="0" w:line="259" w:lineRule="auto"/>
            </w:pPr>
            <w:r>
              <w:rPr>
                <w:rFonts w:ascii="Calibri" w:hAnsi="Calibri"/>
                <w:b w:val="0"/>
                <w:i w:val="0"/>
                <w:color w:val="212121"/>
                <w:sz w:val="19"/>
              </w:rPr>
              <w:t>Afebrile or low-grade fever, well-appearing</w:t>
            </w:r>
          </w:p>
        </w:tc>
        <w:tc>
          <w:tcPr>
            <w:tcW w:type="dxa" w:w="1512"/>
            <w:vAlign w:val="top"/>
          </w:tcPr>
          <w:p>
            <w:pPr>
              <w:spacing w:after="40" w:before="0" w:line="259" w:lineRule="auto"/>
            </w:pPr>
            <w:r>
              <w:rPr>
                <w:rFonts w:ascii="Calibri" w:hAnsi="Calibri"/>
                <w:b w:val="0"/>
                <w:i w:val="0"/>
                <w:color w:val="212121"/>
                <w:sz w:val="19"/>
              </w:rPr>
              <w:t>High fever with toxic, ill appearance</w:t>
            </w:r>
          </w:p>
        </w:tc>
        <w:tc>
          <w:tcPr>
            <w:tcW w:type="dxa" w:w="1468"/>
            <w:vAlign w:val="top"/>
          </w:tcPr>
          <w:p>
            <w:pPr>
              <w:spacing w:after="60" w:line="259" w:lineRule="auto"/>
            </w:pPr>
            <w:r>
              <w:rPr>
                <w:rFonts w:ascii="Calibri" w:hAnsi="Calibri"/>
                <w:b w:val="0"/>
                <w:i w:val="0"/>
                <w:color w:val="212121"/>
                <w:sz w:val="19"/>
              </w:rPr>
              <w:t>High fever with toxaemia and poor steroid response suggests bacterial tracheitis</w:t>
            </w:r>
          </w:p>
          <w:p>
            <w:pPr>
              <w:spacing w:after="40" w:line="252" w:lineRule="auto"/>
            </w:pPr>
            <w:hyperlink r:id="rId9">
              <w:r>
                <w:rPr>
                  <w:rFonts w:ascii="Calibri" w:hAnsi="Calibri" w:cs="Calibri"/>
                  <w:sz w:val="18"/>
                  <w:color w:val="1155CC"/>
                  <w:u w:val="single"/>
                </w:rPr>
                <w:t xml:space="preserve">https://www.ncbi.nlm.nih.gov/books/NBK431070/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 / biomass smoke exposure</w:t>
            </w:r>
          </w:p>
        </w:tc>
        <w:tc>
          <w:tcPr>
            <w:tcW w:type="dxa" w:w="1655"/>
            <w:vAlign w:val="top"/>
          </w:tcPr>
          <w:p>
            <w:pPr>
              <w:spacing w:after="40" w:before="0" w:line="259" w:lineRule="auto"/>
            </w:pPr>
            <w:r>
              <w:rPr>
                <w:rFonts w:ascii="Calibri" w:hAnsi="Calibri"/>
                <w:b w:val="0"/>
                <w:i w:val="0"/>
                <w:color w:val="212121"/>
                <w:sz w:val="19"/>
              </w:rPr>
              <w:t>Children of smokers or solid-fuel homes</w:t>
            </w:r>
          </w:p>
        </w:tc>
        <w:tc>
          <w:tcPr>
            <w:tcW w:type="dxa" w:w="1512"/>
            <w:vAlign w:val="top"/>
          </w:tcPr>
          <w:p>
            <w:pPr>
              <w:spacing w:after="40" w:before="0" w:line="259" w:lineRule="auto"/>
            </w:pPr>
            <w:r>
              <w:rPr>
                <w:rFonts w:ascii="Calibri" w:hAnsi="Calibri"/>
                <w:b w:val="0"/>
                <w:i w:val="0"/>
                <w:color w:val="212121"/>
                <w:sz w:val="19"/>
              </w:rPr>
              <w:t>Zero exposure (smoke-free home)</w:t>
            </w:r>
          </w:p>
        </w:tc>
        <w:tc>
          <w:tcPr>
            <w:tcW w:type="dxa" w:w="1512"/>
            <w:vAlign w:val="top"/>
          </w:tcPr>
          <w:p>
            <w:pPr>
              <w:spacing w:after="40" w:before="0" w:line="259" w:lineRule="auto"/>
            </w:pPr>
            <w:r>
              <w:rPr>
                <w:rFonts w:ascii="Calibri" w:hAnsi="Calibri"/>
                <w:b w:val="0"/>
                <w:i w:val="0"/>
                <w:color w:val="212121"/>
                <w:sz w:val="19"/>
              </w:rPr>
              <w:t>Any second-hand or biomass smoke exposure</w:t>
            </w:r>
          </w:p>
        </w:tc>
        <w:tc>
          <w:tcPr>
            <w:tcW w:type="dxa" w:w="1468"/>
            <w:vAlign w:val="top"/>
          </w:tcPr>
          <w:p>
            <w:pPr>
              <w:spacing w:after="60" w:line="259" w:lineRule="auto"/>
            </w:pPr>
            <w:r>
              <w:rPr>
                <w:rFonts w:ascii="Calibri" w:hAnsi="Calibri"/>
                <w:b w:val="0"/>
                <w:i w:val="0"/>
                <w:color w:val="212121"/>
                <w:sz w:val="19"/>
              </w:rPr>
              <w:t>Smoke exposure increases the frequency and severity of childhood respiratory infection</w:t>
            </w:r>
          </w:p>
          <w:p>
            <w:pPr>
              <w:spacing w:after="40" w:line="252" w:lineRule="auto"/>
            </w:pPr>
            <w:hyperlink r:id="rId12">
              <w:r>
                <w:rPr>
                  <w:rFonts w:ascii="Calibri" w:hAnsi="Calibri" w:cs="Calibri"/>
                  <w:sz w:val="18"/>
                  <w:color w:val="1155CC"/>
                  <w:u w:val="single"/>
                </w:rPr>
                <w:t xml:space="preserve">https://pubmed.ncbi.nlm.nih.gov/32797105/</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 hygiene &amp; respiratory etiquette</w:t>
            </w:r>
          </w:p>
        </w:tc>
        <w:tc>
          <w:tcPr>
            <w:tcW w:type="dxa" w:w="1655"/>
            <w:vAlign w:val="top"/>
          </w:tcPr>
          <w:p>
            <w:pPr>
              <w:spacing w:after="40" w:before="0" w:line="259" w:lineRule="auto"/>
            </w:pPr>
            <w:r>
              <w:rPr>
                <w:rFonts w:ascii="Calibri" w:hAnsi="Calibri"/>
                <w:b w:val="0"/>
                <w:i w:val="0"/>
                <w:color w:val="212121"/>
                <w:sz w:val="19"/>
              </w:rPr>
              <w:t>Caregivers &amp; children</w:t>
            </w:r>
          </w:p>
        </w:tc>
        <w:tc>
          <w:tcPr>
            <w:tcW w:type="dxa" w:w="1512"/>
            <w:vAlign w:val="top"/>
          </w:tcPr>
          <w:p>
            <w:pPr>
              <w:spacing w:after="40" w:before="0" w:line="259" w:lineRule="auto"/>
            </w:pPr>
            <w:r>
              <w:rPr>
                <w:rFonts w:ascii="Calibri" w:hAnsi="Calibri"/>
                <w:b w:val="0"/>
                <w:i w:val="0"/>
                <w:color w:val="212121"/>
                <w:sz w:val="19"/>
              </w:rPr>
              <w:t>Regular handwashing; cough covering</w:t>
            </w:r>
          </w:p>
        </w:tc>
        <w:tc>
          <w:tcPr>
            <w:tcW w:type="dxa" w:w="1512"/>
            <w:vAlign w:val="top"/>
          </w:tcPr>
          <w:p>
            <w:pPr>
              <w:spacing w:after="40" w:before="0" w:line="259" w:lineRule="auto"/>
            </w:pPr>
            <w:r>
              <w:rPr>
                <w:rFonts w:ascii="Calibri" w:hAnsi="Calibri"/>
                <w:b w:val="0"/>
                <w:i w:val="0"/>
                <w:color w:val="212121"/>
                <w:sz w:val="19"/>
              </w:rPr>
              <w:t>Poor hygiene, crowding, unwashed hands</w:t>
            </w:r>
          </w:p>
        </w:tc>
        <w:tc>
          <w:tcPr>
            <w:tcW w:type="dxa" w:w="1468"/>
            <w:vAlign w:val="top"/>
          </w:tcPr>
          <w:p>
            <w:pPr>
              <w:spacing w:after="60" w:line="259" w:lineRule="auto"/>
            </w:pPr>
            <w:r>
              <w:rPr>
                <w:rFonts w:ascii="Calibri" w:hAnsi="Calibri"/>
                <w:b w:val="0"/>
                <w:i w:val="0"/>
                <w:color w:val="212121"/>
                <w:sz w:val="19"/>
              </w:rPr>
              <w:t>Reduces droplet and contact spread of croup-causing viruses</w:t>
            </w:r>
          </w:p>
          <w:p>
            <w:pPr>
              <w:spacing w:after="40" w:line="252" w:lineRule="auto"/>
            </w:pPr>
            <w:hyperlink r:id="rId9">
              <w:r>
                <w:rPr>
                  <w:rFonts w:ascii="Calibri" w:hAnsi="Calibri" w:cs="Calibri"/>
                  <w:sz w:val="18"/>
                  <w:color w:val="1155CC"/>
                  <w:u w:val="single"/>
                </w:rPr>
                <w:t xml:space="preserve">https://www.ncbi.nlm.nih.gov/books/NBK431070/</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Oral hydration</w:t>
            </w:r>
          </w:p>
        </w:tc>
        <w:tc>
          <w:tcPr>
            <w:tcW w:type="dxa" w:w="1655"/>
            <w:vAlign w:val="top"/>
          </w:tcPr>
          <w:p>
            <w:pPr>
              <w:spacing w:after="40" w:before="0" w:line="259" w:lineRule="auto"/>
            </w:pPr>
            <w:r>
              <w:rPr>
                <w:rFonts w:ascii="Calibri" w:hAnsi="Calibri"/>
                <w:b w:val="0"/>
                <w:i w:val="0"/>
                <w:color w:val="212121"/>
                <w:sz w:val="19"/>
              </w:rPr>
              <w:t>All children with croup</w:t>
            </w:r>
          </w:p>
        </w:tc>
        <w:tc>
          <w:tcPr>
            <w:tcW w:type="dxa" w:w="1512"/>
            <w:vAlign w:val="top"/>
          </w:tcPr>
          <w:p>
            <w:pPr>
              <w:spacing w:after="40" w:before="0" w:line="259" w:lineRule="auto"/>
            </w:pPr>
            <w:r>
              <w:rPr>
                <w:rFonts w:ascii="Calibri" w:hAnsi="Calibri"/>
                <w:b w:val="0"/>
                <w:i w:val="0"/>
                <w:color w:val="212121"/>
                <w:sz w:val="19"/>
              </w:rPr>
              <w:t>Maintained age-appropriate fluid intake</w:t>
            </w:r>
          </w:p>
        </w:tc>
        <w:tc>
          <w:tcPr>
            <w:tcW w:type="dxa" w:w="1512"/>
            <w:vAlign w:val="top"/>
          </w:tcPr>
          <w:p>
            <w:pPr>
              <w:spacing w:after="40" w:before="0" w:line="259" w:lineRule="auto"/>
            </w:pPr>
            <w:r>
              <w:rPr>
                <w:rFonts w:ascii="Calibri" w:hAnsi="Calibri"/>
                <w:b w:val="0"/>
                <w:i w:val="0"/>
                <w:color w:val="212121"/>
                <w:sz w:val="19"/>
              </w:rPr>
              <w:t>Reduced intake with signs of dehydration</w:t>
            </w:r>
          </w:p>
        </w:tc>
        <w:tc>
          <w:tcPr>
            <w:tcW w:type="dxa" w:w="1468"/>
            <w:vAlign w:val="top"/>
          </w:tcPr>
          <w:p>
            <w:pPr>
              <w:spacing w:after="40" w:before="0" w:line="259" w:lineRule="auto"/>
            </w:pPr>
            <w:r>
              <w:rPr>
                <w:rFonts w:ascii="Calibri" w:hAnsi="Calibri"/>
                <w:b w:val="0"/>
                <w:i w:val="0"/>
                <w:color w:val="212121"/>
                <w:sz w:val="19"/>
              </w:rPr>
              <w:t>Adequate fluids keep secretions loose and prevent dehydration during fever and tachypnoea</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Night-time stridor monitoring</w:t>
            </w:r>
          </w:p>
        </w:tc>
        <w:tc>
          <w:tcPr>
            <w:tcW w:type="dxa" w:w="1655"/>
            <w:vAlign w:val="top"/>
          </w:tcPr>
          <w:p>
            <w:pPr>
              <w:spacing w:after="40" w:before="0" w:line="259" w:lineRule="auto"/>
            </w:pPr>
            <w:r>
              <w:rPr>
                <w:rFonts w:ascii="Calibri" w:hAnsi="Calibri"/>
                <w:b w:val="0"/>
                <w:i w:val="0"/>
                <w:color w:val="212121"/>
                <w:sz w:val="19"/>
              </w:rPr>
              <w:t>All children with croup</w:t>
            </w:r>
          </w:p>
        </w:tc>
        <w:tc>
          <w:tcPr>
            <w:tcW w:type="dxa" w:w="1512"/>
            <w:vAlign w:val="top"/>
          </w:tcPr>
          <w:p>
            <w:pPr>
              <w:spacing w:after="40" w:before="0" w:line="259" w:lineRule="auto"/>
            </w:pPr>
            <w:r>
              <w:rPr>
                <w:rFonts w:ascii="Calibri" w:hAnsi="Calibri"/>
                <w:b w:val="0"/>
                <w:i w:val="0"/>
                <w:color w:val="212121"/>
                <w:sz w:val="19"/>
              </w:rPr>
              <w:t>Restful sleep, no stridor at rest</w:t>
            </w:r>
          </w:p>
        </w:tc>
        <w:tc>
          <w:tcPr>
            <w:tcW w:type="dxa" w:w="1512"/>
            <w:vAlign w:val="top"/>
          </w:tcPr>
          <w:p>
            <w:pPr>
              <w:spacing w:after="40" w:before="0" w:line="259" w:lineRule="auto"/>
            </w:pPr>
            <w:r>
              <w:rPr>
                <w:rFonts w:ascii="Calibri" w:hAnsi="Calibri"/>
                <w:b w:val="0"/>
                <w:i w:val="0"/>
                <w:color w:val="212121"/>
                <w:sz w:val="19"/>
              </w:rPr>
              <w:t>Stridor at rest waking the child</w:t>
            </w:r>
          </w:p>
        </w:tc>
        <w:tc>
          <w:tcPr>
            <w:tcW w:type="dxa" w:w="1468"/>
            <w:vAlign w:val="top"/>
          </w:tcPr>
          <w:p>
            <w:pPr>
              <w:spacing w:after="40" w:before="0" w:line="259" w:lineRule="auto"/>
            </w:pPr>
            <w:r>
              <w:rPr>
                <w:rFonts w:ascii="Calibri" w:hAnsi="Calibri"/>
                <w:b w:val="0"/>
                <w:i w:val="0"/>
                <w:color w:val="212121"/>
                <w:sz w:val="19"/>
              </w:rPr>
              <w:t>Symptoms characteristically worsen at night; stridor at rest signals moderate-or-worse disease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Agitation / distress level</w:t>
            </w:r>
          </w:p>
        </w:tc>
        <w:tc>
          <w:tcPr>
            <w:tcW w:type="dxa" w:w="1655"/>
            <w:vAlign w:val="top"/>
          </w:tcPr>
          <w:p>
            <w:pPr>
              <w:spacing w:after="40" w:before="0" w:line="259" w:lineRule="auto"/>
            </w:pPr>
            <w:r>
              <w:rPr>
                <w:rFonts w:ascii="Calibri" w:hAnsi="Calibri"/>
                <w:b w:val="0"/>
                <w:i w:val="0"/>
                <w:color w:val="212121"/>
                <w:sz w:val="19"/>
              </w:rPr>
              <w:t>All children with croup</w:t>
            </w:r>
          </w:p>
        </w:tc>
        <w:tc>
          <w:tcPr>
            <w:tcW w:type="dxa" w:w="1512"/>
            <w:vAlign w:val="top"/>
          </w:tcPr>
          <w:p>
            <w:pPr>
              <w:spacing w:after="40" w:before="0" w:line="259" w:lineRule="auto"/>
            </w:pPr>
            <w:r>
              <w:rPr>
                <w:rFonts w:ascii="Calibri" w:hAnsi="Calibri"/>
                <w:b w:val="0"/>
                <w:i w:val="0"/>
                <w:color w:val="212121"/>
                <w:sz w:val="19"/>
              </w:rPr>
              <w:t>Calm, comfortable child</w:t>
            </w:r>
          </w:p>
        </w:tc>
        <w:tc>
          <w:tcPr>
            <w:tcW w:type="dxa" w:w="1512"/>
            <w:vAlign w:val="top"/>
          </w:tcPr>
          <w:p>
            <w:pPr>
              <w:spacing w:after="40" w:before="0" w:line="259" w:lineRule="auto"/>
            </w:pPr>
            <w:r>
              <w:rPr>
                <w:rFonts w:ascii="Calibri" w:hAnsi="Calibri"/>
                <w:b w:val="0"/>
                <w:i w:val="0"/>
                <w:color w:val="212121"/>
                <w:sz w:val="19"/>
              </w:rPr>
              <w:t>Crying/agitation that worsens stridor</w:t>
            </w:r>
          </w:p>
        </w:tc>
        <w:tc>
          <w:tcPr>
            <w:tcW w:type="dxa" w:w="1468"/>
            <w:vAlign w:val="top"/>
          </w:tcPr>
          <w:p>
            <w:pPr>
              <w:spacing w:after="40" w:before="0" w:line="259" w:lineRule="auto"/>
            </w:pPr>
            <w:r>
              <w:rPr>
                <w:rFonts w:ascii="Calibri" w:hAnsi="Calibri"/>
                <w:b w:val="0"/>
                <w:i w:val="0"/>
                <w:color w:val="212121"/>
                <w:sz w:val="19"/>
              </w:rPr>
              <w:t>Minimising distress reduces airway obstruction; avoid unnecessary upsetting procedures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Immunisation &amp; breastfeeding status</w:t>
            </w:r>
          </w:p>
        </w:tc>
        <w:tc>
          <w:tcPr>
            <w:tcW w:type="dxa" w:w="1655"/>
            <w:vAlign w:val="top"/>
          </w:tcPr>
          <w:p>
            <w:pPr>
              <w:spacing w:after="40" w:before="0" w:line="259" w:lineRule="auto"/>
            </w:pPr>
            <w:r>
              <w:rPr>
                <w:rFonts w:ascii="Calibri" w:hAnsi="Calibri"/>
                <w:b w:val="0"/>
                <w:i w:val="0"/>
                <w:color w:val="212121"/>
                <w:sz w:val="19"/>
              </w:rPr>
              <w:t>Infants &amp; young children</w:t>
            </w:r>
          </w:p>
        </w:tc>
        <w:tc>
          <w:tcPr>
            <w:tcW w:type="dxa" w:w="1512"/>
            <w:vAlign w:val="top"/>
          </w:tcPr>
          <w:p>
            <w:pPr>
              <w:spacing w:after="40" w:before="0" w:line="259" w:lineRule="auto"/>
            </w:pPr>
            <w:r>
              <w:rPr>
                <w:rFonts w:ascii="Calibri" w:hAnsi="Calibri"/>
                <w:b w:val="0"/>
                <w:i w:val="0"/>
                <w:color w:val="212121"/>
                <w:sz w:val="19"/>
              </w:rPr>
              <w:t>Age-appropriate vaccines; exclusive breastfeeding to 6 months</w:t>
            </w:r>
          </w:p>
        </w:tc>
        <w:tc>
          <w:tcPr>
            <w:tcW w:type="dxa" w:w="1512"/>
            <w:vAlign w:val="top"/>
          </w:tcPr>
          <w:p>
            <w:pPr>
              <w:spacing w:after="40" w:before="0" w:line="259" w:lineRule="auto"/>
            </w:pPr>
            <w:r>
              <w:rPr>
                <w:rFonts w:ascii="Calibri" w:hAnsi="Calibri"/>
                <w:b w:val="0"/>
                <w:i w:val="0"/>
                <w:color w:val="212121"/>
                <w:sz w:val="19"/>
              </w:rPr>
              <w:t>Incomplete immunisation / not breastfed</w:t>
            </w:r>
          </w:p>
        </w:tc>
        <w:tc>
          <w:tcPr>
            <w:tcW w:type="dxa" w:w="1468"/>
            <w:vAlign w:val="top"/>
          </w:tcPr>
          <w:p>
            <w:pPr>
              <w:spacing w:after="40" w:before="0" w:line="259" w:lineRule="auto"/>
            </w:pPr>
            <w:r>
              <w:rPr>
                <w:rFonts w:ascii="Calibri" w:hAnsi="Calibri"/>
                <w:b w:val="0"/>
                <w:i w:val="0"/>
                <w:color w:val="212121"/>
                <w:sz w:val="19"/>
              </w:rPr>
              <w:t>Reduce vaccine-preventable causes/mimics and support immune defences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 monitoring</w:t>
            </w:r>
          </w:p>
        </w:tc>
        <w:tc>
          <w:tcPr>
            <w:tcW w:type="dxa" w:w="1036"/>
            <w:vAlign w:val="top"/>
          </w:tcPr>
          <w:p>
            <w:pPr>
              <w:spacing w:after="40" w:before="0" w:line="259" w:lineRule="auto"/>
            </w:pPr>
            <w:r>
              <w:rPr>
                <w:rFonts w:ascii="Calibri" w:hAnsi="Calibri"/>
                <w:b w:val="0"/>
                <w:i w:val="0"/>
                <w:color w:val="212121"/>
                <w:sz w:val="16"/>
              </w:rPr>
              <w:t>Pulse oximetry (SpO₂)</w:t>
            </w:r>
          </w:p>
        </w:tc>
        <w:tc>
          <w:tcPr>
            <w:tcW w:type="dxa" w:w="892"/>
            <w:vAlign w:val="top"/>
          </w:tcPr>
          <w:p>
            <w:pPr>
              <w:spacing w:after="40" w:before="0" w:line="259" w:lineRule="auto"/>
            </w:pPr>
            <w:r>
              <w:rPr>
                <w:rFonts w:ascii="Calibri" w:hAnsi="Calibri"/>
                <w:b w:val="0"/>
                <w:i w:val="0"/>
                <w:color w:val="212121"/>
                <w:sz w:val="16"/>
              </w:rPr>
              <w:t>Vital-sign monitoring</w:t>
            </w:r>
          </w:p>
        </w:tc>
        <w:tc>
          <w:tcPr>
            <w:tcW w:type="dxa" w:w="950"/>
            <w:vAlign w:val="top"/>
          </w:tcPr>
          <w:p>
            <w:pPr>
              <w:spacing w:after="40" w:before="0" w:line="259" w:lineRule="auto"/>
            </w:pPr>
            <w:r>
              <w:rPr>
                <w:rFonts w:ascii="Calibri" w:hAnsi="Calibri"/>
                <w:b w:val="0"/>
                <w:i w:val="0"/>
                <w:color w:val="212121"/>
                <w:sz w:val="16"/>
              </w:rPr>
              <w:t>≥ 94–95% on room air</w:t>
            </w:r>
          </w:p>
        </w:tc>
        <w:tc>
          <w:tcPr>
            <w:tcW w:type="dxa" w:w="950"/>
            <w:vAlign w:val="top"/>
          </w:tcPr>
          <w:p>
            <w:pPr>
              <w:spacing w:after="40" w:before="0" w:line="259" w:lineRule="auto"/>
            </w:pPr>
            <w:r>
              <w:rPr>
                <w:rFonts w:ascii="Calibri" w:hAnsi="Calibri"/>
                <w:b w:val="0"/>
                <w:i w:val="0"/>
                <w:color w:val="212121"/>
                <w:sz w:val="16"/>
              </w:rPr>
              <w:t>&lt; 92% (hypoxaemia)</w:t>
            </w:r>
          </w:p>
        </w:tc>
        <w:tc>
          <w:tcPr>
            <w:tcW w:type="dxa" w:w="1036"/>
            <w:vAlign w:val="top"/>
          </w:tcPr>
          <w:p>
            <w:pPr>
              <w:spacing w:after="40" w:before="0" w:line="259" w:lineRule="auto"/>
            </w:pPr>
            <w:r>
              <w:rPr>
                <w:rFonts w:ascii="Calibri" w:hAnsi="Calibri"/>
                <w:b w:val="0"/>
                <w:i w:val="0"/>
                <w:color w:val="212121"/>
                <w:sz w:val="16"/>
              </w:rPr>
              <w:t>Detects hypoxia; a late marker of severe upper-airway obstruction</w:t>
            </w:r>
          </w:p>
        </w:tc>
        <w:tc>
          <w:tcPr>
            <w:tcW w:type="dxa" w:w="1036"/>
            <w:vAlign w:val="top"/>
          </w:tcPr>
          <w:p>
            <w:pPr>
              <w:spacing w:after="40" w:before="0" w:line="259" w:lineRule="auto"/>
            </w:pPr>
            <w:r>
              <w:rPr>
                <w:rFonts w:ascii="Calibri" w:hAnsi="Calibri"/>
                <w:b w:val="0"/>
                <w:i w:val="0"/>
                <w:color w:val="212121"/>
                <w:sz w:val="16"/>
              </w:rPr>
              <w:t>Moderate-to-severe croup, respiratory distress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vital</w:t>
            </w:r>
          </w:p>
        </w:tc>
        <w:tc>
          <w:tcPr>
            <w:tcW w:type="dxa" w:w="720"/>
            <w:vAlign w:val="top"/>
          </w:tcPr>
          <w:p>
            <w:pPr>
              <w:spacing w:after="40" w:before="0" w:line="259" w:lineRule="auto"/>
            </w:pPr>
            <w:r>
              <w:rPr>
                <w:rFonts w:ascii="Calibri" w:hAnsi="Calibri"/>
                <w:b w:val="0"/>
                <w:i w:val="0"/>
                <w:color w:val="212121"/>
                <w:sz w:val="16"/>
              </w:rPr>
              <w:t>Normal saturation does not exclude significant obstruction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Frontal/lateral neck radiograph</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Normal subglottic contour</w:t>
            </w:r>
          </w:p>
        </w:tc>
        <w:tc>
          <w:tcPr>
            <w:tcW w:type="dxa" w:w="950"/>
            <w:vAlign w:val="top"/>
          </w:tcPr>
          <w:p>
            <w:pPr>
              <w:spacing w:after="40" w:before="0" w:line="259" w:lineRule="auto"/>
            </w:pPr>
            <w:r>
              <w:rPr>
                <w:rFonts w:ascii="Calibri" w:hAnsi="Calibri"/>
                <w:b w:val="0"/>
                <w:i w:val="0"/>
                <w:color w:val="212121"/>
                <w:sz w:val="16"/>
              </w:rPr>
              <w:t>Subglottic “steeple sign” (croup); “thumbprint” epiglottis (epiglottitis); radio-opaque foreign body</w:t>
            </w:r>
          </w:p>
        </w:tc>
        <w:tc>
          <w:tcPr>
            <w:tcW w:type="dxa" w:w="1036"/>
            <w:vAlign w:val="top"/>
          </w:tcPr>
          <w:p>
            <w:pPr>
              <w:spacing w:after="40" w:before="0" w:line="259" w:lineRule="auto"/>
            </w:pPr>
            <w:r>
              <w:rPr>
                <w:rFonts w:ascii="Calibri" w:hAnsi="Calibri"/>
                <w:b w:val="0"/>
                <w:i w:val="0"/>
                <w:color w:val="212121"/>
                <w:sz w:val="16"/>
              </w:rPr>
              <w:t>Supports the diagnosis and helps exclude alternatives</w:t>
            </w:r>
          </w:p>
        </w:tc>
        <w:tc>
          <w:tcPr>
            <w:tcW w:type="dxa" w:w="1036"/>
            <w:vAlign w:val="top"/>
          </w:tcPr>
          <w:p>
            <w:pPr>
              <w:spacing w:after="40" w:before="0" w:line="259" w:lineRule="auto"/>
            </w:pPr>
            <w:r>
              <w:rPr>
                <w:rFonts w:ascii="Calibri" w:hAnsi="Calibri"/>
                <w:b w:val="0"/>
                <w:i w:val="0"/>
                <w:color w:val="212121"/>
                <w:sz w:val="16"/>
              </w:rPr>
              <w:t>Atypical, uncertain or ?foreign-body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never delay airway management for imaging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Respiratory viral PCR panel (naso-pharyngeal swab)</w:t>
            </w:r>
          </w:p>
        </w:tc>
        <w:tc>
          <w:tcPr>
            <w:tcW w:type="dxa" w:w="892"/>
            <w:vAlign w:val="top"/>
          </w:tcPr>
          <w:p>
            <w:pPr>
              <w:spacing w:after="40" w:before="0" w:line="259" w:lineRule="auto"/>
            </w:pPr>
            <w:r>
              <w:rPr>
                <w:rFonts w:ascii="Calibri" w:hAnsi="Calibri"/>
                <w:b w:val="0"/>
                <w:i w:val="0"/>
                <w:color w:val="212121"/>
                <w:sz w:val="16"/>
              </w:rPr>
              <w:t>Molecular testing</w:t>
            </w:r>
          </w:p>
        </w:tc>
        <w:tc>
          <w:tcPr>
            <w:tcW w:type="dxa" w:w="950"/>
            <w:vAlign w:val="top"/>
          </w:tcPr>
          <w:p>
            <w:pPr>
              <w:spacing w:after="40" w:before="0" w:line="259" w:lineRule="auto"/>
            </w:pPr>
            <w:r>
              <w:rPr>
                <w:rFonts w:ascii="Calibri" w:hAnsi="Calibri"/>
                <w:b w:val="0"/>
                <w:i w:val="0"/>
                <w:color w:val="212121"/>
                <w:sz w:val="16"/>
              </w:rPr>
              <w:t>No virus detected</w:t>
            </w:r>
          </w:p>
        </w:tc>
        <w:tc>
          <w:tcPr>
            <w:tcW w:type="dxa" w:w="950"/>
            <w:vAlign w:val="top"/>
          </w:tcPr>
          <w:p>
            <w:pPr>
              <w:spacing w:after="40" w:before="0" w:line="259" w:lineRule="auto"/>
            </w:pPr>
            <w:r>
              <w:rPr>
                <w:rFonts w:ascii="Calibri" w:hAnsi="Calibri"/>
                <w:b w:val="0"/>
                <w:i w:val="0"/>
                <w:color w:val="212121"/>
                <w:sz w:val="16"/>
              </w:rPr>
              <w:t>Parainfluenza (or other respiratory virus) detected</w:t>
            </w:r>
          </w:p>
        </w:tc>
        <w:tc>
          <w:tcPr>
            <w:tcW w:type="dxa" w:w="1036"/>
            <w:vAlign w:val="top"/>
          </w:tcPr>
          <w:p>
            <w:pPr>
              <w:spacing w:after="40" w:before="0" w:line="259" w:lineRule="auto"/>
            </w:pPr>
            <w:r>
              <w:rPr>
                <w:rFonts w:ascii="Calibri" w:hAnsi="Calibri"/>
                <w:b w:val="0"/>
                <w:i w:val="0"/>
                <w:color w:val="212121"/>
                <w:sz w:val="16"/>
              </w:rPr>
              <w:t>Identifies the causative virus; supports infection control and epidemiology</w:t>
            </w:r>
          </w:p>
        </w:tc>
        <w:tc>
          <w:tcPr>
            <w:tcW w:type="dxa" w:w="1036"/>
            <w:vAlign w:val="top"/>
          </w:tcPr>
          <w:p>
            <w:pPr>
              <w:spacing w:after="40" w:before="0" w:line="259" w:lineRule="auto"/>
            </w:pPr>
            <w:r>
              <w:rPr>
                <w:rFonts w:ascii="Calibri" w:hAnsi="Calibri"/>
                <w:b w:val="0"/>
                <w:i w:val="0"/>
                <w:color w:val="212121"/>
                <w:sz w:val="16"/>
              </w:rPr>
              <w:t>Hospitalised, severe or immunocompromised children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 / epidemiological</w:t>
            </w:r>
          </w:p>
        </w:tc>
        <w:tc>
          <w:tcPr>
            <w:tcW w:type="dxa" w:w="720"/>
            <w:vAlign w:val="top"/>
          </w:tcPr>
          <w:p>
            <w:pPr>
              <w:spacing w:after="40" w:before="0" w:line="259" w:lineRule="auto"/>
            </w:pPr>
            <w:r>
              <w:rPr>
                <w:rFonts w:ascii="Calibri" w:hAnsi="Calibri"/>
                <w:b w:val="0"/>
                <w:i w:val="0"/>
                <w:color w:val="212121"/>
                <w:sz w:val="16"/>
              </w:rPr>
              <w:t>Rarely alters management of typical croup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w:t>
            </w:r>
          </w:p>
        </w:tc>
        <w:tc>
          <w:tcPr>
            <w:tcW w:type="dxa" w:w="1036"/>
            <w:vAlign w:val="top"/>
          </w:tcPr>
          <w:p>
            <w:pPr>
              <w:spacing w:after="40" w:before="0" w:line="259" w:lineRule="auto"/>
            </w:pPr>
            <w:r>
              <w:rPr>
                <w:rFonts w:ascii="Calibri" w:hAnsi="Calibri"/>
                <w:b w:val="0"/>
                <w:i w:val="0"/>
                <w:color w:val="212121"/>
                <w:sz w:val="16"/>
              </w:rPr>
              <w:t>Capillary/venous blood gas</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 pCO₂ and pH</w:t>
            </w:r>
          </w:p>
        </w:tc>
        <w:tc>
          <w:tcPr>
            <w:tcW w:type="dxa" w:w="950"/>
            <w:vAlign w:val="top"/>
          </w:tcPr>
          <w:p>
            <w:pPr>
              <w:spacing w:after="40" w:before="0" w:line="259" w:lineRule="auto"/>
            </w:pPr>
            <w:r>
              <w:rPr>
                <w:rFonts w:ascii="Calibri" w:hAnsi="Calibri"/>
                <w:b w:val="0"/>
                <w:i w:val="0"/>
                <w:color w:val="212121"/>
                <w:sz w:val="16"/>
              </w:rPr>
              <w:t>Rising pCO₂ with hypoxia (ventilatory failure)</w:t>
            </w:r>
          </w:p>
        </w:tc>
        <w:tc>
          <w:tcPr>
            <w:tcW w:type="dxa" w:w="1036"/>
            <w:vAlign w:val="top"/>
          </w:tcPr>
          <w:p>
            <w:pPr>
              <w:spacing w:after="40" w:before="0" w:line="259" w:lineRule="auto"/>
            </w:pPr>
            <w:r>
              <w:rPr>
                <w:rFonts w:ascii="Calibri" w:hAnsi="Calibri"/>
                <w:b w:val="0"/>
                <w:i w:val="0"/>
                <w:color w:val="212121"/>
                <w:sz w:val="16"/>
              </w:rPr>
              <w:t>Assesses ventilation in severe or deteriorating disease</w:t>
            </w:r>
          </w:p>
        </w:tc>
        <w:tc>
          <w:tcPr>
            <w:tcW w:type="dxa" w:w="1036"/>
            <w:vAlign w:val="top"/>
          </w:tcPr>
          <w:p>
            <w:pPr>
              <w:spacing w:after="40" w:before="0" w:line="259" w:lineRule="auto"/>
            </w:pPr>
            <w:r>
              <w:rPr>
                <w:rFonts w:ascii="Calibri" w:hAnsi="Calibri"/>
                <w:b w:val="0"/>
                <w:i w:val="0"/>
                <w:color w:val="212121"/>
                <w:sz w:val="16"/>
              </w:rPr>
              <w:t>Severe croup, impending respiratory failure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Severe cases only</w:t>
            </w:r>
          </w:p>
        </w:tc>
        <w:tc>
          <w:tcPr>
            <w:tcW w:type="dxa" w:w="720"/>
            <w:vAlign w:val="top"/>
          </w:tcPr>
          <w:p>
            <w:pPr>
              <w:spacing w:after="40" w:before="0" w:line="259" w:lineRule="auto"/>
            </w:pPr>
            <w:r>
              <w:rPr>
                <w:rFonts w:ascii="Calibri" w:hAnsi="Calibri"/>
                <w:b w:val="0"/>
                <w:i w:val="0"/>
                <w:color w:val="212121"/>
                <w:sz w:val="16"/>
              </w:rPr>
              <w:t>Distress from sampling can worsen obstruction — use judiciously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Full blood count &amp; 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 white cell count</w:t>
            </w:r>
          </w:p>
        </w:tc>
        <w:tc>
          <w:tcPr>
            <w:tcW w:type="dxa" w:w="950"/>
            <w:vAlign w:val="top"/>
          </w:tcPr>
          <w:p>
            <w:pPr>
              <w:spacing w:after="40" w:before="0" w:line="259" w:lineRule="auto"/>
            </w:pPr>
            <w:r>
              <w:rPr>
                <w:rFonts w:ascii="Calibri" w:hAnsi="Calibri"/>
                <w:b w:val="0"/>
                <w:i w:val="0"/>
                <w:color w:val="212121"/>
                <w:sz w:val="16"/>
              </w:rPr>
              <w:t>Leukocytosis with left shift; raised CRP</w:t>
            </w:r>
          </w:p>
        </w:tc>
        <w:tc>
          <w:tcPr>
            <w:tcW w:type="dxa" w:w="1036"/>
            <w:vAlign w:val="top"/>
          </w:tcPr>
          <w:p>
            <w:pPr>
              <w:spacing w:after="40" w:before="0" w:line="259" w:lineRule="auto"/>
            </w:pPr>
            <w:r>
              <w:rPr>
                <w:rFonts w:ascii="Calibri" w:hAnsi="Calibri"/>
                <w:b w:val="0"/>
                <w:i w:val="0"/>
                <w:color w:val="212121"/>
                <w:sz w:val="16"/>
              </w:rPr>
              <w:t>Suggests bacterial tracheitis or secondary bacterial infection</w:t>
            </w:r>
          </w:p>
        </w:tc>
        <w:tc>
          <w:tcPr>
            <w:tcW w:type="dxa" w:w="1036"/>
            <w:vAlign w:val="top"/>
          </w:tcPr>
          <w:p>
            <w:pPr>
              <w:spacing w:after="40" w:before="0" w:line="259" w:lineRule="auto"/>
            </w:pPr>
            <w:r>
              <w:rPr>
                <w:rFonts w:ascii="Calibri" w:hAnsi="Calibri"/>
                <w:b w:val="0"/>
                <w:i w:val="0"/>
                <w:color w:val="212121"/>
                <w:sz w:val="16"/>
              </w:rPr>
              <w:t>Toxic child, poor response to steroid/epinephrine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When bacterial cause suspected</w:t>
            </w:r>
          </w:p>
        </w:tc>
        <w:tc>
          <w:tcPr>
            <w:tcW w:type="dxa" w:w="720"/>
            <w:vAlign w:val="top"/>
          </w:tcPr>
          <w:p>
            <w:pPr>
              <w:spacing w:after="40" w:before="0" w:line="259" w:lineRule="auto"/>
            </w:pPr>
            <w:r>
              <w:rPr>
                <w:rFonts w:ascii="Calibri" w:hAnsi="Calibri"/>
                <w:b w:val="0"/>
                <w:i w:val="0"/>
                <w:color w:val="212121"/>
                <w:sz w:val="16"/>
              </w:rPr>
              <w:t>Typical viral croup usually shows a normal white cell count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Direct laryngoscopy / bronchoscopy</w:t>
            </w:r>
          </w:p>
        </w:tc>
        <w:tc>
          <w:tcPr>
            <w:tcW w:type="dxa" w:w="892"/>
            <w:vAlign w:val="top"/>
          </w:tcPr>
          <w:p>
            <w:pPr>
              <w:spacing w:after="40" w:before="0" w:line="259" w:lineRule="auto"/>
            </w:pPr>
            <w:r>
              <w:rPr>
                <w:rFonts w:ascii="Calibri" w:hAnsi="Calibri"/>
                <w:b w:val="0"/>
                <w:i w:val="0"/>
                <w:color w:val="212121"/>
                <w:sz w:val="16"/>
              </w:rPr>
              <w:t>Airway endoscopy</w:t>
            </w:r>
          </w:p>
        </w:tc>
        <w:tc>
          <w:tcPr>
            <w:tcW w:type="dxa" w:w="950"/>
            <w:vAlign w:val="top"/>
          </w:tcPr>
          <w:p>
            <w:pPr>
              <w:spacing w:after="40" w:before="0" w:line="259" w:lineRule="auto"/>
            </w:pPr>
            <w:r>
              <w:rPr>
                <w:rFonts w:ascii="Calibri" w:hAnsi="Calibri"/>
                <w:b w:val="0"/>
                <w:i w:val="0"/>
                <w:color w:val="212121"/>
                <w:sz w:val="16"/>
              </w:rPr>
              <w:t>Patent, normal subglottis</w:t>
            </w:r>
          </w:p>
        </w:tc>
        <w:tc>
          <w:tcPr>
            <w:tcW w:type="dxa" w:w="950"/>
            <w:vAlign w:val="top"/>
          </w:tcPr>
          <w:p>
            <w:pPr>
              <w:spacing w:after="40" w:before="0" w:line="259" w:lineRule="auto"/>
            </w:pPr>
            <w:r>
              <w:rPr>
                <w:rFonts w:ascii="Calibri" w:hAnsi="Calibri"/>
                <w:b w:val="0"/>
                <w:i w:val="0"/>
                <w:color w:val="212121"/>
                <w:sz w:val="16"/>
              </w:rPr>
              <w:t>Subglottic stenosis, congenital lesion, or exudative membranes (bacterial tracheitis)</w:t>
            </w:r>
          </w:p>
        </w:tc>
        <w:tc>
          <w:tcPr>
            <w:tcW w:type="dxa" w:w="1036"/>
            <w:vAlign w:val="top"/>
          </w:tcPr>
          <w:p>
            <w:pPr>
              <w:spacing w:after="40" w:before="0" w:line="259" w:lineRule="auto"/>
            </w:pPr>
            <w:r>
              <w:rPr>
                <w:rFonts w:ascii="Calibri" w:hAnsi="Calibri"/>
                <w:b w:val="0"/>
                <w:i w:val="0"/>
                <w:color w:val="212121"/>
                <w:sz w:val="16"/>
              </w:rPr>
              <w:t>Definitive airway evaluation in recurrent, atypical or refractory disease</w:t>
            </w:r>
          </w:p>
        </w:tc>
        <w:tc>
          <w:tcPr>
            <w:tcW w:type="dxa" w:w="1036"/>
            <w:vAlign w:val="top"/>
          </w:tcPr>
          <w:p>
            <w:pPr>
              <w:spacing w:after="40" w:before="0" w:line="259" w:lineRule="auto"/>
            </w:pPr>
            <w:r>
              <w:rPr>
                <w:rFonts w:ascii="Calibri" w:hAnsi="Calibri"/>
                <w:b w:val="0"/>
                <w:i w:val="0"/>
                <w:color w:val="212121"/>
                <w:sz w:val="16"/>
              </w:rPr>
              <w:t>Recurrent / atypical / refractory croup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(recurrent croup)</w:t>
            </w:r>
          </w:p>
        </w:tc>
        <w:tc>
          <w:tcPr>
            <w:tcW w:type="dxa" w:w="720"/>
            <w:vAlign w:val="top"/>
          </w:tcPr>
          <w:p>
            <w:pPr>
              <w:spacing w:after="40" w:before="0" w:line="259" w:lineRule="auto"/>
            </w:pPr>
            <w:r>
              <w:rPr>
                <w:rFonts w:ascii="Calibri" w:hAnsi="Calibri"/>
                <w:b w:val="0"/>
                <w:i w:val="0"/>
                <w:color w:val="212121"/>
                <w:sz w:val="16"/>
              </w:rPr>
              <w:t>About 10% of recurrent-croup referrals have an airway abnormality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&amp; onset</w:t>
            </w:r>
          </w:p>
        </w:tc>
        <w:tc>
          <w:tcPr>
            <w:tcW w:type="dxa" w:w="979"/>
            <w:vAlign w:val="top"/>
          </w:tcPr>
          <w:p>
            <w:pPr>
              <w:spacing w:after="40" w:before="0" w:line="259" w:lineRule="auto"/>
            </w:pPr>
            <w:r>
              <w:rPr>
                <w:rFonts w:ascii="Calibri" w:hAnsi="Calibri"/>
                <w:b w:val="0"/>
                <w:i w:val="0"/>
                <w:color w:val="212121"/>
                <w:sz w:val="16"/>
              </w:rPr>
              <w:t>Barking cough, inspiratory stridor, hoarseness; night onset; coryza prodrome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Classic barking cough with inspiratory stridor</w:t>
            </w:r>
          </w:p>
        </w:tc>
        <w:tc>
          <w:tcPr>
            <w:tcW w:type="dxa" w:w="1036"/>
            <w:vAlign w:val="top"/>
          </w:tcPr>
          <w:p>
            <w:pPr>
              <w:spacing w:after="40" w:before="0" w:line="259" w:lineRule="auto"/>
            </w:pPr>
            <w:r>
              <w:rPr>
                <w:rFonts w:ascii="Calibri" w:hAnsi="Calibri"/>
                <w:b w:val="0"/>
                <w:i w:val="0"/>
                <w:color w:val="212121"/>
                <w:sz w:val="16"/>
              </w:rPr>
              <w:t>Hallmark clinical picture of croup</w:t>
            </w:r>
          </w:p>
        </w:tc>
        <w:tc>
          <w:tcPr>
            <w:tcW w:type="dxa" w:w="1036"/>
            <w:vAlign w:val="top"/>
          </w:tcPr>
          <w:p>
            <w:pPr>
              <w:spacing w:after="40" w:before="0" w:line="259" w:lineRule="auto"/>
            </w:pPr>
            <w:r>
              <w:rPr>
                <w:rFonts w:ascii="Calibri" w:hAnsi="Calibri"/>
                <w:b w:val="0"/>
                <w:i w:val="0"/>
                <w:color w:val="212121"/>
                <w:sz w:val="16"/>
              </w:rPr>
              <w:t>All suspected croup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Symptoms characteristically worse at night and with agitation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 differential screen</w:t>
            </w:r>
          </w:p>
        </w:tc>
        <w:tc>
          <w:tcPr>
            <w:tcW w:type="dxa" w:w="979"/>
            <w:vAlign w:val="top"/>
          </w:tcPr>
          <w:p>
            <w:pPr>
              <w:spacing w:after="40" w:before="0" w:line="259" w:lineRule="auto"/>
            </w:pPr>
            <w:r>
              <w:rPr>
                <w:rFonts w:ascii="Calibri" w:hAnsi="Calibri"/>
                <w:b w:val="0"/>
                <w:i w:val="0"/>
                <w:color w:val="212121"/>
                <w:sz w:val="16"/>
              </w:rPr>
              <w:t>Drooling, marked dysphagia, toxaemia, tripod posture, absent cough, sudden choking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 suggests epiglottitis, bacterial tracheitis or inhaled foreign body</w:t>
            </w:r>
          </w:p>
        </w:tc>
        <w:tc>
          <w:tcPr>
            <w:tcW w:type="dxa" w:w="1036"/>
            <w:vAlign w:val="top"/>
          </w:tcPr>
          <w:p>
            <w:pPr>
              <w:spacing w:after="40" w:before="0" w:line="259" w:lineRule="auto"/>
            </w:pPr>
            <w:r>
              <w:rPr>
                <w:rFonts w:ascii="Calibri" w:hAnsi="Calibri"/>
                <w:b w:val="0"/>
                <w:i w:val="0"/>
                <w:color w:val="212121"/>
                <w:sz w:val="16"/>
              </w:rPr>
              <w:t>Excludes dangerous mimics of croup</w:t>
            </w:r>
          </w:p>
        </w:tc>
        <w:tc>
          <w:tcPr>
            <w:tcW w:type="dxa" w:w="1036"/>
            <w:vAlign w:val="top"/>
          </w:tcPr>
          <w:p>
            <w:pPr>
              <w:spacing w:after="40" w:before="0" w:line="259" w:lineRule="auto"/>
            </w:pPr>
            <w:r>
              <w:rPr>
                <w:rFonts w:ascii="Calibri" w:hAnsi="Calibri"/>
                <w:b w:val="0"/>
                <w:i w:val="0"/>
                <w:color w:val="212121"/>
                <w:sz w:val="16"/>
              </w:rPr>
              <w:t>Severe or atypical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Sudden choking while eating/playing suggests a foreign body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Immunisation &amp; exposure history</w:t>
            </w:r>
          </w:p>
        </w:tc>
        <w:tc>
          <w:tcPr>
            <w:tcW w:type="dxa" w:w="979"/>
            <w:vAlign w:val="top"/>
          </w:tcPr>
          <w:p>
            <w:pPr>
              <w:spacing w:after="40" w:before="0" w:line="259" w:lineRule="auto"/>
            </w:pPr>
            <w:r>
              <w:rPr>
                <w:rFonts w:ascii="Calibri" w:hAnsi="Calibri"/>
                <w:b w:val="0"/>
                <w:i w:val="0"/>
                <w:color w:val="212121"/>
                <w:sz w:val="16"/>
              </w:rPr>
              <w:t>DPT/Hib/influenza/measles status, sick contacts, daycare, household smoke</w:t>
            </w:r>
          </w:p>
        </w:tc>
        <w:tc>
          <w:tcPr>
            <w:tcW w:type="dxa" w:w="950"/>
            <w:vAlign w:val="top"/>
          </w:tcPr>
          <w:p>
            <w:pPr>
              <w:spacing w:after="40" w:before="0" w:line="259" w:lineRule="auto"/>
            </w:pPr>
            <w:r>
              <w:rPr>
                <w:rFonts w:ascii="Calibri" w:hAnsi="Calibri"/>
                <w:b w:val="0"/>
                <w:i w:val="0"/>
                <w:color w:val="212121"/>
                <w:sz w:val="16"/>
              </w:rPr>
              <w:t>Fully immunised, no adverse exposure</w:t>
            </w:r>
          </w:p>
        </w:tc>
        <w:tc>
          <w:tcPr>
            <w:tcW w:type="dxa" w:w="950"/>
            <w:vAlign w:val="top"/>
          </w:tcPr>
          <w:p>
            <w:pPr>
              <w:spacing w:after="40" w:before="0" w:line="259" w:lineRule="auto"/>
            </w:pPr>
            <w:r>
              <w:rPr>
                <w:rFonts w:ascii="Calibri" w:hAnsi="Calibri"/>
                <w:b w:val="0"/>
                <w:i w:val="0"/>
                <w:color w:val="212121"/>
                <w:sz w:val="16"/>
              </w:rPr>
              <w:t>Under-immunised (?diphtheria); smoke exposure; crowding</w:t>
            </w:r>
          </w:p>
        </w:tc>
        <w:tc>
          <w:tcPr>
            <w:tcW w:type="dxa" w:w="1036"/>
            <w:vAlign w:val="top"/>
          </w:tcPr>
          <w:p>
            <w:pPr>
              <w:spacing w:after="40" w:before="0" w:line="259" w:lineRule="auto"/>
            </w:pPr>
            <w:r>
              <w:rPr>
                <w:rFonts w:ascii="Calibri" w:hAnsi="Calibri"/>
                <w:b w:val="0"/>
                <w:i w:val="0"/>
                <w:color w:val="212121"/>
                <w:sz w:val="16"/>
              </w:rPr>
              <w:t>Risk-stratifies for vaccine-preventable causes and severity</w:t>
            </w:r>
          </w:p>
        </w:tc>
        <w:tc>
          <w:tcPr>
            <w:tcW w:type="dxa" w:w="1036"/>
            <w:vAlign w:val="top"/>
          </w:tcPr>
          <w:p>
            <w:pPr>
              <w:spacing w:after="40" w:before="0" w:line="259" w:lineRule="auto"/>
            </w:pPr>
            <w:r>
              <w:rPr>
                <w:rFonts w:ascii="Calibri" w:hAnsi="Calibri"/>
                <w:b w:val="0"/>
                <w:i w:val="0"/>
                <w:color w:val="212121"/>
                <w:sz w:val="16"/>
              </w:rPr>
              <w:t>Under-immunised children, crowded/smoke-exposed homes</w:t>
            </w:r>
          </w:p>
        </w:tc>
        <w:tc>
          <w:tcPr>
            <w:tcW w:type="dxa" w:w="720"/>
            <w:vAlign w:val="top"/>
          </w:tcPr>
          <w:p>
            <w:pPr>
              <w:spacing w:after="40" w:before="0" w:line="259" w:lineRule="auto"/>
            </w:pPr>
            <w:r>
              <w:rPr>
                <w:rFonts w:ascii="Calibri" w:hAnsi="Calibri"/>
                <w:b w:val="0"/>
                <w:i w:val="0"/>
                <w:color w:val="212121"/>
                <w:sz w:val="16"/>
              </w:rPr>
              <w:t>Hygiene; Smoking</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Consider membranous croup (diphtheria) where coverage is incomplete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General appearance &amp; Westley score</w:t>
            </w:r>
          </w:p>
        </w:tc>
        <w:tc>
          <w:tcPr>
            <w:tcW w:type="dxa" w:w="979"/>
            <w:vAlign w:val="top"/>
          </w:tcPr>
          <w:p>
            <w:pPr>
              <w:spacing w:after="40" w:before="0" w:line="259" w:lineRule="auto"/>
            </w:pPr>
            <w:r>
              <w:rPr>
                <w:rFonts w:ascii="Calibri" w:hAnsi="Calibri"/>
                <w:b w:val="0"/>
                <w:i w:val="0"/>
                <w:color w:val="212121"/>
                <w:sz w:val="16"/>
              </w:rPr>
              <w:t>Level of consciousness, cyanosis, stridor, air entry, retractions</w:t>
            </w:r>
          </w:p>
        </w:tc>
        <w:tc>
          <w:tcPr>
            <w:tcW w:type="dxa" w:w="950"/>
            <w:vAlign w:val="top"/>
          </w:tcPr>
          <w:p>
            <w:pPr>
              <w:spacing w:after="40" w:before="0" w:line="259" w:lineRule="auto"/>
            </w:pPr>
            <w:r>
              <w:rPr>
                <w:rFonts w:ascii="Calibri" w:hAnsi="Calibri"/>
                <w:b w:val="0"/>
                <w:i w:val="0"/>
                <w:color w:val="212121"/>
                <w:sz w:val="16"/>
              </w:rPr>
              <w:t>Alert child, no stridor at rest</w:t>
            </w:r>
          </w:p>
        </w:tc>
        <w:tc>
          <w:tcPr>
            <w:tcW w:type="dxa" w:w="950"/>
            <w:vAlign w:val="top"/>
          </w:tcPr>
          <w:p>
            <w:pPr>
              <w:spacing w:after="40" w:before="0" w:line="259" w:lineRule="auto"/>
            </w:pPr>
            <w:r>
              <w:rPr>
                <w:rFonts w:ascii="Calibri" w:hAnsi="Calibri"/>
                <w:b w:val="0"/>
                <w:i w:val="0"/>
                <w:color w:val="212121"/>
                <w:sz w:val="16"/>
              </w:rPr>
              <w:t>Stridor at rest, retractions, agitation or lethargy, cyanosis</w:t>
            </w:r>
          </w:p>
        </w:tc>
        <w:tc>
          <w:tcPr>
            <w:tcW w:type="dxa" w:w="1036"/>
            <w:vAlign w:val="top"/>
          </w:tcPr>
          <w:p>
            <w:pPr>
              <w:spacing w:after="40" w:before="0" w:line="259" w:lineRule="auto"/>
            </w:pPr>
            <w:r>
              <w:rPr>
                <w:rFonts w:ascii="Calibri" w:hAnsi="Calibri"/>
                <w:b w:val="0"/>
                <w:i w:val="0"/>
                <w:color w:val="212121"/>
                <w:sz w:val="16"/>
              </w:rPr>
              <w:t>Grades severity and guides treatment and disposition</w:t>
            </w:r>
          </w:p>
        </w:tc>
        <w:tc>
          <w:tcPr>
            <w:tcW w:type="dxa" w:w="1036"/>
            <w:vAlign w:val="top"/>
          </w:tcPr>
          <w:p>
            <w:pPr>
              <w:spacing w:after="40" w:before="0" w:line="259" w:lineRule="auto"/>
            </w:pPr>
            <w:r>
              <w:rPr>
                <w:rFonts w:ascii="Calibri" w:hAnsi="Calibri"/>
                <w:b w:val="0"/>
                <w:i w:val="0"/>
                <w:color w:val="212121"/>
                <w:sz w:val="16"/>
              </w:rPr>
              <w:t>All children with croup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grading</w:t>
            </w:r>
          </w:p>
        </w:tc>
        <w:tc>
          <w:tcPr>
            <w:tcW w:type="dxa" w:w="720"/>
            <w:vAlign w:val="top"/>
          </w:tcPr>
          <w:p>
            <w:pPr>
              <w:spacing w:after="40" w:before="0" w:line="259" w:lineRule="auto"/>
            </w:pPr>
            <w:r>
              <w:rPr>
                <w:rFonts w:ascii="Calibri" w:hAnsi="Calibri"/>
                <w:b w:val="0"/>
                <w:i w:val="0"/>
                <w:color w:val="212121"/>
                <w:sz w:val="16"/>
              </w:rPr>
              <w:t>Keep the child calm during assessment to avoid worsening obstruction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Stridor &amp; work of breathing</w:t>
            </w:r>
          </w:p>
        </w:tc>
        <w:tc>
          <w:tcPr>
            <w:tcW w:type="dxa" w:w="979"/>
            <w:vAlign w:val="top"/>
          </w:tcPr>
          <w:p>
            <w:pPr>
              <w:spacing w:after="40" w:before="0" w:line="259" w:lineRule="auto"/>
            </w:pPr>
            <w:r>
              <w:rPr>
                <w:rFonts w:ascii="Calibri" w:hAnsi="Calibri"/>
                <w:b w:val="0"/>
                <w:i w:val="0"/>
                <w:color w:val="212121"/>
                <w:sz w:val="16"/>
              </w:rPr>
              <w:t>Inspiratory vs biphasic stridor, retractions, nasal flaring, respiratory rate</w:t>
            </w:r>
          </w:p>
        </w:tc>
        <w:tc>
          <w:tcPr>
            <w:tcW w:type="dxa" w:w="950"/>
            <w:vAlign w:val="top"/>
          </w:tcPr>
          <w:p>
            <w:pPr>
              <w:spacing w:after="40" w:before="0" w:line="259" w:lineRule="auto"/>
            </w:pPr>
            <w:r>
              <w:rPr>
                <w:rFonts w:ascii="Calibri" w:hAnsi="Calibri"/>
                <w:b w:val="0"/>
                <w:i w:val="0"/>
                <w:color w:val="212121"/>
                <w:sz w:val="16"/>
              </w:rPr>
              <w:t>No stridor at rest, comfortable breathing</w:t>
            </w:r>
          </w:p>
        </w:tc>
        <w:tc>
          <w:tcPr>
            <w:tcW w:type="dxa" w:w="950"/>
            <w:vAlign w:val="top"/>
          </w:tcPr>
          <w:p>
            <w:pPr>
              <w:spacing w:after="40" w:before="0" w:line="259" w:lineRule="auto"/>
            </w:pPr>
            <w:r>
              <w:rPr>
                <w:rFonts w:ascii="Calibri" w:hAnsi="Calibri"/>
                <w:b w:val="0"/>
                <w:i w:val="0"/>
                <w:color w:val="212121"/>
                <w:sz w:val="16"/>
              </w:rPr>
              <w:t>Stridor at rest; biphasic stridor and marked retractions in severe disease</w:t>
            </w:r>
          </w:p>
        </w:tc>
        <w:tc>
          <w:tcPr>
            <w:tcW w:type="dxa" w:w="1036"/>
            <w:vAlign w:val="top"/>
          </w:tcPr>
          <w:p>
            <w:pPr>
              <w:spacing w:after="40" w:before="0" w:line="259" w:lineRule="auto"/>
            </w:pPr>
            <w:r>
              <w:rPr>
                <w:rFonts w:ascii="Calibri" w:hAnsi="Calibri"/>
                <w:b w:val="0"/>
                <w:i w:val="0"/>
                <w:color w:val="212121"/>
                <w:sz w:val="16"/>
              </w:rPr>
              <w:t>Quantifies the degree of upper-airway obstruction</w:t>
            </w:r>
          </w:p>
        </w:tc>
        <w:tc>
          <w:tcPr>
            <w:tcW w:type="dxa" w:w="1036"/>
            <w:vAlign w:val="top"/>
          </w:tcPr>
          <w:p>
            <w:pPr>
              <w:spacing w:after="40" w:before="0" w:line="259" w:lineRule="auto"/>
            </w:pPr>
            <w:r>
              <w:rPr>
                <w:rFonts w:ascii="Calibri" w:hAnsi="Calibri"/>
                <w:b w:val="0"/>
                <w:i w:val="0"/>
                <w:color w:val="212121"/>
                <w:sz w:val="16"/>
              </w:rPr>
              <w:t>Moderate-to-severe croup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A quietening stridor with rising fatigue may signal deterioration, not improvement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Auscultation &amp; air entry</w:t>
            </w:r>
          </w:p>
        </w:tc>
        <w:tc>
          <w:tcPr>
            <w:tcW w:type="dxa" w:w="979"/>
            <w:vAlign w:val="top"/>
          </w:tcPr>
          <w:p>
            <w:pPr>
              <w:spacing w:after="40" w:before="0" w:line="259" w:lineRule="auto"/>
            </w:pPr>
            <w:r>
              <w:rPr>
                <w:rFonts w:ascii="Calibri" w:hAnsi="Calibri"/>
                <w:b w:val="0"/>
                <w:i w:val="0"/>
                <w:color w:val="212121"/>
                <w:sz w:val="16"/>
              </w:rPr>
              <w:t>Bilateral air entry; added wheeze or crackles</w:t>
            </w:r>
          </w:p>
        </w:tc>
        <w:tc>
          <w:tcPr>
            <w:tcW w:type="dxa" w:w="950"/>
            <w:vAlign w:val="top"/>
          </w:tcPr>
          <w:p>
            <w:pPr>
              <w:spacing w:after="40" w:before="0" w:line="259" w:lineRule="auto"/>
            </w:pPr>
            <w:r>
              <w:rPr>
                <w:rFonts w:ascii="Calibri" w:hAnsi="Calibri"/>
                <w:b w:val="0"/>
                <w:i w:val="0"/>
                <w:color w:val="212121"/>
                <w:sz w:val="16"/>
              </w:rPr>
              <w:t>Good bilateral air entry, clear chest</w:t>
            </w:r>
          </w:p>
        </w:tc>
        <w:tc>
          <w:tcPr>
            <w:tcW w:type="dxa" w:w="950"/>
            <w:vAlign w:val="top"/>
          </w:tcPr>
          <w:p>
            <w:pPr>
              <w:spacing w:after="40" w:before="0" w:line="259" w:lineRule="auto"/>
            </w:pPr>
            <w:r>
              <w:rPr>
                <w:rFonts w:ascii="Calibri" w:hAnsi="Calibri"/>
                <w:b w:val="0"/>
                <w:i w:val="0"/>
                <w:color w:val="212121"/>
                <w:sz w:val="16"/>
              </w:rPr>
              <w:t>Reduced air entry (severe); wheeze/crackles if lower-airway involvement</w:t>
            </w:r>
          </w:p>
        </w:tc>
        <w:tc>
          <w:tcPr>
            <w:tcW w:type="dxa" w:w="1036"/>
            <w:vAlign w:val="top"/>
          </w:tcPr>
          <w:p>
            <w:pPr>
              <w:spacing w:after="40" w:before="0" w:line="259" w:lineRule="auto"/>
            </w:pPr>
            <w:r>
              <w:rPr>
                <w:rFonts w:ascii="Calibri" w:hAnsi="Calibri"/>
                <w:b w:val="0"/>
                <w:i w:val="0"/>
                <w:color w:val="212121"/>
                <w:sz w:val="16"/>
              </w:rPr>
              <w:t>Assesses air movement and any lower-respiratory involvement</w:t>
            </w:r>
          </w:p>
        </w:tc>
        <w:tc>
          <w:tcPr>
            <w:tcW w:type="dxa" w:w="1036"/>
            <w:vAlign w:val="top"/>
          </w:tcPr>
          <w:p>
            <w:pPr>
              <w:spacing w:after="40" w:before="0" w:line="259" w:lineRule="auto"/>
            </w:pPr>
            <w:r>
              <w:rPr>
                <w:rFonts w:ascii="Calibri" w:hAnsi="Calibri"/>
                <w:b w:val="0"/>
                <w:i w:val="0"/>
                <w:color w:val="212121"/>
                <w:sz w:val="16"/>
              </w:rPr>
              <w:t>All children with croup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Decreasing air entry is an ominous sign of severe obstruction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Barking, seal-like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of croup, produced by subglottic oedema; often sudden and worse at night.</w:t>
            </w:r>
          </w:p>
        </w:tc>
      </w:tr>
      <w:tr>
        <w:trPr>
          <w:cantSplit/>
        </w:trPr>
        <w:tc>
          <w:tcPr>
            <w:tcW w:type="dxa" w:w="2304"/>
            <w:vAlign w:val="top"/>
          </w:tcPr>
          <w:p>
            <w:pPr>
              <w:spacing w:after="40" w:before="0" w:line="259" w:lineRule="auto"/>
            </w:pPr>
            <w:r>
              <w:rPr>
                <w:rFonts w:ascii="Calibri" w:hAnsi="Calibri"/>
                <w:b/>
                <w:i w:val="0"/>
                <w:color w:val="212121"/>
                <w:sz w:val="19"/>
              </w:rPr>
              <w:t>Inspiratory stridor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Harsh inspiratory sound from extrathoracic (subglottic) narrowing; stridor at rest indicates more severe disease.</w:t>
            </w:r>
          </w:p>
        </w:tc>
      </w:tr>
      <w:tr>
        <w:trPr>
          <w:cantSplit/>
        </w:trPr>
        <w:tc>
          <w:tcPr>
            <w:tcW w:type="dxa" w:w="2304"/>
            <w:vAlign w:val="top"/>
          </w:tcPr>
          <w:p>
            <w:pPr>
              <w:spacing w:after="40" w:before="0" w:line="259" w:lineRule="auto"/>
            </w:pPr>
            <w:r>
              <w:rPr>
                <w:rFonts w:ascii="Calibri" w:hAnsi="Calibri"/>
                <w:b/>
                <w:i w:val="0"/>
                <w:color w:val="212121"/>
                <w:sz w:val="19"/>
              </w:rPr>
              <w:t>Hoarse voice or cry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inflammation of the larynx and vocal cords.</w:t>
            </w:r>
          </w:p>
        </w:tc>
      </w:tr>
      <w:tr>
        <w:trPr>
          <w:cantSplit/>
        </w:trPr>
        <w:tc>
          <w:tcPr>
            <w:tcW w:type="dxa" w:w="2304"/>
            <w:vAlign w:val="top"/>
          </w:tcPr>
          <w:p>
            <w:pPr>
              <w:spacing w:after="40" w:before="0" w:line="259" w:lineRule="auto"/>
            </w:pPr>
            <w:r>
              <w:rPr>
                <w:rFonts w:ascii="Calibri" w:hAnsi="Calibri"/>
                <w:b/>
                <w:i w:val="0"/>
                <w:color w:val="212121"/>
                <w:sz w:val="19"/>
              </w:rPr>
              <w:t>Coryza &amp; low-grade fever (prodrome)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Runny nose, congestion and mild fever typically precede the cough by 1–3 days.</w:t>
            </w:r>
          </w:p>
        </w:tc>
      </w:tr>
      <w:tr>
        <w:trPr>
          <w:cantSplit/>
        </w:trPr>
        <w:tc>
          <w:tcPr>
            <w:tcW w:type="dxa" w:w="2304"/>
            <w:vAlign w:val="top"/>
          </w:tcPr>
          <w:p>
            <w:pPr>
              <w:spacing w:after="40" w:before="0" w:line="259" w:lineRule="auto"/>
            </w:pPr>
            <w:r>
              <w:rPr>
                <w:rFonts w:ascii="Calibri" w:hAnsi="Calibri"/>
                <w:b/>
                <w:i w:val="0"/>
                <w:color w:val="212121"/>
                <w:sz w:val="19"/>
              </w:rPr>
              <w:t>Worsening at night and with crying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diurnal pattern; agitation increases airflow turbulence and stridor.</w:t>
            </w:r>
          </w:p>
        </w:tc>
      </w:tr>
      <w:tr>
        <w:trPr>
          <w:cantSplit/>
        </w:trPr>
        <w:tc>
          <w:tcPr>
            <w:tcW w:type="dxa" w:w="2304"/>
            <w:vAlign w:val="top"/>
          </w:tcPr>
          <w:p>
            <w:pPr>
              <w:spacing w:after="40" w:before="0" w:line="259" w:lineRule="auto"/>
            </w:pPr>
            <w:r>
              <w:rPr>
                <w:rFonts w:ascii="Calibri" w:hAnsi="Calibri"/>
                <w:b/>
                <w:i w:val="0"/>
                <w:color w:val="212121"/>
                <w:sz w:val="19"/>
              </w:rPr>
              <w:t>Fast, laboured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work of breathing from upper-airway obstruction.</w:t>
            </w:r>
          </w:p>
        </w:tc>
      </w:tr>
      <w:tr>
        <w:trPr>
          <w:cantSplit/>
        </w:trPr>
        <w:tc>
          <w:tcPr>
            <w:tcW w:type="dxa" w:w="2304"/>
            <w:vAlign w:val="top"/>
          </w:tcPr>
          <w:p>
            <w:pPr>
              <w:spacing w:after="40" w:before="0" w:line="259" w:lineRule="auto"/>
            </w:pPr>
            <w:r>
              <w:rPr>
                <w:rFonts w:ascii="Calibri" w:hAnsi="Calibri"/>
                <w:b/>
                <w:i w:val="0"/>
                <w:color w:val="212121"/>
                <w:sz w:val="19"/>
              </w:rPr>
              <w:t>Rhinorrhoea / nasal congestion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Accompanying features of the underlying viral upper-respiratory infection.</w:t>
            </w:r>
          </w:p>
        </w:tc>
      </w:tr>
      <w:tr>
        <w:trPr>
          <w:cantSplit/>
        </w:trPr>
        <w:tc>
          <w:tcPr>
            <w:tcW w:type="dxa" w:w="2304"/>
            <w:vAlign w:val="top"/>
          </w:tcPr>
          <w:p>
            <w:pPr>
              <w:spacing w:after="40" w:before="0" w:line="259" w:lineRule="auto"/>
            </w:pPr>
            <w:r>
              <w:rPr>
                <w:rFonts w:ascii="Calibri" w:hAnsi="Calibri"/>
                <w:b/>
                <w:i w:val="0"/>
                <w:color w:val="212121"/>
                <w:sz w:val="19"/>
              </w:rPr>
              <w:t>Sore throat / mild difficulty swallowing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mild; marked dysphagia or drooling instead suggests epiglottitis.</w:t>
            </w:r>
          </w:p>
        </w:tc>
      </w:tr>
      <w:tr>
        <w:trPr>
          <w:cantSplit/>
        </w:trPr>
        <w:tc>
          <w:tcPr>
            <w:tcW w:type="dxa" w:w="2304"/>
            <w:vAlign w:val="top"/>
          </w:tcPr>
          <w:p>
            <w:pPr>
              <w:spacing w:after="40" w:before="0" w:line="259" w:lineRule="auto"/>
            </w:pPr>
            <w:r>
              <w:rPr>
                <w:rFonts w:ascii="Calibri" w:hAnsi="Calibri"/>
                <w:b/>
                <w:i w:val="0"/>
                <w:color w:val="212121"/>
                <w:sz w:val="19"/>
              </w:rPr>
              <w:t>Chest-wall retractions / nasal flaring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Signs of moderate-to-severe obstruction and increased respiratory effort.</w:t>
            </w:r>
          </w:p>
        </w:tc>
      </w:tr>
      <w:tr>
        <w:trPr>
          <w:cantSplit/>
        </w:trPr>
        <w:tc>
          <w:tcPr>
            <w:tcW w:type="dxa" w:w="2304"/>
            <w:vAlign w:val="top"/>
          </w:tcPr>
          <w:p>
            <w:pPr>
              <w:spacing w:after="40" w:before="0" w:line="259" w:lineRule="auto"/>
            </w:pPr>
            <w:r>
              <w:rPr>
                <w:rFonts w:ascii="Calibri" w:hAnsi="Calibri"/>
                <w:b/>
                <w:i w:val="0"/>
                <w:color w:val="212121"/>
                <w:sz w:val="19"/>
              </w:rPr>
              <w:t>Restlessness / agitation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hypoxia or distress and can itself worsen the obstruction.</w:t>
            </w:r>
          </w:p>
        </w:tc>
      </w:tr>
      <w:tr>
        <w:trPr>
          <w:cantSplit/>
        </w:trPr>
        <w:tc>
          <w:tcPr>
            <w:tcW w:type="dxa" w:w="2304"/>
            <w:vAlign w:val="top"/>
          </w:tcPr>
          <w:p>
            <w:pPr>
              <w:spacing w:after="40" w:before="0" w:line="259" w:lineRule="auto"/>
            </w:pPr>
            <w:r>
              <w:rPr>
                <w:rFonts w:ascii="Calibri" w:hAnsi="Calibri"/>
                <w:b/>
                <w:i w:val="0"/>
                <w:color w:val="212121"/>
                <w:sz w:val="19"/>
              </w:rPr>
              <w:t>Cyanosis (bluish lips/skin)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severe hypoxia and impending respiratory failure — a medical emergency.</w:t>
            </w:r>
          </w:p>
        </w:tc>
      </w:tr>
      <w:tr>
        <w:trPr>
          <w:cantSplit/>
        </w:trPr>
        <w:tc>
          <w:tcPr>
            <w:tcW w:type="dxa" w:w="2304"/>
            <w:vAlign w:val="top"/>
          </w:tcPr>
          <w:p>
            <w:pPr>
              <w:spacing w:after="40" w:before="0" w:line="259" w:lineRule="auto"/>
            </w:pPr>
            <w:r>
              <w:rPr>
                <w:rFonts w:ascii="Calibri" w:hAnsi="Calibri"/>
                <w:b/>
                <w:i w:val="0"/>
                <w:color w:val="212121"/>
                <w:sz w:val="19"/>
              </w:rPr>
              <w:t>Lethargy / decreased responsiveness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red flag for exhaustion and impending respiratory failure.</w:t>
            </w:r>
          </w:p>
        </w:tc>
      </w:tr>
      <w:tr>
        <w:trPr>
          <w:cantSplit/>
        </w:trPr>
        <w:tc>
          <w:tcPr>
            <w:tcW w:type="dxa" w:w="2304"/>
            <w:vAlign w:val="top"/>
          </w:tcPr>
          <w:p>
            <w:pPr>
              <w:spacing w:after="40" w:before="0" w:line="259" w:lineRule="auto"/>
            </w:pPr>
            <w:r>
              <w:rPr>
                <w:rFonts w:ascii="Calibri" w:hAnsi="Calibri"/>
                <w:b/>
                <w:i w:val="0"/>
                <w:color w:val="212121"/>
                <w:sz w:val="19"/>
              </w:rPr>
              <w:t>High fever with toxic appearance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bacterial tracheitis or secondary bacterial infection rather than simple viral croup.</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Audible inspiratory stridor at rest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sign of significant subglottic narrowing; grades into moderate/severe croup.</w:t>
            </w:r>
          </w:p>
        </w:tc>
      </w:tr>
      <w:tr>
        <w:trPr>
          <w:cantSplit/>
        </w:trPr>
        <w:tc>
          <w:tcPr>
            <w:tcW w:type="dxa" w:w="3456"/>
            <w:vAlign w:val="top"/>
          </w:tcPr>
          <w:p>
            <w:pPr>
              <w:spacing w:after="40" w:before="0" w:line="259" w:lineRule="auto"/>
            </w:pPr>
            <w:r>
              <w:rPr>
                <w:rFonts w:ascii="Calibri" w:hAnsi="Calibri"/>
                <w:b/>
                <w:i w:val="0"/>
                <w:color w:val="212121"/>
                <w:sz w:val="19"/>
              </w:rPr>
              <w:t>Barking cough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seal-like cough elicited during the consultation.</w:t>
            </w:r>
          </w:p>
        </w:tc>
      </w:tr>
      <w:tr>
        <w:trPr>
          <w:cantSplit/>
        </w:trPr>
        <w:tc>
          <w:tcPr>
            <w:tcW w:type="dxa" w:w="3456"/>
            <w:vAlign w:val="top"/>
          </w:tcPr>
          <w:p>
            <w:pPr>
              <w:spacing w:after="40" w:before="0" w:line="259" w:lineRule="auto"/>
            </w:pPr>
            <w:r>
              <w:rPr>
                <w:rFonts w:ascii="Calibri" w:hAnsi="Calibri"/>
                <w:b/>
                <w:i w:val="0"/>
                <w:color w:val="212121"/>
                <w:sz w:val="19"/>
              </w:rPr>
              <w:t>Suprasternal, intercostal &amp; subcostal retractions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increased work of breathing from airway obstruction.</w:t>
            </w:r>
          </w:p>
        </w:tc>
      </w:tr>
      <w:tr>
        <w:trPr>
          <w:cantSplit/>
        </w:trPr>
        <w:tc>
          <w:tcPr>
            <w:tcW w:type="dxa" w:w="3456"/>
            <w:vAlign w:val="top"/>
          </w:tcPr>
          <w:p>
            <w:pPr>
              <w:spacing w:after="40" w:before="0" w:line="259" w:lineRule="auto"/>
            </w:pPr>
            <w:r>
              <w:rPr>
                <w:rFonts w:ascii="Calibri" w:hAnsi="Calibri"/>
                <w:b/>
                <w:i w:val="0"/>
                <w:color w:val="212121"/>
                <w:sz w:val="19"/>
              </w:rPr>
              <w:t>Tachypnoea and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Physiological response to obstruction, distress and fever.</w:t>
            </w:r>
          </w:p>
        </w:tc>
      </w:tr>
      <w:tr>
        <w:trPr>
          <w:cantSplit/>
        </w:trPr>
        <w:tc>
          <w:tcPr>
            <w:tcW w:type="dxa" w:w="3456"/>
            <w:vAlign w:val="top"/>
          </w:tcPr>
          <w:p>
            <w:pPr>
              <w:spacing w:after="40" w:before="0" w:line="259" w:lineRule="auto"/>
            </w:pPr>
            <w:r>
              <w:rPr>
                <w:rFonts w:ascii="Calibri" w:hAnsi="Calibri"/>
                <w:b/>
                <w:i w:val="0"/>
                <w:color w:val="212121"/>
                <w:sz w:val="19"/>
              </w:rPr>
              <w:t>Hoarse voice or cry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Audible laryngeal involvement.</w:t>
            </w:r>
          </w:p>
        </w:tc>
      </w:tr>
      <w:tr>
        <w:trPr>
          <w:cantSplit/>
        </w:trPr>
        <w:tc>
          <w:tcPr>
            <w:tcW w:type="dxa" w:w="3456"/>
            <w:vAlign w:val="top"/>
          </w:tcPr>
          <w:p>
            <w:pPr>
              <w:spacing w:after="40" w:before="0" w:line="259" w:lineRule="auto"/>
            </w:pPr>
            <w:r>
              <w:rPr>
                <w:rFonts w:ascii="Calibri" w:hAnsi="Calibri"/>
                <w:b/>
                <w:i w:val="0"/>
                <w:color w:val="212121"/>
                <w:sz w:val="19"/>
              </w:rPr>
              <w:t>Nasal flaring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increased respiratory effort, more prominent in moderate-to-severe disease.</w:t>
            </w:r>
          </w:p>
        </w:tc>
      </w:tr>
      <w:tr>
        <w:trPr>
          <w:cantSplit/>
        </w:trPr>
        <w:tc>
          <w:tcPr>
            <w:tcW w:type="dxa" w:w="3456"/>
            <w:vAlign w:val="top"/>
          </w:tcPr>
          <w:p>
            <w:pPr>
              <w:spacing w:after="40" w:before="0" w:line="259" w:lineRule="auto"/>
            </w:pPr>
            <w:r>
              <w:rPr>
                <w:rFonts w:ascii="Calibri" w:hAnsi="Calibri"/>
                <w:b/>
                <w:i w:val="0"/>
                <w:color w:val="212121"/>
                <w:sz w:val="19"/>
              </w:rPr>
              <w:t>Reduced air entry on auscultation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severe obstruction and reduced air movement.</w:t>
            </w:r>
          </w:p>
        </w:tc>
      </w:tr>
      <w:tr>
        <w:trPr>
          <w:cantSplit/>
        </w:trPr>
        <w:tc>
          <w:tcPr>
            <w:tcW w:type="dxa" w:w="3456"/>
            <w:vAlign w:val="top"/>
          </w:tcPr>
          <w:p>
            <w:pPr>
              <w:spacing w:after="40" w:before="0" w:line="259" w:lineRule="auto"/>
            </w:pPr>
            <w:r>
              <w:rPr>
                <w:rFonts w:ascii="Calibri" w:hAnsi="Calibri"/>
                <w:b/>
                <w:i w:val="0"/>
                <w:color w:val="212121"/>
                <w:sz w:val="19"/>
              </w:rPr>
              <w:t>Low SpO₂ on pulse oximetry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Hypoxaemia is a late sign of severe croup.</w:t>
            </w:r>
          </w:p>
        </w:tc>
      </w:tr>
      <w:tr>
        <w:trPr>
          <w:cantSplit/>
        </w:trPr>
        <w:tc>
          <w:tcPr>
            <w:tcW w:type="dxa" w:w="3456"/>
            <w:vAlign w:val="top"/>
          </w:tcPr>
          <w:p>
            <w:pPr>
              <w:spacing w:after="40" w:before="0" w:line="259" w:lineRule="auto"/>
            </w:pPr>
            <w:r>
              <w:rPr>
                <w:rFonts w:ascii="Calibri" w:hAnsi="Calibri"/>
                <w:b/>
                <w:i w:val="0"/>
                <w:color w:val="212121"/>
                <w:sz w:val="19"/>
              </w:rPr>
              <w:t>Subglottic “steeple sign” on neck radiograph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Tapered subglottic narrowing on frontal neck X-ray; supportive but not required for diagnosis.</w:t>
            </w:r>
          </w:p>
        </w:tc>
      </w:tr>
      <w:tr>
        <w:trPr>
          <w:cantSplit/>
        </w:trPr>
        <w:tc>
          <w:tcPr>
            <w:tcW w:type="dxa" w:w="3456"/>
            <w:vAlign w:val="top"/>
          </w:tcPr>
          <w:p>
            <w:pPr>
              <w:spacing w:after="40" w:before="0" w:line="259" w:lineRule="auto"/>
            </w:pPr>
            <w:r>
              <w:rPr>
                <w:rFonts w:ascii="Calibri" w:hAnsi="Calibri"/>
                <w:b/>
                <w:i w:val="0"/>
                <w:color w:val="212121"/>
                <w:sz w:val="19"/>
              </w:rPr>
              <w:t>Biphasic stridor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Stridor in both inspiration and expiration suggests severe or fixed airway narrowing.</w:t>
            </w:r>
          </w:p>
        </w:tc>
      </w:tr>
      <w:tr>
        <w:trPr>
          <w:cantSplit/>
        </w:trPr>
        <w:tc>
          <w:tcPr>
            <w:tcW w:type="dxa" w:w="3456"/>
            <w:vAlign w:val="top"/>
          </w:tcPr>
          <w:p>
            <w:pPr>
              <w:spacing w:after="40" w:before="0" w:line="259" w:lineRule="auto"/>
            </w:pPr>
            <w:r>
              <w:rPr>
                <w:rFonts w:ascii="Calibri" w:hAnsi="Calibri"/>
                <w:b/>
                <w:i w:val="0"/>
                <w:color w:val="212121"/>
                <w:sz w:val="19"/>
              </w:rPr>
              <w:t>Cyanosis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Central cyanosis reflects severe hypoxia — an emergency.</w:t>
            </w:r>
          </w:p>
        </w:tc>
      </w:tr>
      <w:tr>
        <w:trPr>
          <w:cantSplit/>
        </w:trPr>
        <w:tc>
          <w:tcPr>
            <w:tcW w:type="dxa" w:w="3456"/>
            <w:vAlign w:val="top"/>
          </w:tcPr>
          <w:p>
            <w:pPr>
              <w:spacing w:after="40" w:before="0" w:line="259" w:lineRule="auto"/>
            </w:pPr>
            <w:r>
              <w:rPr>
                <w:rFonts w:ascii="Calibri" w:hAnsi="Calibri"/>
                <w:b/>
                <w:i w:val="0"/>
                <w:color w:val="212121"/>
                <w:sz w:val="19"/>
              </w:rPr>
              <w:t>Altered consciousness / marked lethargy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impending respiratory failure requiring immediate airway support.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upper-airway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Hypoxia and increased work of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from reduced intake with fever and tachypnoea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disruption from night-time cough and stridor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distress in child and caregivers</w:t>
            </w:r>
          </w:p>
        </w:tc>
        <w:tc>
          <w:tcPr>
            <w:tcW w:type="dxa" w:w="2980"/>
            <w:vAlign w:val="top"/>
          </w:tcPr>
          <w:p>
            <w:pPr>
              <w:spacing w:after="40" w:before="0" w:line="259" w:lineRule="auto"/>
            </w:pPr>
            <w:r>
              <w:rPr>
                <w:rFonts w:ascii="Calibri" w:hAnsi="Calibri"/>
                <w:b w:val="0"/>
                <w:i w:val="0"/>
                <w:color w:val="212121"/>
                <w:sz w:val="19"/>
              </w:rPr>
              <w:t>Direct consequences of subglottic inflammation and airflow obstruction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tracheitis (secondary bacterial superinfection)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Pneumonia / lower-respiratory-tract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Post-obstructive pulmonary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croup</w:t>
            </w:r>
          </w:p>
        </w:tc>
        <w:tc>
          <w:tcPr>
            <w:tcW w:type="dxa" w:w="2980"/>
            <w:vAlign w:val="top"/>
          </w:tcPr>
          <w:p>
            <w:pPr>
              <w:spacing w:after="40" w:before="0" w:line="259" w:lineRule="auto"/>
            </w:pPr>
            <w:r>
              <w:rPr>
                <w:rFonts w:ascii="Calibri" w:hAnsi="Calibri"/>
                <w:b w:val="0"/>
                <w:i w:val="0"/>
                <w:color w:val="212121"/>
                <w:sz w:val="19"/>
              </w:rPr>
              <w:t>Secondary infection or spread of the underlying viral illness and its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requiring intubation and mechanical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Hypoxic-ischaemic injury from prolonged severe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Post-intubation (acquired) subglottic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Rarely, death from unrelieved airway obstruction</w:t>
            </w:r>
          </w:p>
        </w:tc>
        <w:tc>
          <w:tcPr>
            <w:tcW w:type="dxa" w:w="2980"/>
            <w:vAlign w:val="top"/>
          </w:tcPr>
          <w:p>
            <w:pPr>
              <w:spacing w:after="40" w:before="0" w:line="259" w:lineRule="auto"/>
            </w:pPr>
            <w:r>
              <w:rPr>
                <w:rFonts w:ascii="Calibri" w:hAnsi="Calibri"/>
                <w:b w:val="0"/>
                <w:i w:val="0"/>
                <w:color w:val="212121"/>
                <w:sz w:val="19"/>
              </w:rPr>
              <w:t>Rare, severe or disabling outcomes of unrelieved or complicated disease; intubation is needed in well under 3% of admitted children and mortality is under 0.5%</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Asthma / reactive airway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Airway hyperreactivity overlaps with spasmodic croup; recurrent croup is commoner in asthmatic, atopic children and each can complicate the other.</w:t>
            </w:r>
          </w:p>
        </w:tc>
      </w:tr>
      <w:tr>
        <w:trPr>
          <w:cantSplit/>
        </w:trPr>
        <w:tc>
          <w:tcPr>
            <w:tcW w:type="dxa" w:w="2232"/>
            <w:vAlign w:val="top"/>
          </w:tcPr>
          <w:p>
            <w:pPr>
              <w:spacing w:after="40" w:before="0" w:line="259" w:lineRule="auto"/>
            </w:pPr>
            <w:r>
              <w:rPr>
                <w:rFonts w:ascii="Calibri" w:hAnsi="Calibri"/>
                <w:b/>
                <w:i w:val="0"/>
                <w:color w:val="212121"/>
                <w:sz w:val="19"/>
              </w:rPr>
              <w:t>Atopy / allergic rhinitis / eczema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Atopic background predisposes to recurrent (spasmodic) croup through airway hyperreactivity.</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laryngeal irritation from reflux is associated with recurrent croup; treating reflux may reduce episodes.</w:t>
            </w:r>
          </w:p>
        </w:tc>
      </w:tr>
      <w:tr>
        <w:trPr>
          <w:cantSplit/>
        </w:trPr>
        <w:tc>
          <w:tcPr>
            <w:tcW w:type="dxa" w:w="2232"/>
            <w:vAlign w:val="top"/>
          </w:tcPr>
          <w:p>
            <w:pPr>
              <w:spacing w:after="40" w:before="0" w:line="259" w:lineRule="auto"/>
            </w:pPr>
            <w:r>
              <w:rPr>
                <w:rFonts w:ascii="Calibri" w:hAnsi="Calibri"/>
                <w:b/>
                <w:i w:val="0"/>
                <w:color w:val="212121"/>
                <w:sz w:val="19"/>
              </w:rPr>
              <w:t>Subglottic stenosis (congenital or acquired)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pre-existing narrow airway means added viral oedema causes disproportionate obstruction and recurrent/severe croup.</w:t>
            </w:r>
          </w:p>
        </w:tc>
      </w:tr>
      <w:tr>
        <w:trPr>
          <w:cantSplit/>
        </w:trPr>
        <w:tc>
          <w:tcPr>
            <w:tcW w:type="dxa" w:w="2232"/>
            <w:vAlign w:val="top"/>
          </w:tcPr>
          <w:p>
            <w:pPr>
              <w:spacing w:after="40" w:before="0" w:line="259" w:lineRule="auto"/>
            </w:pPr>
            <w:r>
              <w:rPr>
                <w:rFonts w:ascii="Calibri" w:hAnsi="Calibri"/>
                <w:b/>
                <w:i w:val="0"/>
                <w:color w:val="212121"/>
                <w:sz w:val="19"/>
              </w:rPr>
              <w:t>Prematurity / prior neonatal intubation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Neonatal intubation can cause acquired subglottic narrowing, lowering the threshold for severe croup.</w:t>
            </w:r>
          </w:p>
        </w:tc>
      </w:tr>
      <w:tr>
        <w:trPr>
          <w:cantSplit/>
        </w:trPr>
        <w:tc>
          <w:tcPr>
            <w:tcW w:type="dxa" w:w="2232"/>
            <w:vAlign w:val="top"/>
          </w:tcPr>
          <w:p>
            <w:pPr>
              <w:spacing w:after="40" w:before="0" w:line="259" w:lineRule="auto"/>
            </w:pPr>
            <w:r>
              <w:rPr>
                <w:rFonts w:ascii="Calibri" w:hAnsi="Calibri"/>
                <w:b/>
                <w:i w:val="0"/>
                <w:color w:val="212121"/>
                <w:sz w:val="19"/>
              </w:rPr>
              <w:t>Bacterial tracheitis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Secondary bacterial infection of the trachea produces a toxic child with high fever and poor response to standard croup treatment — a dangerous complication.</w:t>
            </w:r>
          </w:p>
        </w:tc>
      </w:tr>
      <w:tr>
        <w:trPr>
          <w:cantSplit/>
        </w:trPr>
        <w:tc>
          <w:tcPr>
            <w:tcW w:type="dxa" w:w="2232"/>
            <w:vAlign w:val="top"/>
          </w:tcPr>
          <w:p>
            <w:pPr>
              <w:spacing w:after="40" w:before="0" w:line="259" w:lineRule="auto"/>
            </w:pPr>
            <w:r>
              <w:rPr>
                <w:rFonts w:ascii="Calibri" w:hAnsi="Calibri"/>
                <w:b/>
                <w:i w:val="0"/>
                <w:color w:val="212121"/>
                <w:sz w:val="19"/>
              </w:rPr>
              <w:t>Pneumonia / lower-respiratory-tract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causative viruses can also involve the lower airway, and pneumonia may complicate or coexist with croup.</w:t>
            </w:r>
          </w:p>
        </w:tc>
      </w:tr>
      <w:tr>
        <w:trPr>
          <w:cantSplit/>
        </w:trPr>
        <w:tc>
          <w:tcPr>
            <w:tcW w:type="dxa" w:w="2232"/>
            <w:vAlign w:val="top"/>
          </w:tcPr>
          <w:p>
            <w:pPr>
              <w:spacing w:after="40" w:before="0" w:line="259" w:lineRule="auto"/>
            </w:pPr>
            <w:r>
              <w:rPr>
                <w:rFonts w:ascii="Calibri" w:hAnsi="Calibri"/>
                <w:b/>
                <w:i w:val="0"/>
                <w:color w:val="212121"/>
                <w:sz w:val="19"/>
              </w:rPr>
              <w:t>Acute otitis media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frequent concurrent complication of the same viral upper-respiratory infection.</w:t>
            </w:r>
          </w:p>
        </w:tc>
      </w:tr>
      <w:tr>
        <w:trPr>
          <w:cantSplit/>
        </w:trPr>
        <w:tc>
          <w:tcPr>
            <w:tcW w:type="dxa" w:w="2232"/>
            <w:vAlign w:val="top"/>
          </w:tcPr>
          <w:p>
            <w:pPr>
              <w:spacing w:after="40" w:before="0" w:line="259" w:lineRule="auto"/>
            </w:pPr>
            <w:r>
              <w:rPr>
                <w:rFonts w:ascii="Calibri" w:hAnsi="Calibri"/>
                <w:b/>
                <w:i w:val="0"/>
                <w:color w:val="212121"/>
                <w:sz w:val="19"/>
              </w:rPr>
              <w:t>Laryngomalacia / congenital airway anomaly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intrinsically floppy or narrow airway worsens obstruction during otherwise mild croup.</w:t>
            </w:r>
          </w:p>
        </w:tc>
      </w:tr>
      <w:tr>
        <w:trPr>
          <w:cantSplit/>
        </w:trPr>
        <w:tc>
          <w:tcPr>
            <w:tcW w:type="dxa" w:w="2232"/>
            <w:vAlign w:val="top"/>
          </w:tcPr>
          <w:p>
            <w:pPr>
              <w:spacing w:after="40" w:before="0" w:line="259" w:lineRule="auto"/>
            </w:pPr>
            <w:r>
              <w:rPr>
                <w:rFonts w:ascii="Calibri" w:hAnsi="Calibri"/>
                <w:b/>
                <w:i w:val="0"/>
                <w:color w:val="212121"/>
                <w:sz w:val="19"/>
              </w:rPr>
              <w:t>Influenza / RSV / SARS-CoV-2 co-infection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Alternative or co-existing viral causes that can alter the severity and seasonality of croup.</w:t>
            </w:r>
          </w:p>
        </w:tc>
      </w:tr>
      <w:tr>
        <w:trPr>
          <w:cantSplit/>
        </w:trPr>
        <w:tc>
          <w:tcPr>
            <w:tcW w:type="dxa" w:w="2232"/>
            <w:vAlign w:val="top"/>
          </w:tcPr>
          <w:p>
            <w:pPr>
              <w:spacing w:after="40" w:before="0" w:line="259" w:lineRule="auto"/>
            </w:pPr>
            <w:r>
              <w:rPr>
                <w:rFonts w:ascii="Calibri" w:hAnsi="Calibri"/>
                <w:b/>
                <w:i w:val="0"/>
                <w:color w:val="212121"/>
                <w:sz w:val="19"/>
              </w:rPr>
              <w:t>Diphtheria (laryngeal / membranous croup)</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vaccine-preventable cause and mimic of croup in under-immunised children, important where DPT coverage is incomplete.</w:t>
            </w:r>
          </w:p>
        </w:tc>
      </w:tr>
      <w:tr>
        <w:trPr>
          <w:cantSplit/>
        </w:trPr>
        <w:tc>
          <w:tcPr>
            <w:tcW w:type="dxa" w:w="2232"/>
            <w:vAlign w:val="top"/>
          </w:tcPr>
          <w:p>
            <w:pPr>
              <w:spacing w:after="40" w:before="0" w:line="259" w:lineRule="auto"/>
            </w:pPr>
            <w:r>
              <w:rPr>
                <w:rFonts w:ascii="Calibri" w:hAnsi="Calibri"/>
                <w:b/>
                <w:i w:val="0"/>
                <w:color w:val="212121"/>
                <w:sz w:val="19"/>
              </w:rPr>
              <w:t>Child &amp; caregiver distress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Agitation and crying directly worsen airway obstruction, so keeping the child calm is central to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croup — a sudden barking, seal-like cough with a hoarse voice and noisy breathing, usually worse at night — and that most cases are mild and settle within a few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child calm and comfortable, as crying and distress worsen the airway narrowing; allow the child to stay in the position they find easiest and never force them to lie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single dose of the steroid dexamethasone, prescribed by a doctor, benefits croup of all severities — avoid unproven or harmful home remedies.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urgent/emergency care for red flags: noisy breathing (stridor) at rest, in-drawing of the chest, drooling or difficulty swallowing, bluish lips, drowsiness or a toxic, very unwell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all routine childhood immunisations (DPT, Hib, measles and annual influenza) to prevent vaccine-preventable causes and mimics of croup.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viral spread with regular handwashing, covering coughs and keeping unwell children away from others; keep the home smoke-free.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Daycare/creche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Under-immunised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recurrent-croup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Smoke-exposed homes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episode, keep the child calm and at rest — exertion, crying and agitation increase stridor and breathing effort.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Let the child adopt the position of comfort, usually upright and often held on a caregiver's 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or upsetting examinations and procedures that may distress the child and worsen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play and activity gradually as symptoms settle, typically over 3–7 days.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active croup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Distressed / agitated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croup at home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exclusive breastfeeding to 6 months and continued breastfeeding thereafter to strengthen immune defences.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age-appropriate nutrition and adequate vitamin A to reduce the frequency and severity of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general nutrition and growth monitoring, especially in 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child well hydrated during any respiratory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young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small, frequent amounts of fluids to maintain hydration and help loosen secretions.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force feeds while the child is distressed or working hard to breathe.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signs of dehydration (dry mouth, reduced wet nappies, lethargy) and seek care if they appear.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breast or usual milk feeds as tolerated during the acute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acute croup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Poorly-feeding infants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symptoms to be worse at night and keep the child settled in a calm, comfortable environment.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Comfort and reassure the child to promote rest, holding them upright if that eases 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caregiver monitors the child overnight, watching breathing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care if stridor is heard at rest or during sleep, or if breathing becomes laboured.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acute croup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Night-time symptom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car strictly smoke-free — no smoking around the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biomass and cooking smoke with improved ventilation or clean cooking fuels.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smoking caregivers to quit, with counselling and pharmacotherapy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taking young children to smoky or heavily polluted indoor environments.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of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high-pollution homes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is not relevant to the child, but caregivers should avoid alcohol or substance use that could impair their ability to supervise and respond to an unwell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sober, alert adult is always available to monitor a child with croup, especially overnight.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overall infant respiratory health by avoiding alcohol and smoking in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young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child calm — distress and crying directly worsen airway obstruction — using gentle comforting, familiar toys and a parent's presence.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and educate caregivers so their own anxiety does not transmit to the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the expected short, self-limiting course to reduce fear and unnecessary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quiet, unhurried approach during assessment and treatment to minimise agitation.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active croup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Distressed / agitated children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31070/" TargetMode="External"/><Relationship Id="rId10" Type="http://schemas.openxmlformats.org/officeDocument/2006/relationships/hyperlink" Target="https://www.aafp.org/pubs/afp/issues/2018/0501/p575.html" TargetMode="External"/><Relationship Id="rId11" Type="http://schemas.openxmlformats.org/officeDocument/2006/relationships/hyperlink" Target="https://pubmed.ncbi.nlm.nih.gov/37280601/" TargetMode="External"/><Relationship Id="rId12" Type="http://schemas.openxmlformats.org/officeDocument/2006/relationships/hyperlink" Target="https://pubmed.ncbi.nlm.nih.gov/32797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