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Bronchiolitis / RSV (pediatric)</w:t>
      </w:r>
    </w:p>
    <w:p>
      <w:pPr>
        <w:spacing w:before="0" w:after="160"/>
      </w:pPr>
      <w:r>
        <w:rPr>
          <w:rFonts w:ascii="Calibri" w:hAnsi="Calibri"/>
          <w:b/>
          <w:i w:val="0"/>
          <w:color w:val="212121"/>
          <w:sz w:val="22"/>
        </w:rPr>
        <w:t xml:space="preserve">AKA </w:t>
      </w:r>
      <w:r>
        <w:rPr>
          <w:rFonts w:ascii="Calibri" w:hAnsi="Calibri"/>
          <w:b w:val="0"/>
          <w:i w:val="0"/>
          <w:color w:val="212121"/>
          <w:sz w:val="22"/>
        </w:rPr>
        <w:t>i.e., Acute viral bronchiolitis, RSV bronchiolitis, Respiratory syncytial virus lower respiratory tract infection, Wheezy chest infection of infancy</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Bronchiolitis is an acute viral infection and inflammation of the bronchioles - the smallest airways of the lung - in infants and children under 2 years, causing mucosal oedema, mucus plugging and sloughed-cell debris that obstruct the small airways and produce wheeze, crackles and respiratory distress. Respiratory syncytial virus (RSV) is by far the commonest cause. It typically begins as an upper-respiratory illness and progresses over 2-3 days to lower-airway involvement, and in most children is a self-limiting illness lasting 7-14 days, though young, preterm and comorbid infants can develop severe disease. The diagnosis is clinical.</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Nearly all children are infected with respiratory syncytial virus (RSV) by their second birthday, and RSV is the single commonest viral cause of bronchiolitis and infant lower-respiratory-tract infection worldwide. Globally an estimated 33.8 million episodes of RSV-associated acute lower respiratory infection (ALRI) occur each year in children under 5, with about 3.4 million requiring hospital admission and 66,000-199,000 deaths - roughly 99% of them in low- and middle-income countries. India, with the world's largest annual birth cohort, carries one of the heaviest absolute burdens: Indian hospital-based surveillance repeatedly identifies RSV as the most frequently detected virus in infants admitted with bronchiolitis and ALRI, and lower-respiratory infection remains a leading cause of under-5 death in the country.</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Bronchiolitis is a clinical diagnosis based on the typical age together with history and examination findings; routine laboratory tests and imaging are not required in typical cases: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first episode of wheeze and/or fine crackles in a child under 24 months (usually under 12 months), preceded by 1-3 days of coryza, cough and low-grade fever;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Signs of lower-airway obstruction - tachypnoea, chest-wall retractions, nasal flaring, hyperinflation, wheeze and/or crackles, and prolonged expiration;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Pulse oximetry to assess oxygenation; persistent SpO2 below about 90-92% indicates severe disease and the need for supplemental oxygen and admission;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Assessment of feeding and hydration (feed volume, wet nappies) and of danger signs such as apnoea, grunting, marked lethargy or cyanosis;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Viral identification (RSV rapid antigen or multiplex RT-PCR from a nasopharyngeal sample) is optional - it confirms aetiology and aids cohorting but does not change management of typical cases;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Chest radiography and blood tests are reserved for atypical, severe or deteriorating presentations, to exclude pneumonia, foreign body, heart failure or bacterial infection.</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Bronchiolitis is classified clinically by severity and by causative virus, which together guide management:</w:t>
      </w:r>
    </w:p>
    <w:p>
      <w:pPr>
        <w:spacing w:before="0" w:after="80"/>
      </w:pPr>
      <w:r>
        <w:rPr>
          <w:rFonts w:ascii="Calibri" w:hAnsi="Calibri"/>
          <w:b w:val="0"/>
          <w:i w:val="0"/>
          <w:color w:val="212121"/>
          <w:sz w:val="21"/>
        </w:rPr>
        <w:t>(1) By severity - Mild: feeding well, mild tachypnoea and minimal recession, SpO2 &gt;= 92%, manageable at home; Moderate: some feeding difficulty, moderate recession, SpO2 90-92%, needs observation; Severe: poor feeding, marked recession, grunting, apnoea or cyanosis, SpO2 &lt; 90%, requiring oxygen and admission.</w:t>
      </w:r>
    </w:p>
    <w:p>
      <w:pPr>
        <w:spacing w:before="0" w:after="80"/>
      </w:pPr>
      <w:r>
        <w:rPr>
          <w:rFonts w:ascii="Calibri" w:hAnsi="Calibri"/>
          <w:b w:val="0"/>
          <w:i w:val="0"/>
          <w:color w:val="212121"/>
          <w:sz w:val="21"/>
        </w:rPr>
        <w:t>(2) By aetiology - RSV bronchiolitis, the commonest form, and non-RSV bronchiolitis caused by rhinovirus, human metapneumovirus, parainfluenza, adenovirus, influenza, coronavirus or human bocavirus; roughly 30% of infants have more than one virus present at the same time.</w:t>
      </w:r>
    </w:p>
    <w:p>
      <w:pPr>
        <w:spacing w:before="0" w:after="80"/>
      </w:pPr>
      <w:r>
        <w:rPr>
          <w:rFonts w:ascii="Calibri" w:hAnsi="Calibri"/>
          <w:b w:val="0"/>
          <w:i w:val="0"/>
          <w:color w:val="212121"/>
          <w:sz w:val="21"/>
        </w:rPr>
        <w:t>(3) By course - Acute self-limiting bronchiolitis (most cases, resolving over 7-14 days with cough lingering up to 3 weeks) versus post-bronchiolitis recurrent wheeze, in which RSV or rhinovirus disease is followed by episodic wheeze and a higher long-term risk of childhood asthma.</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Respiratory syncytial virus (RSV): The predominant cause; it infects and destroys bronchiolar epithelium, producing mucosal oedema, mucus plugging and sloughed-cell debris that obstruct the small airways.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Other respiratory viruses: Rhinovirus, human metapneumovirus, parainfluenza, adenovirus, influenza, coronavirus and human bocavirus can each cause bronchiolitis, and about 30% of infants have co-infection with more than one virus.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Young age and small airway calibre: Infants, especially those under 6 months, have narrow bronchioles easily occluded by inflammation, together with immature immunity and low respiratory reserve.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Prematurity and chronic lung disease: Reduced transplacental antibody transfer and immature, poorly compliant lungs markedly raise both susceptibility and severity.</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Congenital heart disease: Pulmonary over-circulation lowers respiratory reserve and predisposes to severe disease and heart failure.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Environmental exposure: Household passive tobacco and biomass smoke, crowding, daycare attendance, older siblings and lack of breastfeeding increase both transmission and severity.</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Seasonality: RSV circulates in seasonal winter and monsoon epidemics, concentrating exposure and clustering cases.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Young infants (0-6 months)</w:t>
            </w:r>
          </w:p>
        </w:tc>
        <w:tc>
          <w:tcPr>
            <w:tcW w:type="dxa" w:w="4276"/>
            <w:vAlign w:val="top"/>
          </w:tcPr>
          <w:p>
            <w:pPr>
              <w:spacing w:after="60" w:line="259" w:lineRule="auto"/>
            </w:pPr>
            <w:r>
              <w:rPr>
                <w:rFonts w:ascii="Calibri" w:hAnsi="Calibri"/>
                <w:b w:val="0"/>
                <w:i w:val="0"/>
                <w:color w:val="212121"/>
                <w:sz w:val="19"/>
              </w:rPr>
              <w:t>Infants under 6 months have the narrowest airways and the most immature immune and respiratory systems, so bronchiolar oedema and mucus plugging rapidly obstruct airflow; they are also the most prone to apnoea. This is the peak age for severe RSV disease, hospitalisation and death.</w:t>
            </w:r>
          </w:p>
          <w:p>
            <w:pPr>
              <w:spacing w:after="40" w:before="60" w:line="259" w:lineRule="auto"/>
            </w:pPr>
            <w:r>
              <w:rPr>
                <w:rFonts w:ascii="Calibri" w:hAnsi="Calibri"/>
                <w:b w:val="0"/>
                <w:i w:val="0"/>
                <w:color w:val="212121"/>
                <w:sz w:val="19"/>
              </w:rPr>
              <w:t>In the US, 2-3 of every 100 infants younger than 3 months are hospitalised with RSV each year, and about half of childhood RSV deaths occur in infants under 6 months.</w:t>
            </w:r>
          </w:p>
          <w:p>
            <w:pPr>
              <w:spacing w:after="40" w:line="252" w:lineRule="auto"/>
            </w:pPr>
            <w:hyperlink r:id="rId9">
              <w:r>
                <w:rPr>
                  <w:rFonts w:ascii="Calibri" w:hAnsi="Calibri" w:cs="Calibri"/>
                  <w:sz w:val="18"/>
                  <w:color w:val="1155CC"/>
                  <w:u w:val="single"/>
                </w:rPr>
                <w:t xml:space="preserve">cdc.gov - RSV in infants and young children</w:t>
              </w:r>
            </w:hyperlink>
          </w:p>
          <w:p>
            <w:pPr>
              <w:spacing w:before="60" w:after="40"/>
            </w:pPr>
            <w:r>
              <w:rPr>
                <w:rFonts w:ascii="Calibri" w:hAnsi="Calibri"/>
                <w:b w:val="0"/>
                <w:i w:val="0"/>
                <w:color w:val="5A5A5A"/>
                <w:sz w:val="18"/>
              </w:rPr>
              <w:t>#infant  #apnoea  #severeRSV  #bronchiolitis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(&gt;= 65 years)</w:t>
            </w:r>
          </w:p>
        </w:tc>
        <w:tc>
          <w:tcPr>
            <w:tcW w:type="dxa" w:w="4276"/>
            <w:vAlign w:val="top"/>
          </w:tcPr>
          <w:p>
            <w:pPr>
              <w:spacing w:after="60" w:line="259" w:lineRule="auto"/>
            </w:pPr>
            <w:r>
              <w:rPr>
                <w:rFonts w:ascii="Calibri" w:hAnsi="Calibri"/>
                <w:b w:val="0"/>
                <w:i w:val="0"/>
                <w:color w:val="212121"/>
                <w:sz w:val="19"/>
              </w:rPr>
              <w:t>Although bronchiolitis is a disease of infancy, RSV - its principal cause - also produces severe lower-respiratory disease in older adults through immunosenescence and cardiopulmonary comorbidity. Elderly household contacts are both a reservoir for infant infection and a high-risk group themselves.</w:t>
            </w:r>
          </w:p>
          <w:p>
            <w:pPr>
              <w:spacing w:after="40" w:before="60" w:line="259" w:lineRule="auto"/>
            </w:pPr>
            <w:r>
              <w:rPr>
                <w:rFonts w:ascii="Calibri" w:hAnsi="Calibri"/>
                <w:b w:val="0"/>
                <w:i w:val="0"/>
                <w:color w:val="212121"/>
                <w:sz w:val="19"/>
              </w:rPr>
              <w:t>RSV causes an estimated 160,000 hospitalisations and 10,000 deaths each year among US adults over 65.</w:t>
            </w:r>
          </w:p>
          <w:p>
            <w:pPr>
              <w:spacing w:after="40" w:line="252" w:lineRule="auto"/>
            </w:pPr>
            <w:hyperlink r:id="rId10">
              <w:r>
                <w:rPr>
                  <w:rFonts w:ascii="Calibri" w:hAnsi="Calibri" w:cs="Calibri"/>
                  <w:sz w:val="18"/>
                  <w:color w:val="1155CC"/>
                  <w:u w:val="single"/>
                </w:rPr>
                <w:t xml:space="preserve">who.int - RSV fact sheet</w:t>
              </w:r>
            </w:hyperlink>
          </w:p>
          <w:p>
            <w:pPr>
              <w:spacing w:before="60" w:after="40"/>
            </w:pPr>
            <w:r>
              <w:rPr>
                <w:rFonts w:ascii="Calibri" w:hAnsi="Calibri"/>
                <w:b w:val="0"/>
                <w:i w:val="0"/>
                <w:color w:val="5A5A5A"/>
                <w:sz w:val="18"/>
              </w:rPr>
              <w:t>#elderly  #RSV  #immunosenescence  #reservoir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 infants</w:t>
            </w:r>
          </w:p>
        </w:tc>
        <w:tc>
          <w:tcPr>
            <w:tcW w:type="dxa" w:w="4276"/>
            <w:vAlign w:val="top"/>
          </w:tcPr>
          <w:p>
            <w:pPr>
              <w:spacing w:after="60" w:line="259" w:lineRule="auto"/>
            </w:pPr>
            <w:r>
              <w:rPr>
                <w:rFonts w:ascii="Calibri" w:hAnsi="Calibri"/>
                <w:b w:val="0"/>
                <w:i w:val="0"/>
                <w:color w:val="212121"/>
                <w:sz w:val="19"/>
              </w:rPr>
              <w:t>Male infants have relatively narrower peripheral airways for a given lung size and consistently show higher rates of bronchiolitis hospitalisation and severe disease than females during the first year of life.</w:t>
            </w:r>
          </w:p>
          <w:p>
            <w:pPr>
              <w:spacing w:after="40" w:before="60" w:line="259" w:lineRule="auto"/>
            </w:pPr>
            <w:r>
              <w:rPr>
                <w:rFonts w:ascii="Calibri" w:hAnsi="Calibri"/>
                <w:b w:val="0"/>
                <w:i w:val="0"/>
                <w:color w:val="212121"/>
                <w:sz w:val="19"/>
              </w:rPr>
              <w:t>Male sex is a recognised risk factor for more severe bronchiolitis and higher infant admission rates.</w:t>
            </w:r>
          </w:p>
          <w:p>
            <w:pPr>
              <w:spacing w:before="60" w:after="40"/>
            </w:pPr>
            <w:r>
              <w:rPr>
                <w:rFonts w:ascii="Calibri" w:hAnsi="Calibri"/>
                <w:b w:val="0"/>
                <w:i w:val="0"/>
                <w:color w:val="5A5A5A"/>
                <w:sz w:val="18"/>
              </w:rPr>
              <w:t>#malesex  #airwaycalibre  #infant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&amp; crowded households</w:t>
            </w:r>
          </w:p>
        </w:tc>
        <w:tc>
          <w:tcPr>
            <w:tcW w:type="dxa" w:w="4276"/>
            <w:vAlign w:val="top"/>
          </w:tcPr>
          <w:p>
            <w:pPr>
              <w:spacing w:after="60" w:line="259" w:lineRule="auto"/>
            </w:pPr>
            <w:r>
              <w:rPr>
                <w:rFonts w:ascii="Calibri" w:hAnsi="Calibri"/>
                <w:b w:val="0"/>
                <w:i w:val="0"/>
                <w:color w:val="212121"/>
                <w:sz w:val="19"/>
              </w:rPr>
              <w:t>Overcrowding, indoor biomass and tobacco smoke, undernutrition and limited access to timely oxygen and supportive care increase both transmission and case-fatality of RSV bronchiolitis - the dominant reason severe outcomes cluster in poorer settings such as much of India.</w:t>
            </w:r>
          </w:p>
          <w:p>
            <w:pPr>
              <w:spacing w:after="40" w:before="60" w:line="259" w:lineRule="auto"/>
            </w:pPr>
            <w:r>
              <w:rPr>
                <w:rFonts w:ascii="Calibri" w:hAnsi="Calibri"/>
                <w:b w:val="0"/>
                <w:i w:val="0"/>
                <w:color w:val="212121"/>
                <w:sz w:val="19"/>
              </w:rPr>
              <w:t>Around 99% of RSV-associated ALRI deaths in children under 5 occur in developing (low- and middle-income) countries.</w:t>
            </w:r>
          </w:p>
          <w:p>
            <w:pPr>
              <w:spacing w:after="40" w:line="252" w:lineRule="auto"/>
            </w:pPr>
            <w:hyperlink r:id="rId11">
              <w:r>
                <w:rPr>
                  <w:rFonts w:ascii="Calibri" w:hAnsi="Calibri" w:cs="Calibri"/>
                  <w:sz w:val="18"/>
                  <w:color w:val="1155CC"/>
                  <w:u w:val="single"/>
                </w:rPr>
                <w:t xml:space="preserve">pmc.ncbi.nlm.nih.gov - Nair et al, Lancet 2010</w:t>
              </w:r>
            </w:hyperlink>
          </w:p>
          <w:p>
            <w:pPr>
              <w:spacing w:before="60" w:after="40"/>
            </w:pPr>
            <w:r>
              <w:rPr>
                <w:rFonts w:ascii="Calibri" w:hAnsi="Calibri"/>
                <w:b w:val="0"/>
                <w:i w:val="0"/>
                <w:color w:val="5A5A5A"/>
                <w:sz w:val="18"/>
              </w:rPr>
              <w:t>#poverty  #crowding  #indoorairpollution  #India</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Ethnicity/Region</w:t>
            </w:r>
          </w:p>
        </w:tc>
        <w:tc>
          <w:tcPr>
            <w:tcW w:type="dxa" w:w="2160"/>
            <w:vAlign w:val="top"/>
          </w:tcPr>
          <w:p>
            <w:pPr>
              <w:spacing w:after="40" w:before="0" w:line="259" w:lineRule="auto"/>
            </w:pPr>
            <w:r>
              <w:rPr>
                <w:rFonts w:ascii="Calibri" w:hAnsi="Calibri"/>
                <w:b w:val="0"/>
                <w:i w:val="0"/>
                <w:color w:val="212121"/>
                <w:sz w:val="19"/>
              </w:rPr>
              <w:t>Indian &amp; South Asian infants</w:t>
            </w:r>
          </w:p>
        </w:tc>
        <w:tc>
          <w:tcPr>
            <w:tcW w:type="dxa" w:w="4276"/>
            <w:vAlign w:val="top"/>
          </w:tcPr>
          <w:p>
            <w:pPr>
              <w:spacing w:after="60" w:line="259" w:lineRule="auto"/>
            </w:pPr>
            <w:r>
              <w:rPr>
                <w:rFonts w:ascii="Calibri" w:hAnsi="Calibri"/>
                <w:b w:val="0"/>
                <w:i w:val="0"/>
                <w:color w:val="212121"/>
                <w:sz w:val="19"/>
              </w:rPr>
              <w:t>South Asian infants experience a high burden of acute lower-respiratory infection driven by dense households, high birth rates, undernutrition and seasonal viral epidemics, with RSV the leading viral cause. India's very large birth cohort makes its absolute RSV burden among the highest in the world.</w:t>
            </w:r>
          </w:p>
          <w:p>
            <w:pPr>
              <w:spacing w:after="40" w:before="60" w:line="259" w:lineRule="auto"/>
            </w:pPr>
            <w:r>
              <w:rPr>
                <w:rFonts w:ascii="Calibri" w:hAnsi="Calibri"/>
                <w:b w:val="0"/>
                <w:i w:val="0"/>
                <w:color w:val="212121"/>
                <w:sz w:val="19"/>
              </w:rPr>
              <w:t>An estimated 33.8 million RSV-ALRI episodes occur worldwide each year in children under 5, with 99% of deaths in developing countries including India.</w:t>
            </w:r>
          </w:p>
          <w:p>
            <w:pPr>
              <w:spacing w:after="40" w:line="252" w:lineRule="auto"/>
            </w:pPr>
            <w:hyperlink r:id="rId11">
              <w:r>
                <w:rPr>
                  <w:rFonts w:ascii="Calibri" w:hAnsi="Calibri" w:cs="Calibri"/>
                  <w:sz w:val="18"/>
                  <w:color w:val="1155CC"/>
                  <w:u w:val="single"/>
                </w:rPr>
                <w:t xml:space="preserve">pmc.ncbi.nlm.nih.gov - Nair et al, Lancet 2010</w:t>
              </w:r>
            </w:hyperlink>
          </w:p>
          <w:p>
            <w:pPr>
              <w:spacing w:before="60" w:after="40"/>
            </w:pPr>
            <w:r>
              <w:rPr>
                <w:rFonts w:ascii="Calibri" w:hAnsi="Calibri"/>
                <w:b w:val="0"/>
                <w:i w:val="0"/>
                <w:color w:val="5A5A5A"/>
                <w:sz w:val="18"/>
              </w:rPr>
              <w:t>#India  #SouthAsia  #ALRI  #birthcohort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Indigenous/Rural</w:t>
            </w:r>
          </w:p>
        </w:tc>
        <w:tc>
          <w:tcPr>
            <w:tcW w:type="dxa" w:w="2160"/>
            <w:vAlign w:val="top"/>
          </w:tcPr>
          <w:p>
            <w:pPr>
              <w:spacing w:after="40" w:before="0" w:line="259" w:lineRule="auto"/>
            </w:pPr>
            <w:r>
              <w:rPr>
                <w:rFonts w:ascii="Calibri" w:hAnsi="Calibri"/>
                <w:b w:val="0"/>
                <w:i w:val="0"/>
                <w:color w:val="212121"/>
                <w:sz w:val="19"/>
              </w:rPr>
              <w:t>Tribal, rural &amp; indigenous infants</w:t>
            </w:r>
          </w:p>
        </w:tc>
        <w:tc>
          <w:tcPr>
            <w:tcW w:type="dxa" w:w="4276"/>
            <w:vAlign w:val="top"/>
          </w:tcPr>
          <w:p>
            <w:pPr>
              <w:spacing w:after="60" w:line="259" w:lineRule="auto"/>
            </w:pPr>
            <w:r>
              <w:rPr>
                <w:rFonts w:ascii="Calibri" w:hAnsi="Calibri"/>
                <w:b w:val="0"/>
                <w:i w:val="0"/>
                <w:color w:val="212121"/>
                <w:sz w:val="19"/>
              </w:rPr>
              <w:t>Indigenous and rural infants face higher severe-RSV rates because of crowding, indoor smoke, delayed care-seeking and limited access to oxygen and immunoprophylaxis. Distance from health facilities raises the risk that hypoxia and dehydration go unrecognised.</w:t>
            </w:r>
          </w:p>
          <w:p>
            <w:pPr>
              <w:spacing w:after="40" w:before="60" w:line="259" w:lineRule="auto"/>
            </w:pPr>
            <w:r>
              <w:rPr>
                <w:rFonts w:ascii="Calibri" w:hAnsi="Calibri"/>
                <w:b w:val="0"/>
                <w:i w:val="0"/>
                <w:color w:val="212121"/>
                <w:sz w:val="19"/>
              </w:rPr>
              <w:t>CDC lists American Indian and Alaska Native children among the groups at greatest risk of severe RSV, mirroring the excess burden seen in marginalised rural populations.</w:t>
            </w:r>
          </w:p>
          <w:p>
            <w:pPr>
              <w:spacing w:after="40" w:line="252" w:lineRule="auto"/>
            </w:pPr>
            <w:hyperlink r:id="rId9">
              <w:r>
                <w:rPr>
                  <w:rFonts w:ascii="Calibri" w:hAnsi="Calibri" w:cs="Calibri"/>
                  <w:sz w:val="18"/>
                  <w:color w:val="1155CC"/>
                  <w:u w:val="single"/>
                </w:rPr>
                <w:t xml:space="preserve">cdc.gov - RSV in infants and young children</w:t>
              </w:r>
            </w:hyperlink>
          </w:p>
          <w:p>
            <w:pPr>
              <w:spacing w:before="60" w:after="40"/>
            </w:pPr>
            <w:r>
              <w:rPr>
                <w:rFonts w:ascii="Calibri" w:hAnsi="Calibri"/>
                <w:b w:val="0"/>
                <w:i w:val="0"/>
                <w:color w:val="5A5A5A"/>
                <w:sz w:val="18"/>
              </w:rPr>
              <w:t>#rural  #tribal  #accesstocare  #oxygen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Season/Climate</w:t>
            </w:r>
          </w:p>
        </w:tc>
        <w:tc>
          <w:tcPr>
            <w:tcW w:type="dxa" w:w="2160"/>
            <w:vAlign w:val="top"/>
          </w:tcPr>
          <w:p>
            <w:pPr>
              <w:spacing w:after="40" w:before="0" w:line="259" w:lineRule="auto"/>
            </w:pPr>
            <w:r>
              <w:rPr>
                <w:rFonts w:ascii="Calibri" w:hAnsi="Calibri"/>
                <w:b w:val="0"/>
                <w:i w:val="0"/>
                <w:color w:val="212121"/>
                <w:sz w:val="19"/>
              </w:rPr>
              <w:t>Infants exposed during winter &amp; monsoon peaks</w:t>
            </w:r>
          </w:p>
        </w:tc>
        <w:tc>
          <w:tcPr>
            <w:tcW w:type="dxa" w:w="4276"/>
            <w:vAlign w:val="top"/>
          </w:tcPr>
          <w:p>
            <w:pPr>
              <w:spacing w:after="60" w:line="259" w:lineRule="auto"/>
            </w:pPr>
            <w:r>
              <w:rPr>
                <w:rFonts w:ascii="Calibri" w:hAnsi="Calibri"/>
                <w:b w:val="0"/>
                <w:i w:val="0"/>
                <w:color w:val="212121"/>
                <w:sz w:val="19"/>
              </w:rPr>
              <w:t>RSV circulates in seasonal epidemics; in temperate zones peaks occur in autumn-winter, while much of India sees peaks during the rainy/monsoon and cooler months. Crowding indoors during these periods amplifies droplet transmission.</w:t>
            </w:r>
          </w:p>
          <w:p>
            <w:pPr>
              <w:spacing w:after="40" w:before="60" w:line="259" w:lineRule="auto"/>
            </w:pPr>
            <w:r>
              <w:rPr>
                <w:rFonts w:ascii="Calibri" w:hAnsi="Calibri"/>
                <w:b w:val="0"/>
                <w:i w:val="0"/>
                <w:color w:val="212121"/>
                <w:sz w:val="19"/>
              </w:rPr>
              <w:t>Bronchiolitis is most common during autumn and winter, coinciding with RSV epidemic seasons.</w:t>
            </w:r>
          </w:p>
          <w:p>
            <w:pPr>
              <w:spacing w:after="40" w:line="252" w:lineRule="auto"/>
            </w:pPr>
            <w:hyperlink r:id="rId12">
              <w:r>
                <w:rPr>
                  <w:rFonts w:ascii="Calibri" w:hAnsi="Calibri" w:cs="Calibri"/>
                  <w:sz w:val="18"/>
                  <w:color w:val="1155CC"/>
                  <w:u w:val="single"/>
                </w:rPr>
                <w:t xml:space="preserve">ncbi.nlm.nih.gov - StatPearls, Bronchiolitis</w:t>
              </w:r>
            </w:hyperlink>
          </w:p>
          <w:p>
            <w:pPr>
              <w:spacing w:before="60" w:after="40"/>
            </w:pPr>
            <w:r>
              <w:rPr>
                <w:rFonts w:ascii="Calibri" w:hAnsi="Calibri"/>
                <w:b w:val="0"/>
                <w:i w:val="0"/>
                <w:color w:val="5A5A5A"/>
                <w:sz w:val="18"/>
              </w:rPr>
              <w:t>#seasonality  #monsoon  #winter  #epidemic</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Smoking (household/passive)</w:t>
            </w:r>
          </w:p>
        </w:tc>
        <w:tc>
          <w:tcPr>
            <w:tcW w:type="dxa" w:w="2160"/>
            <w:vAlign w:val="top"/>
          </w:tcPr>
          <w:p>
            <w:pPr>
              <w:spacing w:after="40" w:before="0" w:line="259" w:lineRule="auto"/>
            </w:pPr>
            <w:r>
              <w:rPr>
                <w:rFonts w:ascii="Calibri" w:hAnsi="Calibri"/>
                <w:b w:val="0"/>
                <w:i w:val="0"/>
                <w:color w:val="212121"/>
                <w:sz w:val="19"/>
              </w:rPr>
              <w:t>Infants in homes with tobacco or biomass smoke</w:t>
            </w:r>
          </w:p>
        </w:tc>
        <w:tc>
          <w:tcPr>
            <w:tcW w:type="dxa" w:w="4276"/>
            <w:vAlign w:val="top"/>
          </w:tcPr>
          <w:p>
            <w:pPr>
              <w:spacing w:after="60" w:line="259" w:lineRule="auto"/>
            </w:pPr>
            <w:r>
              <w:rPr>
                <w:rFonts w:ascii="Calibri" w:hAnsi="Calibri"/>
                <w:b w:val="0"/>
                <w:i w:val="0"/>
                <w:color w:val="212121"/>
                <w:sz w:val="19"/>
              </w:rPr>
              <w:t>Passive tobacco smoke and household biomass (cooking-fuel) smoke injure airway epithelium, impair mucociliary clearance and increase both the incidence and the severity of bronchiolitis. Prenatal maternal smoking further reduces infant airway calibre.</w:t>
            </w:r>
          </w:p>
          <w:p>
            <w:pPr>
              <w:spacing w:after="40" w:before="60" w:line="259" w:lineRule="auto"/>
            </w:pPr>
            <w:r>
              <w:rPr>
                <w:rFonts w:ascii="Calibri" w:hAnsi="Calibri"/>
                <w:b w:val="0"/>
                <w:i w:val="0"/>
                <w:color w:val="212121"/>
                <w:sz w:val="19"/>
              </w:rPr>
              <w:t>Exposure to cigarette smoke is a recognised risk factor that increases susceptibility to, and severity of, bronchiolitis.</w:t>
            </w:r>
          </w:p>
          <w:p>
            <w:pPr>
              <w:spacing w:after="40" w:line="252" w:lineRule="auto"/>
            </w:pPr>
            <w:hyperlink r:id="rId13">
              <w:r>
                <w:rPr>
                  <w:rFonts w:ascii="Calibri" w:hAnsi="Calibri" w:cs="Calibri"/>
                  <w:sz w:val="18"/>
                  <w:color w:val="1155CC"/>
                  <w:u w:val="single"/>
                </w:rPr>
                <w:t xml:space="preserve">medlineplus.gov - Bronchiolitis</w:t>
              </w:r>
            </w:hyperlink>
          </w:p>
          <w:p>
            <w:pPr>
              <w:spacing w:before="60" w:after="40"/>
            </w:pPr>
            <w:r>
              <w:rPr>
                <w:rFonts w:ascii="Calibri" w:hAnsi="Calibri"/>
                <w:b w:val="0"/>
                <w:i w:val="0"/>
                <w:color w:val="5A5A5A"/>
                <w:sz w:val="18"/>
              </w:rPr>
              <w:t>#passivesmoke  #biomass  #indoorair  #airwayinjury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Crowding/Daycare</w:t>
            </w:r>
          </w:p>
        </w:tc>
        <w:tc>
          <w:tcPr>
            <w:tcW w:type="dxa" w:w="2160"/>
            <w:vAlign w:val="top"/>
          </w:tcPr>
          <w:p>
            <w:pPr>
              <w:spacing w:after="40" w:before="0" w:line="259" w:lineRule="auto"/>
            </w:pPr>
            <w:r>
              <w:rPr>
                <w:rFonts w:ascii="Calibri" w:hAnsi="Calibri"/>
                <w:b w:val="0"/>
                <w:i w:val="0"/>
                <w:color w:val="212121"/>
                <w:sz w:val="19"/>
              </w:rPr>
              <w:t>Infants with older siblings or in daycare/crowded housing</w:t>
            </w:r>
          </w:p>
        </w:tc>
        <w:tc>
          <w:tcPr>
            <w:tcW w:type="dxa" w:w="4276"/>
            <w:vAlign w:val="top"/>
          </w:tcPr>
          <w:p>
            <w:pPr>
              <w:spacing w:after="60" w:line="259" w:lineRule="auto"/>
            </w:pPr>
            <w:r>
              <w:rPr>
                <w:rFonts w:ascii="Calibri" w:hAnsi="Calibri"/>
                <w:b w:val="0"/>
                <w:i w:val="0"/>
                <w:color w:val="212121"/>
                <w:sz w:val="19"/>
              </w:rPr>
              <w:t>RSV spreads by respiratory droplets and contaminated surfaces; older siblings, daycare attendance and crowded living quarters greatly increase an infant's exposure to symptomatic contacts and therefore the risk of infection.</w:t>
            </w:r>
          </w:p>
          <w:p>
            <w:pPr>
              <w:spacing w:after="40" w:before="60" w:line="259" w:lineRule="auto"/>
            </w:pPr>
            <w:r>
              <w:rPr>
                <w:rFonts w:ascii="Calibri" w:hAnsi="Calibri"/>
                <w:b w:val="0"/>
                <w:i w:val="0"/>
                <w:color w:val="212121"/>
                <w:sz w:val="19"/>
              </w:rPr>
              <w:t>Living in crowded conditions is a recognised risk factor for bronchiolitis.</w:t>
            </w:r>
          </w:p>
          <w:p>
            <w:pPr>
              <w:spacing w:after="40" w:line="252" w:lineRule="auto"/>
            </w:pPr>
            <w:hyperlink r:id="rId13">
              <w:r>
                <w:rPr>
                  <w:rFonts w:ascii="Calibri" w:hAnsi="Calibri" w:cs="Calibri"/>
                  <w:sz w:val="18"/>
                  <w:color w:val="1155CC"/>
                  <w:u w:val="single"/>
                </w:rPr>
                <w:t xml:space="preserve">medlineplus.gov - Bronchiolitis</w:t>
              </w:r>
            </w:hyperlink>
          </w:p>
          <w:p>
            <w:pPr>
              <w:spacing w:before="60" w:after="40"/>
            </w:pPr>
            <w:r>
              <w:rPr>
                <w:rFonts w:ascii="Calibri" w:hAnsi="Calibri"/>
                <w:b w:val="0"/>
                <w:i w:val="0"/>
                <w:color w:val="5A5A5A"/>
                <w:sz w:val="18"/>
              </w:rPr>
              <w:t>#crowding  #daycare  #siblings  #droplet</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 (feeding)</w:t>
            </w:r>
          </w:p>
        </w:tc>
        <w:tc>
          <w:tcPr>
            <w:tcW w:type="dxa" w:w="2160"/>
            <w:vAlign w:val="top"/>
          </w:tcPr>
          <w:p>
            <w:pPr>
              <w:spacing w:after="40" w:before="0" w:line="259" w:lineRule="auto"/>
            </w:pPr>
            <w:r>
              <w:rPr>
                <w:rFonts w:ascii="Calibri" w:hAnsi="Calibri"/>
                <w:b w:val="0"/>
                <w:i w:val="0"/>
                <w:color w:val="212121"/>
                <w:sz w:val="19"/>
              </w:rPr>
              <w:t>Non-breastfed / formula-fed infants</w:t>
            </w:r>
          </w:p>
        </w:tc>
        <w:tc>
          <w:tcPr>
            <w:tcW w:type="dxa" w:w="4276"/>
            <w:vAlign w:val="top"/>
          </w:tcPr>
          <w:p>
            <w:pPr>
              <w:spacing w:after="60" w:line="259" w:lineRule="auto"/>
            </w:pPr>
            <w:r>
              <w:rPr>
                <w:rFonts w:ascii="Calibri" w:hAnsi="Calibri"/>
                <w:b w:val="0"/>
                <w:i w:val="0"/>
                <w:color w:val="212121"/>
                <w:sz w:val="19"/>
              </w:rPr>
              <w:t>Breast milk supplies secretory IgA and other protective factors that reduce RSV acquisition and severity. Infants who are not breastfed lose this passive protection and have higher rates of bronchiolitis and hospitalisation.</w:t>
            </w:r>
          </w:p>
          <w:p>
            <w:pPr>
              <w:spacing w:after="40" w:before="60" w:line="259" w:lineRule="auto"/>
            </w:pPr>
            <w:r>
              <w:rPr>
                <w:rFonts w:ascii="Calibri" w:hAnsi="Calibri"/>
                <w:b w:val="0"/>
                <w:i w:val="0"/>
                <w:color w:val="212121"/>
                <w:sz w:val="19"/>
              </w:rPr>
              <w:t>Not being breastfed is a recognised risk factor for bronchiolitis.</w:t>
            </w:r>
          </w:p>
          <w:p>
            <w:pPr>
              <w:spacing w:after="40" w:line="252" w:lineRule="auto"/>
            </w:pPr>
            <w:hyperlink r:id="rId13">
              <w:r>
                <w:rPr>
                  <w:rFonts w:ascii="Calibri" w:hAnsi="Calibri" w:cs="Calibri"/>
                  <w:sz w:val="18"/>
                  <w:color w:val="1155CC"/>
                  <w:u w:val="single"/>
                </w:rPr>
                <w:t xml:space="preserve">medlineplus.gov - Bronchiolitis</w:t>
              </w:r>
            </w:hyperlink>
          </w:p>
          <w:p>
            <w:pPr>
              <w:spacing w:before="60" w:after="40"/>
            </w:pPr>
            <w:r>
              <w:rPr>
                <w:rFonts w:ascii="Calibri" w:hAnsi="Calibri"/>
                <w:b w:val="0"/>
                <w:i w:val="0"/>
                <w:color w:val="5A5A5A"/>
                <w:sz w:val="18"/>
              </w:rPr>
              <w:t>#breastfeeding  #secretoryIgA  #passiveimmunity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Malnutrition/Micronutrient</w:t>
            </w:r>
          </w:p>
        </w:tc>
        <w:tc>
          <w:tcPr>
            <w:tcW w:type="dxa" w:w="2160"/>
            <w:vAlign w:val="top"/>
          </w:tcPr>
          <w:p>
            <w:pPr>
              <w:spacing w:after="40" w:before="0" w:line="259" w:lineRule="auto"/>
            </w:pPr>
            <w:r>
              <w:rPr>
                <w:rFonts w:ascii="Calibri" w:hAnsi="Calibri"/>
                <w:b w:val="0"/>
                <w:i w:val="0"/>
                <w:color w:val="212121"/>
                <w:sz w:val="19"/>
              </w:rPr>
              <w:t>Undernourished infants (low weight, vitamin D/A deficiency)</w:t>
            </w:r>
          </w:p>
        </w:tc>
        <w:tc>
          <w:tcPr>
            <w:tcW w:type="dxa" w:w="4276"/>
            <w:vAlign w:val="top"/>
          </w:tcPr>
          <w:p>
            <w:pPr>
              <w:spacing w:after="60" w:line="259" w:lineRule="auto"/>
            </w:pPr>
            <w:r>
              <w:rPr>
                <w:rFonts w:ascii="Calibri" w:hAnsi="Calibri"/>
                <w:b w:val="0"/>
                <w:i w:val="0"/>
                <w:color w:val="212121"/>
                <w:sz w:val="19"/>
              </w:rPr>
              <w:t>Undernutrition and micronutrient deficiency, notably of vitamin D and vitamin A, impair mucosal and cell-mediated immunity and increase the severity of viral lower-respiratory infection. Infant undernutrition remains highly prevalent in India.</w:t>
            </w:r>
          </w:p>
          <w:p>
            <w:pPr>
              <w:spacing w:after="40" w:before="60" w:line="259" w:lineRule="auto"/>
            </w:pPr>
            <w:r>
              <w:rPr>
                <w:rFonts w:ascii="Calibri" w:hAnsi="Calibri"/>
                <w:b w:val="0"/>
                <w:i w:val="0"/>
                <w:color w:val="212121"/>
                <w:sz w:val="19"/>
              </w:rPr>
              <w:t>Undernutrition is a major amplifier of acute lower-respiratory-infection severity and mortality in young children.</w:t>
            </w:r>
          </w:p>
          <w:p>
            <w:pPr>
              <w:spacing w:before="60" w:after="40"/>
            </w:pPr>
            <w:r>
              <w:rPr>
                <w:rFonts w:ascii="Calibri" w:hAnsi="Calibri"/>
                <w:b w:val="0"/>
                <w:i w:val="0"/>
                <w:color w:val="5A5A5A"/>
                <w:sz w:val="18"/>
              </w:rPr>
              <w:t>#undernutrition  #vitaminD  #NFHS5  #immunity</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Family history of asthma/atopy</w:t>
            </w:r>
          </w:p>
        </w:tc>
        <w:tc>
          <w:tcPr>
            <w:tcW w:type="dxa" w:w="4276"/>
            <w:vAlign w:val="top"/>
          </w:tcPr>
          <w:p>
            <w:pPr>
              <w:spacing w:after="60" w:line="259" w:lineRule="auto"/>
            </w:pPr>
            <w:r>
              <w:rPr>
                <w:rFonts w:ascii="Calibri" w:hAnsi="Calibri"/>
                <w:b w:val="0"/>
                <w:i w:val="0"/>
                <w:color w:val="212121"/>
                <w:sz w:val="19"/>
              </w:rPr>
              <w:t>A family history of asthma or atopy predisposes infants to more severe bronchiolitis and to recurrent wheeze following RSV infection, reflecting shared airway hyper-responsiveness and immune predisposition.</w:t>
            </w:r>
          </w:p>
          <w:p>
            <w:pPr>
              <w:spacing w:after="40" w:before="60" w:line="259" w:lineRule="auto"/>
            </w:pPr>
            <w:r>
              <w:rPr>
                <w:rFonts w:ascii="Calibri" w:hAnsi="Calibri"/>
                <w:b w:val="0"/>
                <w:i w:val="0"/>
                <w:color w:val="212121"/>
                <w:sz w:val="19"/>
              </w:rPr>
              <w:t>Severe RSV bronchiolitis in infancy is associated with a 2- to 12-fold higher risk of subsequent childhood asthma.</w:t>
            </w:r>
          </w:p>
          <w:p>
            <w:pPr>
              <w:spacing w:after="40" w:line="252" w:lineRule="auto"/>
            </w:pPr>
            <w:hyperlink r:id="rId14">
              <w:r>
                <w:rPr>
                  <w:rFonts w:ascii="Calibri" w:hAnsi="Calibri" w:cs="Calibri"/>
                  <w:sz w:val="18"/>
                  <w:color w:val="1155CC"/>
                  <w:u w:val="single"/>
                </w:rPr>
                <w:t xml:space="preserve">ncbi.nlm.nih.gov - StatPearls, RSV in children</w:t>
              </w:r>
            </w:hyperlink>
          </w:p>
          <w:p>
            <w:pPr>
              <w:spacing w:before="60" w:after="40"/>
            </w:pPr>
            <w:r>
              <w:rPr>
                <w:rFonts w:ascii="Calibri" w:hAnsi="Calibri"/>
                <w:b w:val="0"/>
                <w:i w:val="0"/>
                <w:color w:val="5A5A5A"/>
                <w:sz w:val="18"/>
              </w:rPr>
              <w:t>#atopy  #asthma  #familyhistory  #wheeze</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Prematurity / chronic lung disease</w:t>
            </w:r>
          </w:p>
        </w:tc>
        <w:tc>
          <w:tcPr>
            <w:tcW w:type="dxa" w:w="2160"/>
            <w:vAlign w:val="top"/>
          </w:tcPr>
          <w:p>
            <w:pPr>
              <w:spacing w:after="40" w:before="0" w:line="259" w:lineRule="auto"/>
            </w:pPr>
            <w:r>
              <w:rPr>
                <w:rFonts w:ascii="Calibri" w:hAnsi="Calibri"/>
                <w:b w:val="0"/>
                <w:i w:val="0"/>
                <w:color w:val="212121"/>
                <w:sz w:val="19"/>
              </w:rPr>
              <w:t>Preterm infants &amp; chronic lung disease of prematurity (BPD)</w:t>
            </w:r>
          </w:p>
        </w:tc>
        <w:tc>
          <w:tcPr>
            <w:tcW w:type="dxa" w:w="4276"/>
            <w:vAlign w:val="top"/>
          </w:tcPr>
          <w:p>
            <w:pPr>
              <w:spacing w:after="60" w:line="259" w:lineRule="auto"/>
            </w:pPr>
            <w:r>
              <w:rPr>
                <w:rFonts w:ascii="Calibri" w:hAnsi="Calibri"/>
                <w:b w:val="0"/>
                <w:i w:val="0"/>
                <w:color w:val="212121"/>
                <w:sz w:val="19"/>
              </w:rPr>
              <w:t>Preterm birth truncates transplacental antibody transfer and leaves immature, poorly compliant lungs; chronic lung disease of prematurity compounds this. Both are among the strongest risk factors for severe RSV and hospitalisation.</w:t>
            </w:r>
          </w:p>
          <w:p>
            <w:pPr>
              <w:spacing w:after="40" w:before="60" w:line="259" w:lineRule="auto"/>
            </w:pPr>
            <w:r>
              <w:rPr>
                <w:rFonts w:ascii="Calibri" w:hAnsi="Calibri"/>
                <w:b w:val="0"/>
                <w:i w:val="0"/>
                <w:color w:val="212121"/>
                <w:sz w:val="19"/>
              </w:rPr>
              <w:t>Prematurity (especially before 32-34 weeks) and chronic lung disease are established high-risk conditions for severe bronchiolitis.</w:t>
            </w:r>
          </w:p>
          <w:p>
            <w:pPr>
              <w:spacing w:after="40" w:line="252" w:lineRule="auto"/>
            </w:pPr>
            <w:hyperlink r:id="rId12">
              <w:r>
                <w:rPr>
                  <w:rFonts w:ascii="Calibri" w:hAnsi="Calibri" w:cs="Calibri"/>
                  <w:sz w:val="18"/>
                  <w:color w:val="1155CC"/>
                  <w:u w:val="single"/>
                </w:rPr>
                <w:t xml:space="preserve">ncbi.nlm.nih.gov - StatPearls, Bronchiolitis</w:t>
              </w:r>
            </w:hyperlink>
          </w:p>
          <w:p>
            <w:pPr>
              <w:spacing w:before="60" w:after="40"/>
            </w:pPr>
            <w:r>
              <w:rPr>
                <w:rFonts w:ascii="Calibri" w:hAnsi="Calibri"/>
                <w:b w:val="0"/>
                <w:i w:val="0"/>
                <w:color w:val="5A5A5A"/>
                <w:sz w:val="18"/>
              </w:rPr>
              <w:t>#prematurity  #BPD  #highrisk  #RSVprophylaxis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Congenital heart disease</w:t>
            </w:r>
          </w:p>
        </w:tc>
        <w:tc>
          <w:tcPr>
            <w:tcW w:type="dxa" w:w="2160"/>
            <w:vAlign w:val="top"/>
          </w:tcPr>
          <w:p>
            <w:pPr>
              <w:spacing w:after="40" w:before="0" w:line="259" w:lineRule="auto"/>
            </w:pPr>
            <w:r>
              <w:rPr>
                <w:rFonts w:ascii="Calibri" w:hAnsi="Calibri"/>
                <w:b w:val="0"/>
                <w:i w:val="0"/>
                <w:color w:val="212121"/>
                <w:sz w:val="19"/>
              </w:rPr>
              <w:t>Infants with haemodynamically significant CHD</w:t>
            </w:r>
          </w:p>
        </w:tc>
        <w:tc>
          <w:tcPr>
            <w:tcW w:type="dxa" w:w="4276"/>
            <w:vAlign w:val="top"/>
          </w:tcPr>
          <w:p>
            <w:pPr>
              <w:spacing w:after="60" w:line="259" w:lineRule="auto"/>
            </w:pPr>
            <w:r>
              <w:rPr>
                <w:rFonts w:ascii="Calibri" w:hAnsi="Calibri"/>
                <w:b w:val="0"/>
                <w:i w:val="0"/>
                <w:color w:val="212121"/>
                <w:sz w:val="19"/>
              </w:rPr>
              <w:t>Left-to-right shunts and pulmonary over-circulation reduce respiratory reserve, so RSV bronchiolitis more readily causes hypoxia and cardiac failure. These infants have higher admission, ICU and mortality rates.</w:t>
            </w:r>
          </w:p>
          <w:p>
            <w:pPr>
              <w:spacing w:after="40" w:before="60" w:line="259" w:lineRule="auto"/>
            </w:pPr>
            <w:r>
              <w:rPr>
                <w:rFonts w:ascii="Calibri" w:hAnsi="Calibri"/>
                <w:b w:val="0"/>
                <w:i w:val="0"/>
                <w:color w:val="212121"/>
                <w:sz w:val="19"/>
              </w:rPr>
              <w:t>Congenital heart disease is listed among the conditions placing children at greatest risk of severe RSV.</w:t>
            </w:r>
          </w:p>
          <w:p>
            <w:pPr>
              <w:spacing w:after="40" w:line="252" w:lineRule="auto"/>
            </w:pPr>
            <w:hyperlink r:id="rId9">
              <w:r>
                <w:rPr>
                  <w:rFonts w:ascii="Calibri" w:hAnsi="Calibri" w:cs="Calibri"/>
                  <w:sz w:val="18"/>
                  <w:color w:val="1155CC"/>
                  <w:u w:val="single"/>
                </w:rPr>
                <w:t xml:space="preserve">cdc.gov - RSV in infants and young children</w:t>
              </w:r>
            </w:hyperlink>
          </w:p>
          <w:p>
            <w:pPr>
              <w:spacing w:before="60" w:after="40"/>
            </w:pPr>
            <w:r>
              <w:rPr>
                <w:rFonts w:ascii="Calibri" w:hAnsi="Calibri"/>
                <w:b w:val="0"/>
                <w:i w:val="0"/>
                <w:color w:val="5A5A5A"/>
                <w:sz w:val="18"/>
              </w:rPr>
              <w:t>#CHD  #shunt  #pulmonaryhypertension  #highrisk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Immunodeficiency</w:t>
            </w:r>
          </w:p>
        </w:tc>
        <w:tc>
          <w:tcPr>
            <w:tcW w:type="dxa" w:w="2160"/>
            <w:vAlign w:val="top"/>
          </w:tcPr>
          <w:p>
            <w:pPr>
              <w:spacing w:after="40" w:before="0" w:line="259" w:lineRule="auto"/>
            </w:pPr>
            <w:r>
              <w:rPr>
                <w:rFonts w:ascii="Calibri" w:hAnsi="Calibri"/>
                <w:b w:val="0"/>
                <w:i w:val="0"/>
                <w:color w:val="212121"/>
                <w:sz w:val="19"/>
              </w:rPr>
              <w:t>Immunocompromised infants (primary immunodeficiency, post-transplant, chemotherapy)</w:t>
            </w:r>
          </w:p>
        </w:tc>
        <w:tc>
          <w:tcPr>
            <w:tcW w:type="dxa" w:w="4276"/>
            <w:vAlign w:val="top"/>
          </w:tcPr>
          <w:p>
            <w:pPr>
              <w:spacing w:after="60" w:line="259" w:lineRule="auto"/>
            </w:pPr>
            <w:r>
              <w:rPr>
                <w:rFonts w:ascii="Calibri" w:hAnsi="Calibri"/>
                <w:b w:val="0"/>
                <w:i w:val="0"/>
                <w:color w:val="212121"/>
                <w:sz w:val="19"/>
              </w:rPr>
              <w:t>Impaired cellular and humoral immunity leads to prolonged viral shedding, extension to the lower airway and a high risk of respiratory failure and death from RSV.</w:t>
            </w:r>
          </w:p>
          <w:p>
            <w:pPr>
              <w:spacing w:after="40" w:before="60" w:line="259" w:lineRule="auto"/>
            </w:pPr>
            <w:r>
              <w:rPr>
                <w:rFonts w:ascii="Calibri" w:hAnsi="Calibri"/>
                <w:b w:val="0"/>
                <w:i w:val="0"/>
                <w:color w:val="212121"/>
                <w:sz w:val="19"/>
              </w:rPr>
              <w:t>Immunocompromised children are a recognised high-risk group for severe and prolonged RSV disease.</w:t>
            </w:r>
          </w:p>
          <w:p>
            <w:pPr>
              <w:spacing w:after="40" w:line="252" w:lineRule="auto"/>
            </w:pPr>
            <w:hyperlink r:id="rId9">
              <w:r>
                <w:rPr>
                  <w:rFonts w:ascii="Calibri" w:hAnsi="Calibri" w:cs="Calibri"/>
                  <w:sz w:val="18"/>
                  <w:color w:val="1155CC"/>
                  <w:u w:val="single"/>
                </w:rPr>
                <w:t xml:space="preserve">cdc.gov - RSV in infants and young children</w:t>
              </w:r>
            </w:hyperlink>
          </w:p>
          <w:p>
            <w:pPr>
              <w:spacing w:before="60" w:after="40"/>
            </w:pPr>
            <w:r>
              <w:rPr>
                <w:rFonts w:ascii="Calibri" w:hAnsi="Calibri"/>
                <w:b w:val="0"/>
                <w:i w:val="0"/>
                <w:color w:val="5A5A5A"/>
                <w:sz w:val="18"/>
              </w:rPr>
              <w:t>#immunocompromised  #viralshedding  #severe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Neuromuscular / Down syndrome</w:t>
            </w:r>
          </w:p>
        </w:tc>
        <w:tc>
          <w:tcPr>
            <w:tcW w:type="dxa" w:w="2160"/>
            <w:vAlign w:val="top"/>
          </w:tcPr>
          <w:p>
            <w:pPr>
              <w:spacing w:after="40" w:before="0" w:line="259" w:lineRule="auto"/>
            </w:pPr>
            <w:r>
              <w:rPr>
                <w:rFonts w:ascii="Calibri" w:hAnsi="Calibri"/>
                <w:b w:val="0"/>
                <w:i w:val="0"/>
                <w:color w:val="212121"/>
                <w:sz w:val="19"/>
              </w:rPr>
              <w:t>Infants with neuromuscular disease or Down syndrome</w:t>
            </w:r>
          </w:p>
        </w:tc>
        <w:tc>
          <w:tcPr>
            <w:tcW w:type="dxa" w:w="4276"/>
            <w:vAlign w:val="top"/>
          </w:tcPr>
          <w:p>
            <w:pPr>
              <w:spacing w:after="60" w:line="259" w:lineRule="auto"/>
            </w:pPr>
            <w:r>
              <w:rPr>
                <w:rFonts w:ascii="Calibri" w:hAnsi="Calibri"/>
                <w:b w:val="0"/>
                <w:i w:val="0"/>
                <w:color w:val="212121"/>
                <w:sz w:val="19"/>
              </w:rPr>
              <w:t>Impaired airway clearance, hypotonia, swallowing difficulty and - in Down syndrome - airway anomalies and immune differences all worsen bronchiolitis severity and aspiration risk.</w:t>
            </w:r>
          </w:p>
          <w:p>
            <w:pPr>
              <w:spacing w:after="40" w:before="60" w:line="259" w:lineRule="auto"/>
            </w:pPr>
            <w:r>
              <w:rPr>
                <w:rFonts w:ascii="Calibri" w:hAnsi="Calibri"/>
                <w:b w:val="0"/>
                <w:i w:val="0"/>
                <w:color w:val="212121"/>
                <w:sz w:val="19"/>
              </w:rPr>
              <w:t>Neuromuscular disorders that impair clearing of mucus and secretions are listed among conditions raising the risk of severe RSV.</w:t>
            </w:r>
          </w:p>
          <w:p>
            <w:pPr>
              <w:spacing w:after="40" w:line="252" w:lineRule="auto"/>
            </w:pPr>
            <w:hyperlink r:id="rId9">
              <w:r>
                <w:rPr>
                  <w:rFonts w:ascii="Calibri" w:hAnsi="Calibri" w:cs="Calibri"/>
                  <w:sz w:val="18"/>
                  <w:color w:val="1155CC"/>
                  <w:u w:val="single"/>
                </w:rPr>
                <w:t xml:space="preserve">cdc.gov - RSV in infants and young children</w:t>
              </w:r>
            </w:hyperlink>
          </w:p>
          <w:p>
            <w:pPr>
              <w:spacing w:before="60" w:after="40"/>
            </w:pPr>
            <w:r>
              <w:rPr>
                <w:rFonts w:ascii="Calibri" w:hAnsi="Calibri"/>
                <w:b w:val="0"/>
                <w:i w:val="0"/>
                <w:color w:val="5A5A5A"/>
                <w:sz w:val="18"/>
              </w:rPr>
              <w:t>#neuromuscular  #DownSyndrome  #aspiration  #airwayclearance</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Bronchiolitis is an acute infection of infancy, so exercise is not a determinant; however crowded, poorly ventilated indoor environments increase viral transmission, and reduced spontaneous activity or feeding is an important sign of worsening disease.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Exclusive breastfeeding supplies protective secretory IgA that lowers RSV acquisition and severity, while undernutrition worsens outcomes; maintaining hydration with small, frequent feeds is central to management.</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rest supports recovery; nasal congestion and increased work of breathing disrupt sleep, and apnoea during sleep in young or preterm infants is a danger sign requiring monitoring.</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Household passive tobacco smoke, biomass cooking smoke and prenatal maternal smoking measurably increase the incidence and severity of infant bronchiolitis.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 - not applicable to infants; caregivers should avoid alcohol or substances that impair vigilant monitoring of a sick infant, and alcohol in pregnancy contributes to prematurity.</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Infant infection is not caused by mental health, but caregiver anxiety, hospitalisation stress and post-illness parental distress are important supportive-care considerations.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Hydration status largely determines whether an infant can be managed at home; dehydration from tachypnoea and poor feeding is a leading reason for admission and for nasogastric or intravenous fluids.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 - not applicable to the infant's disease course; caffeine is used only to treat apnoea of prematurity, a separate indication.</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Hand hygiene, cleaning of surfaces and toys, avoiding symptomatic contacts and hospital cohorting/contact precautions substantially reduce RSV droplet and fomite transmission.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Exposure to infected contacts (especially older siblings), seasonal RSV epidemics, crowding and tobacco or biomass smoke provoke the onset and worsening of bronchiolitis.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Upright positioning and elevating the head of the cot, with nasal suctioning before feeds, can ease work of breathing symptomatically, though posture is not a determinant of disease.</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Exclusive breastfeeding duration</w:t>
            </w:r>
          </w:p>
        </w:tc>
        <w:tc>
          <w:tcPr>
            <w:tcW w:type="dxa" w:w="1655"/>
            <w:vAlign w:val="top"/>
          </w:tcPr>
          <w:p>
            <w:pPr>
              <w:spacing w:after="40" w:before="0" w:line="259" w:lineRule="auto"/>
            </w:pPr>
            <w:r>
              <w:rPr>
                <w:rFonts w:ascii="Calibri" w:hAnsi="Calibri"/>
                <w:b w:val="0"/>
                <w:i w:val="0"/>
                <w:color w:val="212121"/>
                <w:sz w:val="19"/>
              </w:rPr>
              <w:t>Infants 0-6 months</w:t>
            </w:r>
          </w:p>
        </w:tc>
        <w:tc>
          <w:tcPr>
            <w:tcW w:type="dxa" w:w="1512"/>
            <w:vAlign w:val="top"/>
          </w:tcPr>
          <w:p>
            <w:pPr>
              <w:spacing w:after="40" w:before="0" w:line="259" w:lineRule="auto"/>
            </w:pPr>
            <w:r>
              <w:rPr>
                <w:rFonts w:ascii="Calibri" w:hAnsi="Calibri"/>
                <w:b w:val="0"/>
                <w:i w:val="0"/>
                <w:color w:val="212121"/>
                <w:sz w:val="19"/>
              </w:rPr>
              <w:t>Exclusive breastfeeding to 6 months</w:t>
            </w:r>
          </w:p>
        </w:tc>
        <w:tc>
          <w:tcPr>
            <w:tcW w:type="dxa" w:w="1512"/>
            <w:vAlign w:val="top"/>
          </w:tcPr>
          <w:p>
            <w:pPr>
              <w:spacing w:after="40" w:before="0" w:line="259" w:lineRule="auto"/>
            </w:pPr>
            <w:r>
              <w:rPr>
                <w:rFonts w:ascii="Calibri" w:hAnsi="Calibri"/>
                <w:b w:val="0"/>
                <w:i w:val="0"/>
                <w:color w:val="212121"/>
                <w:sz w:val="19"/>
              </w:rPr>
              <w:t>No or partial breastfeeding</w:t>
            </w:r>
          </w:p>
        </w:tc>
        <w:tc>
          <w:tcPr>
            <w:tcW w:type="dxa" w:w="1468"/>
            <w:vAlign w:val="top"/>
          </w:tcPr>
          <w:p>
            <w:pPr>
              <w:spacing w:after="60" w:line="259" w:lineRule="auto"/>
            </w:pPr>
            <w:r>
              <w:rPr>
                <w:rFonts w:ascii="Calibri" w:hAnsi="Calibri"/>
                <w:b w:val="0"/>
                <w:i w:val="0"/>
                <w:color w:val="212121"/>
                <w:sz w:val="19"/>
              </w:rPr>
              <w:t>Breast-milk secretory IgA lowers RSV acquisition and severity</w:t>
            </w:r>
          </w:p>
          <w:p>
            <w:pPr>
              <w:spacing w:after="40" w:line="252" w:lineRule="auto"/>
            </w:pPr>
            <w:hyperlink r:id="rId13">
              <w:r>
                <w:rPr>
                  <w:rFonts w:ascii="Calibri" w:hAnsi="Calibri" w:cs="Calibri"/>
                  <w:sz w:val="18"/>
                  <w:color w:val="1155CC"/>
                  <w:u w:val="single"/>
                </w:rPr>
                <w:t xml:space="preserve">https://medlineplus.gov/ency/article/000975.htm</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Household tobacco/biomass smoke exposure</w:t>
            </w:r>
          </w:p>
        </w:tc>
        <w:tc>
          <w:tcPr>
            <w:tcW w:type="dxa" w:w="1655"/>
            <w:vAlign w:val="top"/>
          </w:tcPr>
          <w:p>
            <w:pPr>
              <w:spacing w:after="40" w:before="0" w:line="259" w:lineRule="auto"/>
            </w:pPr>
            <w:r>
              <w:rPr>
                <w:rFonts w:ascii="Calibri" w:hAnsi="Calibri"/>
                <w:b w:val="0"/>
                <w:i w:val="0"/>
                <w:color w:val="212121"/>
                <w:sz w:val="19"/>
              </w:rPr>
              <w:t>Infants</w:t>
            </w:r>
          </w:p>
        </w:tc>
        <w:tc>
          <w:tcPr>
            <w:tcW w:type="dxa" w:w="1512"/>
            <w:vAlign w:val="top"/>
          </w:tcPr>
          <w:p>
            <w:pPr>
              <w:spacing w:after="40" w:before="0" w:line="259" w:lineRule="auto"/>
            </w:pPr>
            <w:r>
              <w:rPr>
                <w:rFonts w:ascii="Calibri" w:hAnsi="Calibri"/>
                <w:b w:val="0"/>
                <w:i w:val="0"/>
                <w:color w:val="212121"/>
                <w:sz w:val="19"/>
              </w:rPr>
              <w:t>Smoke-free home (zero exposure)</w:t>
            </w:r>
          </w:p>
        </w:tc>
        <w:tc>
          <w:tcPr>
            <w:tcW w:type="dxa" w:w="1512"/>
            <w:vAlign w:val="top"/>
          </w:tcPr>
          <w:p>
            <w:pPr>
              <w:spacing w:after="40" w:before="0" w:line="259" w:lineRule="auto"/>
            </w:pPr>
            <w:r>
              <w:rPr>
                <w:rFonts w:ascii="Calibri" w:hAnsi="Calibri"/>
                <w:b w:val="0"/>
                <w:i w:val="0"/>
                <w:color w:val="212121"/>
                <w:sz w:val="19"/>
              </w:rPr>
              <w:t>Any household smoking or indoor biomass smoke</w:t>
            </w:r>
          </w:p>
        </w:tc>
        <w:tc>
          <w:tcPr>
            <w:tcW w:type="dxa" w:w="1468"/>
            <w:vAlign w:val="top"/>
          </w:tcPr>
          <w:p>
            <w:pPr>
              <w:spacing w:after="60" w:line="259" w:lineRule="auto"/>
            </w:pPr>
            <w:r>
              <w:rPr>
                <w:rFonts w:ascii="Calibri" w:hAnsi="Calibri"/>
                <w:b w:val="0"/>
                <w:i w:val="0"/>
                <w:color w:val="212121"/>
                <w:sz w:val="19"/>
              </w:rPr>
              <w:t>Passive smoke increases bronchiolitis incidence and severity</w:t>
            </w:r>
          </w:p>
          <w:p>
            <w:pPr>
              <w:spacing w:after="40" w:line="252" w:lineRule="auto"/>
            </w:pPr>
            <w:hyperlink r:id="rId13">
              <w:r>
                <w:rPr>
                  <w:rFonts w:ascii="Calibri" w:hAnsi="Calibri" w:cs="Calibri"/>
                  <w:sz w:val="18"/>
                  <w:color w:val="1155CC"/>
                  <w:u w:val="single"/>
                </w:rPr>
                <w:t xml:space="preserve">https://medlineplus.gov/ency/article/000975.htm</w:t>
              </w:r>
            </w:hyperlink>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Feeding &amp; hydration (% usual intake; wet nappies/24h)</w:t>
            </w:r>
          </w:p>
        </w:tc>
        <w:tc>
          <w:tcPr>
            <w:tcW w:type="dxa" w:w="1655"/>
            <w:vAlign w:val="top"/>
          </w:tcPr>
          <w:p>
            <w:pPr>
              <w:spacing w:after="40" w:before="0" w:line="259" w:lineRule="auto"/>
            </w:pPr>
            <w:r>
              <w:rPr>
                <w:rFonts w:ascii="Calibri" w:hAnsi="Calibri"/>
                <w:b w:val="0"/>
                <w:i w:val="0"/>
                <w:color w:val="212121"/>
                <w:sz w:val="19"/>
              </w:rPr>
              <w:t>Infants</w:t>
            </w:r>
          </w:p>
        </w:tc>
        <w:tc>
          <w:tcPr>
            <w:tcW w:type="dxa" w:w="1512"/>
            <w:vAlign w:val="top"/>
          </w:tcPr>
          <w:p>
            <w:pPr>
              <w:spacing w:after="40" w:before="0" w:line="259" w:lineRule="auto"/>
            </w:pPr>
            <w:r>
              <w:rPr>
                <w:rFonts w:ascii="Calibri" w:hAnsi="Calibri"/>
                <w:b w:val="0"/>
                <w:i w:val="0"/>
                <w:color w:val="212121"/>
                <w:sz w:val="19"/>
              </w:rPr>
              <w:t>&gt;= 50% usual feeds; &gt;= 6 wet nappies/day</w:t>
            </w:r>
          </w:p>
        </w:tc>
        <w:tc>
          <w:tcPr>
            <w:tcW w:type="dxa" w:w="1512"/>
            <w:vAlign w:val="top"/>
          </w:tcPr>
          <w:p>
            <w:pPr>
              <w:spacing w:after="40" w:before="0" w:line="259" w:lineRule="auto"/>
            </w:pPr>
            <w:r>
              <w:rPr>
                <w:rFonts w:ascii="Calibri" w:hAnsi="Calibri"/>
                <w:b w:val="0"/>
                <w:i w:val="0"/>
                <w:color w:val="212121"/>
                <w:sz w:val="19"/>
              </w:rPr>
              <w:t>&lt; 50% feeds; &lt; 4 wet nappies or dry nappy &gt; 12 h</w:t>
            </w:r>
          </w:p>
        </w:tc>
        <w:tc>
          <w:tcPr>
            <w:tcW w:type="dxa" w:w="1468"/>
            <w:vAlign w:val="top"/>
          </w:tcPr>
          <w:p>
            <w:pPr>
              <w:spacing w:after="60" w:line="259" w:lineRule="auto"/>
            </w:pPr>
            <w:r>
              <w:rPr>
                <w:rFonts w:ascii="Calibri" w:hAnsi="Calibri"/>
                <w:b w:val="0"/>
                <w:i w:val="0"/>
                <w:color w:val="212121"/>
                <w:sz w:val="19"/>
              </w:rPr>
              <w:t>Dehydration is a key criterion for hospital admission</w:t>
            </w:r>
          </w:p>
          <w:p>
            <w:pPr>
              <w:spacing w:after="40" w:line="252" w:lineRule="auto"/>
            </w:pPr>
            <w:hyperlink r:id="rId15">
              <w:r>
                <w:rPr>
                  <w:rFonts w:ascii="Calibri" w:hAnsi="Calibri" w:cs="Calibri"/>
                  <w:sz w:val="18"/>
                  <w:color w:val="1155CC"/>
                  <w:u w:val="single"/>
                </w:rPr>
                <w:t xml:space="preserve">https://www.nhs.uk/conditions/bronchiolitis/</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Respiratory rate (breaths/min)</w:t>
            </w:r>
          </w:p>
        </w:tc>
        <w:tc>
          <w:tcPr>
            <w:tcW w:type="dxa" w:w="1655"/>
            <w:vAlign w:val="top"/>
          </w:tcPr>
          <w:p>
            <w:pPr>
              <w:spacing w:after="40" w:before="0" w:line="259" w:lineRule="auto"/>
            </w:pPr>
            <w:r>
              <w:rPr>
                <w:rFonts w:ascii="Calibri" w:hAnsi="Calibri"/>
                <w:b w:val="0"/>
                <w:i w:val="0"/>
                <w:color w:val="212121"/>
                <w:sz w:val="19"/>
              </w:rPr>
              <w:t>Infants 2-12 months</w:t>
            </w:r>
          </w:p>
        </w:tc>
        <w:tc>
          <w:tcPr>
            <w:tcW w:type="dxa" w:w="1512"/>
            <w:vAlign w:val="top"/>
          </w:tcPr>
          <w:p>
            <w:pPr>
              <w:spacing w:after="40" w:before="0" w:line="259" w:lineRule="auto"/>
            </w:pPr>
            <w:r>
              <w:rPr>
                <w:rFonts w:ascii="Calibri" w:hAnsi="Calibri"/>
                <w:b w:val="0"/>
                <w:i w:val="0"/>
                <w:color w:val="212121"/>
                <w:sz w:val="19"/>
              </w:rPr>
              <w:t>&lt; 50/min</w:t>
            </w:r>
          </w:p>
        </w:tc>
        <w:tc>
          <w:tcPr>
            <w:tcW w:type="dxa" w:w="1512"/>
            <w:vAlign w:val="top"/>
          </w:tcPr>
          <w:p>
            <w:pPr>
              <w:spacing w:after="40" w:before="0" w:line="259" w:lineRule="auto"/>
            </w:pPr>
            <w:r>
              <w:rPr>
                <w:rFonts w:ascii="Calibri" w:hAnsi="Calibri"/>
                <w:b w:val="0"/>
                <w:i w:val="0"/>
                <w:color w:val="212121"/>
                <w:sz w:val="19"/>
              </w:rPr>
              <w:t>&gt;= 50-60/min (fast breathing); &gt; 70/min severe</w:t>
            </w:r>
          </w:p>
        </w:tc>
        <w:tc>
          <w:tcPr>
            <w:tcW w:type="dxa" w:w="1468"/>
            <w:vAlign w:val="top"/>
          </w:tcPr>
          <w:p>
            <w:pPr>
              <w:spacing w:after="40" w:before="0" w:line="259" w:lineRule="auto"/>
            </w:pPr>
            <w:r>
              <w:rPr>
                <w:rFonts w:ascii="Calibri" w:hAnsi="Calibri"/>
                <w:b w:val="0"/>
                <w:i w:val="0"/>
                <w:color w:val="212121"/>
                <w:sz w:val="19"/>
              </w:rPr>
              <w:t>WHO IMCI fast-breathing threshold; marker of severity</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Pulse oximetry SpO2 (room air)</w:t>
            </w:r>
          </w:p>
        </w:tc>
        <w:tc>
          <w:tcPr>
            <w:tcW w:type="dxa" w:w="1655"/>
            <w:vAlign w:val="top"/>
          </w:tcPr>
          <w:p>
            <w:pPr>
              <w:spacing w:after="40" w:before="0" w:line="259" w:lineRule="auto"/>
            </w:pPr>
            <w:r>
              <w:rPr>
                <w:rFonts w:ascii="Calibri" w:hAnsi="Calibri"/>
                <w:b w:val="0"/>
                <w:i w:val="0"/>
                <w:color w:val="212121"/>
                <w:sz w:val="19"/>
              </w:rPr>
              <w:t>Infants with bronchiolitis</w:t>
            </w:r>
          </w:p>
        </w:tc>
        <w:tc>
          <w:tcPr>
            <w:tcW w:type="dxa" w:w="1512"/>
            <w:vAlign w:val="top"/>
          </w:tcPr>
          <w:p>
            <w:pPr>
              <w:spacing w:after="40" w:before="0" w:line="259" w:lineRule="auto"/>
            </w:pPr>
            <w:r>
              <w:rPr>
                <w:rFonts w:ascii="Calibri" w:hAnsi="Calibri"/>
                <w:b w:val="0"/>
                <w:i w:val="0"/>
                <w:color w:val="212121"/>
                <w:sz w:val="19"/>
              </w:rPr>
              <w:t>&gt;= 95%</w:t>
            </w:r>
          </w:p>
        </w:tc>
        <w:tc>
          <w:tcPr>
            <w:tcW w:type="dxa" w:w="1512"/>
            <w:vAlign w:val="top"/>
          </w:tcPr>
          <w:p>
            <w:pPr>
              <w:spacing w:after="40" w:before="0" w:line="259" w:lineRule="auto"/>
            </w:pPr>
            <w:r>
              <w:rPr>
                <w:rFonts w:ascii="Calibri" w:hAnsi="Calibri"/>
                <w:b w:val="0"/>
                <w:i w:val="0"/>
                <w:color w:val="212121"/>
                <w:sz w:val="19"/>
              </w:rPr>
              <w:t>&lt; 90-92% (hypoxaemia)</w:t>
            </w:r>
          </w:p>
        </w:tc>
        <w:tc>
          <w:tcPr>
            <w:tcW w:type="dxa" w:w="1468"/>
            <w:vAlign w:val="top"/>
          </w:tcPr>
          <w:p>
            <w:pPr>
              <w:spacing w:after="60" w:line="259" w:lineRule="auto"/>
            </w:pPr>
            <w:r>
              <w:rPr>
                <w:rFonts w:ascii="Calibri" w:hAnsi="Calibri"/>
                <w:b w:val="0"/>
                <w:i w:val="0"/>
                <w:color w:val="212121"/>
                <w:sz w:val="19"/>
              </w:rPr>
              <w:t>Persistent hypoxaemia indicates severe disease and need for oxygen/admission</w:t>
            </w:r>
          </w:p>
          <w:p>
            <w:pPr>
              <w:spacing w:after="40" w:line="252" w:lineRule="auto"/>
            </w:pPr>
            <w:hyperlink r:id="rId12">
              <w:r>
                <w:rPr>
                  <w:rFonts w:ascii="Calibri" w:hAnsi="Calibri" w:cs="Calibri"/>
                  <w:sz w:val="18"/>
                  <w:color w:val="1155CC"/>
                  <w:u w:val="single"/>
                </w:rPr>
                <w:t xml:space="preserve">https://www.ncbi.nlm.nih.gov/books/NBK441959/</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Age (months)</w:t>
            </w:r>
          </w:p>
        </w:tc>
        <w:tc>
          <w:tcPr>
            <w:tcW w:type="dxa" w:w="1655"/>
            <w:vAlign w:val="top"/>
          </w:tcPr>
          <w:p>
            <w:pPr>
              <w:spacing w:after="40" w:before="0" w:line="259" w:lineRule="auto"/>
            </w:pPr>
            <w:r>
              <w:rPr>
                <w:rFonts w:ascii="Calibri" w:hAnsi="Calibri"/>
                <w:b w:val="0"/>
                <w:i w:val="0"/>
                <w:color w:val="212121"/>
                <w:sz w:val="19"/>
              </w:rPr>
              <w:t>Infants</w:t>
            </w:r>
          </w:p>
        </w:tc>
        <w:tc>
          <w:tcPr>
            <w:tcW w:type="dxa" w:w="1512"/>
            <w:vAlign w:val="top"/>
          </w:tcPr>
          <w:p>
            <w:pPr>
              <w:spacing w:after="40" w:before="0" w:line="259" w:lineRule="auto"/>
            </w:pPr>
            <w:r>
              <w:rPr>
                <w:rFonts w:ascii="Calibri" w:hAnsi="Calibri"/>
                <w:b w:val="0"/>
                <w:i w:val="0"/>
                <w:color w:val="212121"/>
                <w:sz w:val="19"/>
              </w:rPr>
              <w:t>&gt; 6-12 months (lower risk)</w:t>
            </w:r>
          </w:p>
        </w:tc>
        <w:tc>
          <w:tcPr>
            <w:tcW w:type="dxa" w:w="1512"/>
            <w:vAlign w:val="top"/>
          </w:tcPr>
          <w:p>
            <w:pPr>
              <w:spacing w:after="40" w:before="0" w:line="259" w:lineRule="auto"/>
            </w:pPr>
            <w:r>
              <w:rPr>
                <w:rFonts w:ascii="Calibri" w:hAnsi="Calibri"/>
                <w:b w:val="0"/>
                <w:i w:val="0"/>
                <w:color w:val="212121"/>
                <w:sz w:val="19"/>
              </w:rPr>
              <w:t>&lt; 3 months (highest severity, apnoea risk)</w:t>
            </w:r>
          </w:p>
        </w:tc>
        <w:tc>
          <w:tcPr>
            <w:tcW w:type="dxa" w:w="1468"/>
            <w:vAlign w:val="top"/>
          </w:tcPr>
          <w:p>
            <w:pPr>
              <w:spacing w:after="60" w:line="259" w:lineRule="auto"/>
            </w:pPr>
            <w:r>
              <w:rPr>
                <w:rFonts w:ascii="Calibri" w:hAnsi="Calibri"/>
                <w:b w:val="0"/>
                <w:i w:val="0"/>
                <w:color w:val="212121"/>
                <w:sz w:val="19"/>
              </w:rPr>
              <w:t>Young infants have the highest hospitalisation rates</w:t>
            </w:r>
          </w:p>
          <w:p>
            <w:pPr>
              <w:spacing w:after="40" w:line="252" w:lineRule="auto"/>
            </w:pPr>
            <w:hyperlink r:id="rId9">
              <w:r>
                <w:rPr>
                  <w:rFonts w:ascii="Calibri" w:hAnsi="Calibri" w:cs="Calibri"/>
                  <w:sz w:val="18"/>
                  <w:color w:val="1155CC"/>
                  <w:u w:val="single"/>
                </w:rPr>
                <w:t xml:space="preserve">https://www.cdc.gov/rsv/infants-young-children/index.html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Gestational age at birth (weeks)</w:t>
            </w:r>
          </w:p>
        </w:tc>
        <w:tc>
          <w:tcPr>
            <w:tcW w:type="dxa" w:w="1655"/>
            <w:vAlign w:val="top"/>
          </w:tcPr>
          <w:p>
            <w:pPr>
              <w:spacing w:after="40" w:before="0" w:line="259" w:lineRule="auto"/>
            </w:pPr>
            <w:r>
              <w:rPr>
                <w:rFonts w:ascii="Calibri" w:hAnsi="Calibri"/>
                <w:b w:val="0"/>
                <w:i w:val="0"/>
                <w:color w:val="212121"/>
                <w:sz w:val="19"/>
              </w:rPr>
              <w:t>Infants</w:t>
            </w:r>
          </w:p>
        </w:tc>
        <w:tc>
          <w:tcPr>
            <w:tcW w:type="dxa" w:w="1512"/>
            <w:vAlign w:val="top"/>
          </w:tcPr>
          <w:p>
            <w:pPr>
              <w:spacing w:after="40" w:before="0" w:line="259" w:lineRule="auto"/>
            </w:pPr>
            <w:r>
              <w:rPr>
                <w:rFonts w:ascii="Calibri" w:hAnsi="Calibri"/>
                <w:b w:val="0"/>
                <w:i w:val="0"/>
                <w:color w:val="212121"/>
                <w:sz w:val="19"/>
              </w:rPr>
              <w:t>&gt;= 37 weeks (term)</w:t>
            </w:r>
          </w:p>
        </w:tc>
        <w:tc>
          <w:tcPr>
            <w:tcW w:type="dxa" w:w="1512"/>
            <w:vAlign w:val="top"/>
          </w:tcPr>
          <w:p>
            <w:pPr>
              <w:spacing w:after="40" w:before="0" w:line="259" w:lineRule="auto"/>
            </w:pPr>
            <w:r>
              <w:rPr>
                <w:rFonts w:ascii="Calibri" w:hAnsi="Calibri"/>
                <w:b w:val="0"/>
                <w:i w:val="0"/>
                <w:color w:val="212121"/>
                <w:sz w:val="19"/>
              </w:rPr>
              <w:t>&lt; 32-35 weeks (preterm)</w:t>
            </w:r>
          </w:p>
        </w:tc>
        <w:tc>
          <w:tcPr>
            <w:tcW w:type="dxa" w:w="1468"/>
            <w:vAlign w:val="top"/>
          </w:tcPr>
          <w:p>
            <w:pPr>
              <w:spacing w:after="60" w:line="259" w:lineRule="auto"/>
            </w:pPr>
            <w:r>
              <w:rPr>
                <w:rFonts w:ascii="Calibri" w:hAnsi="Calibri"/>
                <w:b w:val="0"/>
                <w:i w:val="0"/>
                <w:color w:val="212121"/>
                <w:sz w:val="19"/>
              </w:rPr>
              <w:t>Prematurity is among the strongest risk factors for severe RSV</w:t>
            </w:r>
          </w:p>
          <w:p>
            <w:pPr>
              <w:spacing w:after="40" w:line="252" w:lineRule="auto"/>
            </w:pPr>
            <w:hyperlink r:id="rId12">
              <w:r>
                <w:rPr>
                  <w:rFonts w:ascii="Calibri" w:hAnsi="Calibri" w:cs="Calibri"/>
                  <w:sz w:val="18"/>
                  <w:color w:val="1155CC"/>
                  <w:u w:val="single"/>
                </w:rPr>
                <w:t xml:space="preserve">https://www.ncbi.nlm.nih.gov/books/NBK441959/</w:t>
              </w:r>
            </w:hyperlink>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Hand hygiene &amp; contact precautions</w:t>
            </w:r>
          </w:p>
        </w:tc>
        <w:tc>
          <w:tcPr>
            <w:tcW w:type="dxa" w:w="1655"/>
            <w:vAlign w:val="top"/>
          </w:tcPr>
          <w:p>
            <w:pPr>
              <w:spacing w:after="40" w:before="0" w:line="259" w:lineRule="auto"/>
            </w:pPr>
            <w:r>
              <w:rPr>
                <w:rFonts w:ascii="Calibri" w:hAnsi="Calibri"/>
                <w:b w:val="0"/>
                <w:i w:val="0"/>
                <w:color w:val="212121"/>
                <w:sz w:val="19"/>
              </w:rPr>
              <w:t>Caregivers &amp; household</w:t>
            </w:r>
          </w:p>
        </w:tc>
        <w:tc>
          <w:tcPr>
            <w:tcW w:type="dxa" w:w="1512"/>
            <w:vAlign w:val="top"/>
          </w:tcPr>
          <w:p>
            <w:pPr>
              <w:spacing w:after="40" w:before="0" w:line="259" w:lineRule="auto"/>
            </w:pPr>
            <w:r>
              <w:rPr>
                <w:rFonts w:ascii="Calibri" w:hAnsi="Calibri"/>
                <w:b w:val="0"/>
                <w:i w:val="0"/>
                <w:color w:val="212121"/>
                <w:sz w:val="19"/>
              </w:rPr>
              <w:t>Regular handwashing; isolate sick contacts; clean toys/surfaces</w:t>
            </w:r>
          </w:p>
        </w:tc>
        <w:tc>
          <w:tcPr>
            <w:tcW w:type="dxa" w:w="1512"/>
            <w:vAlign w:val="top"/>
          </w:tcPr>
          <w:p>
            <w:pPr>
              <w:spacing w:after="40" w:before="0" w:line="259" w:lineRule="auto"/>
            </w:pPr>
            <w:r>
              <w:rPr>
                <w:rFonts w:ascii="Calibri" w:hAnsi="Calibri"/>
                <w:b w:val="0"/>
                <w:i w:val="0"/>
                <w:color w:val="212121"/>
                <w:sz w:val="19"/>
              </w:rPr>
              <w:t>Poor hygiene; exposure to symptomatic contacts</w:t>
            </w:r>
          </w:p>
        </w:tc>
        <w:tc>
          <w:tcPr>
            <w:tcW w:type="dxa" w:w="1468"/>
            <w:vAlign w:val="top"/>
          </w:tcPr>
          <w:p>
            <w:pPr>
              <w:spacing w:after="60" w:line="259" w:lineRule="auto"/>
            </w:pPr>
            <w:r>
              <w:rPr>
                <w:rFonts w:ascii="Calibri" w:hAnsi="Calibri"/>
                <w:b w:val="0"/>
                <w:i w:val="0"/>
                <w:color w:val="212121"/>
                <w:sz w:val="19"/>
              </w:rPr>
              <w:t>Reduces RSV droplet and fomite transmission</w:t>
            </w:r>
          </w:p>
          <w:p>
            <w:pPr>
              <w:spacing w:after="40" w:line="252" w:lineRule="auto"/>
            </w:pPr>
            <w:hyperlink r:id="rId16">
              <w:r>
                <w:rPr>
                  <w:rFonts w:ascii="Calibri" w:hAnsi="Calibri" w:cs="Calibri"/>
                  <w:sz w:val="18"/>
                  <w:color w:val="1155CC"/>
                  <w:u w:val="single"/>
                </w:rPr>
                <w:t xml:space="preserve">https://www.mayoclinic.org/diseases-conditions/respiratory-syncytial-virus/symptoms-causes/syc-20353098</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Bedside vital sign</w:t>
            </w:r>
          </w:p>
        </w:tc>
        <w:tc>
          <w:tcPr>
            <w:tcW w:type="dxa" w:w="1036"/>
            <w:vAlign w:val="top"/>
          </w:tcPr>
          <w:p>
            <w:pPr>
              <w:spacing w:after="40" w:before="0" w:line="259" w:lineRule="auto"/>
            </w:pPr>
            <w:r>
              <w:rPr>
                <w:rFonts w:ascii="Calibri" w:hAnsi="Calibri"/>
                <w:b w:val="0"/>
                <w:i w:val="0"/>
                <w:color w:val="212121"/>
                <w:sz w:val="16"/>
              </w:rPr>
              <w:t>Oxygen saturation (SpO2)</w:t>
            </w:r>
          </w:p>
        </w:tc>
        <w:tc>
          <w:tcPr>
            <w:tcW w:type="dxa" w:w="892"/>
            <w:vAlign w:val="top"/>
          </w:tcPr>
          <w:p>
            <w:pPr>
              <w:spacing w:after="40" w:before="0" w:line="259" w:lineRule="auto"/>
            </w:pPr>
            <w:r>
              <w:rPr>
                <w:rFonts w:ascii="Calibri" w:hAnsi="Calibri"/>
                <w:b w:val="0"/>
                <w:i w:val="0"/>
                <w:color w:val="212121"/>
                <w:sz w:val="16"/>
              </w:rPr>
              <w:t>Pulse oximetry</w:t>
            </w:r>
          </w:p>
        </w:tc>
        <w:tc>
          <w:tcPr>
            <w:tcW w:type="dxa" w:w="950"/>
            <w:vAlign w:val="top"/>
          </w:tcPr>
          <w:p>
            <w:pPr>
              <w:spacing w:after="40" w:before="0" w:line="259" w:lineRule="auto"/>
            </w:pPr>
            <w:r>
              <w:rPr>
                <w:rFonts w:ascii="Calibri" w:hAnsi="Calibri"/>
                <w:b w:val="0"/>
                <w:i w:val="0"/>
                <w:color w:val="212121"/>
                <w:sz w:val="16"/>
              </w:rPr>
              <w:t>&gt;= 95% (room air)</w:t>
            </w:r>
          </w:p>
        </w:tc>
        <w:tc>
          <w:tcPr>
            <w:tcW w:type="dxa" w:w="950"/>
            <w:vAlign w:val="top"/>
          </w:tcPr>
          <w:p>
            <w:pPr>
              <w:spacing w:after="40" w:before="0" w:line="259" w:lineRule="auto"/>
            </w:pPr>
            <w:r>
              <w:rPr>
                <w:rFonts w:ascii="Calibri" w:hAnsi="Calibri"/>
                <w:b w:val="0"/>
                <w:i w:val="0"/>
                <w:color w:val="212121"/>
                <w:sz w:val="16"/>
              </w:rPr>
              <w:t>&lt; 90-92%</w:t>
            </w:r>
          </w:p>
        </w:tc>
        <w:tc>
          <w:tcPr>
            <w:tcW w:type="dxa" w:w="1036"/>
            <w:vAlign w:val="top"/>
          </w:tcPr>
          <w:p>
            <w:pPr>
              <w:spacing w:after="40" w:before="0" w:line="259" w:lineRule="auto"/>
            </w:pPr>
            <w:r>
              <w:rPr>
                <w:rFonts w:ascii="Calibri" w:hAnsi="Calibri"/>
                <w:b w:val="0"/>
                <w:i w:val="0"/>
                <w:color w:val="212121"/>
                <w:sz w:val="16"/>
              </w:rPr>
              <w:t>Hypoxaemia indicates severe disease and the need for supplemental oxygen and admission</w:t>
            </w:r>
          </w:p>
        </w:tc>
        <w:tc>
          <w:tcPr>
            <w:tcW w:type="dxa" w:w="1036"/>
            <w:vAlign w:val="top"/>
          </w:tcPr>
          <w:p>
            <w:pPr>
              <w:spacing w:after="40" w:before="0" w:line="259" w:lineRule="auto"/>
            </w:pPr>
            <w:r>
              <w:rPr>
                <w:rFonts w:ascii="Calibri" w:hAnsi="Calibri"/>
                <w:b w:val="0"/>
                <w:i w:val="0"/>
                <w:color w:val="212121"/>
                <w:sz w:val="16"/>
              </w:rPr>
              <w:t>All infants with bronchiolitis, high-risk infants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Key severity marker</w:t>
            </w:r>
          </w:p>
        </w:tc>
        <w:tc>
          <w:tcPr>
            <w:tcW w:type="dxa" w:w="720"/>
            <w:vAlign w:val="top"/>
          </w:tcPr>
          <w:p>
            <w:pPr>
              <w:spacing w:after="40" w:before="0" w:line="259" w:lineRule="auto"/>
            </w:pPr>
            <w:r>
              <w:rPr>
                <w:rFonts w:ascii="Calibri" w:hAnsi="Calibri"/>
                <w:b w:val="0"/>
                <w:i w:val="0"/>
                <w:color w:val="212121"/>
                <w:sz w:val="16"/>
              </w:rPr>
              <w:t>Single most useful bedside investigation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Virology</w:t>
            </w:r>
          </w:p>
        </w:tc>
        <w:tc>
          <w:tcPr>
            <w:tcW w:type="dxa" w:w="1036"/>
            <w:vAlign w:val="top"/>
          </w:tcPr>
          <w:p>
            <w:pPr>
              <w:spacing w:after="40" w:before="0" w:line="259" w:lineRule="auto"/>
            </w:pPr>
            <w:r>
              <w:rPr>
                <w:rFonts w:ascii="Calibri" w:hAnsi="Calibri"/>
                <w:b w:val="0"/>
                <w:i w:val="0"/>
                <w:color w:val="212121"/>
                <w:sz w:val="16"/>
              </w:rPr>
              <w:t>RSV antigen</w:t>
            </w:r>
          </w:p>
        </w:tc>
        <w:tc>
          <w:tcPr>
            <w:tcW w:type="dxa" w:w="892"/>
            <w:vAlign w:val="top"/>
          </w:tcPr>
          <w:p>
            <w:pPr>
              <w:spacing w:after="40" w:before="0" w:line="259" w:lineRule="auto"/>
            </w:pPr>
            <w:r>
              <w:rPr>
                <w:rFonts w:ascii="Calibri" w:hAnsi="Calibri"/>
                <w:b w:val="0"/>
                <w:i w:val="0"/>
                <w:color w:val="212121"/>
                <w:sz w:val="16"/>
              </w:rPr>
              <w:t>RSV rapid antigen detection (nasopharyngeal swab/aspirate)</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w:t>
            </w:r>
          </w:p>
        </w:tc>
        <w:tc>
          <w:tcPr>
            <w:tcW w:type="dxa" w:w="1036"/>
            <w:vAlign w:val="top"/>
          </w:tcPr>
          <w:p>
            <w:pPr>
              <w:spacing w:after="40" w:before="0" w:line="259" w:lineRule="auto"/>
            </w:pPr>
            <w:r>
              <w:rPr>
                <w:rFonts w:ascii="Calibri" w:hAnsi="Calibri"/>
                <w:b w:val="0"/>
                <w:i w:val="0"/>
                <w:color w:val="212121"/>
                <w:sz w:val="16"/>
              </w:rPr>
              <w:t>Confirms RSV aetiology and supports cohorting; does not alter management of typical cases</w:t>
            </w:r>
          </w:p>
        </w:tc>
        <w:tc>
          <w:tcPr>
            <w:tcW w:type="dxa" w:w="1036"/>
            <w:vAlign w:val="top"/>
          </w:tcPr>
          <w:p>
            <w:pPr>
              <w:spacing w:after="40" w:before="0" w:line="259" w:lineRule="auto"/>
            </w:pPr>
            <w:r>
              <w:rPr>
                <w:rFonts w:ascii="Calibri" w:hAnsi="Calibri"/>
                <w:b w:val="0"/>
                <w:i w:val="0"/>
                <w:color w:val="212121"/>
                <w:sz w:val="16"/>
              </w:rPr>
              <w:t>Hospitalised infants, high-risk infants, outbreak settings</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Confirmatory (80-90% sensitive in infants during outbreaks)</w:t>
            </w:r>
          </w:p>
        </w:tc>
        <w:tc>
          <w:tcPr>
            <w:tcW w:type="dxa" w:w="720"/>
            <w:vAlign w:val="top"/>
          </w:tcPr>
          <w:p>
            <w:pPr>
              <w:spacing w:after="40" w:before="0" w:line="259" w:lineRule="auto"/>
            </w:pPr>
            <w:r>
              <w:rPr>
                <w:rFonts w:ascii="Calibri" w:hAnsi="Calibri"/>
                <w:b w:val="0"/>
                <w:i w:val="0"/>
                <w:color w:val="212121"/>
                <w:sz w:val="16"/>
              </w:rPr>
              <w:t>Not required to diagnose typical bronchiolitis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Virology</w:t>
            </w:r>
          </w:p>
        </w:tc>
        <w:tc>
          <w:tcPr>
            <w:tcW w:type="dxa" w:w="1036"/>
            <w:vAlign w:val="top"/>
          </w:tcPr>
          <w:p>
            <w:pPr>
              <w:spacing w:after="40" w:before="0" w:line="259" w:lineRule="auto"/>
            </w:pPr>
            <w:r>
              <w:rPr>
                <w:rFonts w:ascii="Calibri" w:hAnsi="Calibri"/>
                <w:b w:val="0"/>
                <w:i w:val="0"/>
                <w:color w:val="212121"/>
                <w:sz w:val="16"/>
              </w:rPr>
              <w:t>Respiratory virus panel</w:t>
            </w:r>
          </w:p>
        </w:tc>
        <w:tc>
          <w:tcPr>
            <w:tcW w:type="dxa" w:w="892"/>
            <w:vAlign w:val="top"/>
          </w:tcPr>
          <w:p>
            <w:pPr>
              <w:spacing w:after="40" w:before="0" w:line="259" w:lineRule="auto"/>
            </w:pPr>
            <w:r>
              <w:rPr>
                <w:rFonts w:ascii="Calibri" w:hAnsi="Calibri"/>
                <w:b w:val="0"/>
                <w:i w:val="0"/>
                <w:color w:val="212121"/>
                <w:sz w:val="16"/>
              </w:rPr>
              <w:t>Multiplex RT-PCR (nasopharyngeal)</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RSV or other virus detected</w:t>
            </w:r>
          </w:p>
        </w:tc>
        <w:tc>
          <w:tcPr>
            <w:tcW w:type="dxa" w:w="1036"/>
            <w:vAlign w:val="top"/>
          </w:tcPr>
          <w:p>
            <w:pPr>
              <w:spacing w:after="40" w:before="0" w:line="259" w:lineRule="auto"/>
            </w:pPr>
            <w:r>
              <w:rPr>
                <w:rFonts w:ascii="Calibri" w:hAnsi="Calibri"/>
                <w:b w:val="0"/>
                <w:i w:val="0"/>
                <w:color w:val="212121"/>
                <w:sz w:val="16"/>
              </w:rPr>
              <w:t>Higher sensitivity than antigen; identifies co-infection and guides cohorting</w:t>
            </w:r>
          </w:p>
        </w:tc>
        <w:tc>
          <w:tcPr>
            <w:tcW w:type="dxa" w:w="1036"/>
            <w:vAlign w:val="top"/>
          </w:tcPr>
          <w:p>
            <w:pPr>
              <w:spacing w:after="40" w:before="0" w:line="259" w:lineRule="auto"/>
            </w:pPr>
            <w:r>
              <w:rPr>
                <w:rFonts w:ascii="Calibri" w:hAnsi="Calibri"/>
                <w:b w:val="0"/>
                <w:i w:val="0"/>
                <w:color w:val="212121"/>
                <w:sz w:val="16"/>
              </w:rPr>
              <w:t>Severe/atypical cases, immunocompromised, inpatients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About 30% of infants have more than one virus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Radiology</w:t>
            </w:r>
          </w:p>
        </w:tc>
        <w:tc>
          <w:tcPr>
            <w:tcW w:type="dxa" w:w="1036"/>
            <w:vAlign w:val="top"/>
          </w:tcPr>
          <w:p>
            <w:pPr>
              <w:spacing w:after="40" w:before="0" w:line="259" w:lineRule="auto"/>
            </w:pPr>
            <w:r>
              <w:rPr>
                <w:rFonts w:ascii="Calibri" w:hAnsi="Calibri"/>
                <w:b w:val="0"/>
                <w:i w:val="0"/>
                <w:color w:val="212121"/>
                <w:sz w:val="16"/>
              </w:rPr>
              <w:t>Chest radiograph</w:t>
            </w:r>
          </w:p>
        </w:tc>
        <w:tc>
          <w:tcPr>
            <w:tcW w:type="dxa" w:w="892"/>
            <w:vAlign w:val="top"/>
          </w:tcPr>
          <w:p>
            <w:pPr>
              <w:spacing w:after="40" w:before="0" w:line="259" w:lineRule="auto"/>
            </w:pPr>
            <w:r>
              <w:rPr>
                <w:rFonts w:ascii="Calibri" w:hAnsi="Calibri"/>
                <w:b w:val="0"/>
                <w:i w:val="0"/>
                <w:color w:val="212121"/>
                <w:sz w:val="16"/>
              </w:rPr>
              <w:t>Chest X-ray</w:t>
            </w:r>
          </w:p>
        </w:tc>
        <w:tc>
          <w:tcPr>
            <w:tcW w:type="dxa" w:w="950"/>
            <w:vAlign w:val="top"/>
          </w:tcPr>
          <w:p>
            <w:pPr>
              <w:spacing w:after="40" w:before="0" w:line="259" w:lineRule="auto"/>
            </w:pPr>
            <w:r>
              <w:rPr>
                <w:rFonts w:ascii="Calibri" w:hAnsi="Calibri"/>
                <w:b w:val="0"/>
                <w:i w:val="0"/>
                <w:color w:val="212121"/>
                <w:sz w:val="16"/>
              </w:rPr>
              <w:t>Not routinely indicated</w:t>
            </w:r>
          </w:p>
        </w:tc>
        <w:tc>
          <w:tcPr>
            <w:tcW w:type="dxa" w:w="950"/>
            <w:vAlign w:val="top"/>
          </w:tcPr>
          <w:p>
            <w:pPr>
              <w:spacing w:after="40" w:before="0" w:line="259" w:lineRule="auto"/>
            </w:pPr>
            <w:r>
              <w:rPr>
                <w:rFonts w:ascii="Calibri" w:hAnsi="Calibri"/>
                <w:b w:val="0"/>
                <w:i w:val="0"/>
                <w:color w:val="212121"/>
                <w:sz w:val="16"/>
              </w:rPr>
              <w:t>Hyperinflation, peribronchial thickening, patchy atelectasis</w:t>
            </w:r>
          </w:p>
        </w:tc>
        <w:tc>
          <w:tcPr>
            <w:tcW w:type="dxa" w:w="1036"/>
            <w:vAlign w:val="top"/>
          </w:tcPr>
          <w:p>
            <w:pPr>
              <w:spacing w:after="40" w:before="0" w:line="259" w:lineRule="auto"/>
            </w:pPr>
            <w:r>
              <w:rPr>
                <w:rFonts w:ascii="Calibri" w:hAnsi="Calibri"/>
                <w:b w:val="0"/>
                <w:i w:val="0"/>
                <w:color w:val="212121"/>
                <w:sz w:val="16"/>
              </w:rPr>
              <w:t>Used only to exclude pneumonia, foreign body or cardiac cause when atypical/severe</w:t>
            </w:r>
          </w:p>
        </w:tc>
        <w:tc>
          <w:tcPr>
            <w:tcW w:type="dxa" w:w="1036"/>
            <w:vAlign w:val="top"/>
          </w:tcPr>
          <w:p>
            <w:pPr>
              <w:spacing w:after="40" w:before="0" w:line="259" w:lineRule="auto"/>
            </w:pPr>
            <w:r>
              <w:rPr>
                <w:rFonts w:ascii="Calibri" w:hAnsi="Calibri"/>
                <w:b w:val="0"/>
                <w:i w:val="0"/>
                <w:color w:val="212121"/>
                <w:sz w:val="16"/>
              </w:rPr>
              <w:t>Atypical, severe or deteriorating cases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Selective (avoid routine use)</w:t>
            </w:r>
          </w:p>
        </w:tc>
        <w:tc>
          <w:tcPr>
            <w:tcW w:type="dxa" w:w="720"/>
            <w:vAlign w:val="top"/>
          </w:tcPr>
          <w:p>
            <w:pPr>
              <w:spacing w:after="40" w:before="0" w:line="259" w:lineRule="auto"/>
            </w:pPr>
            <w:r>
              <w:rPr>
                <w:rFonts w:ascii="Calibri" w:hAnsi="Calibri"/>
                <w:b w:val="0"/>
                <w:i w:val="0"/>
                <w:color w:val="212121"/>
                <w:sz w:val="16"/>
              </w:rPr>
              <w:t>Routine CXR drives unnecessary antibiotic use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Blood gas</w:t>
            </w:r>
          </w:p>
        </w:tc>
        <w:tc>
          <w:tcPr>
            <w:tcW w:type="dxa" w:w="1036"/>
            <w:vAlign w:val="top"/>
          </w:tcPr>
          <w:p>
            <w:pPr>
              <w:spacing w:after="40" w:before="0" w:line="259" w:lineRule="auto"/>
            </w:pPr>
            <w:r>
              <w:rPr>
                <w:rFonts w:ascii="Calibri" w:hAnsi="Calibri"/>
                <w:b w:val="0"/>
                <w:i w:val="0"/>
                <w:color w:val="212121"/>
                <w:sz w:val="16"/>
              </w:rPr>
              <w:t>pH, pCO2, pO2</w:t>
            </w:r>
          </w:p>
        </w:tc>
        <w:tc>
          <w:tcPr>
            <w:tcW w:type="dxa" w:w="892"/>
            <w:vAlign w:val="top"/>
          </w:tcPr>
          <w:p>
            <w:pPr>
              <w:spacing w:after="40" w:before="0" w:line="259" w:lineRule="auto"/>
            </w:pPr>
            <w:r>
              <w:rPr>
                <w:rFonts w:ascii="Calibri" w:hAnsi="Calibri"/>
                <w:b w:val="0"/>
                <w:i w:val="0"/>
                <w:color w:val="212121"/>
                <w:sz w:val="16"/>
              </w:rPr>
              <w:t>Capillary/venous blood gas</w:t>
            </w:r>
          </w:p>
        </w:tc>
        <w:tc>
          <w:tcPr>
            <w:tcW w:type="dxa" w:w="950"/>
            <w:vAlign w:val="top"/>
          </w:tcPr>
          <w:p>
            <w:pPr>
              <w:spacing w:after="40" w:before="0" w:line="259" w:lineRule="auto"/>
            </w:pPr>
            <w:r>
              <w:rPr>
                <w:rFonts w:ascii="Calibri" w:hAnsi="Calibri"/>
                <w:b w:val="0"/>
                <w:i w:val="0"/>
                <w:color w:val="212121"/>
                <w:sz w:val="16"/>
              </w:rPr>
              <w:t>Normal pCO2, no acidosis</w:t>
            </w:r>
          </w:p>
        </w:tc>
        <w:tc>
          <w:tcPr>
            <w:tcW w:type="dxa" w:w="950"/>
            <w:vAlign w:val="top"/>
          </w:tcPr>
          <w:p>
            <w:pPr>
              <w:spacing w:after="40" w:before="0" w:line="259" w:lineRule="auto"/>
            </w:pPr>
            <w:r>
              <w:rPr>
                <w:rFonts w:ascii="Calibri" w:hAnsi="Calibri"/>
                <w:b w:val="0"/>
                <w:i w:val="0"/>
                <w:color w:val="212121"/>
                <w:sz w:val="16"/>
              </w:rPr>
              <w:t>Hypercapnia, hypoxaemia, respiratory acidosis</w:t>
            </w:r>
          </w:p>
        </w:tc>
        <w:tc>
          <w:tcPr>
            <w:tcW w:type="dxa" w:w="1036"/>
            <w:vAlign w:val="top"/>
          </w:tcPr>
          <w:p>
            <w:pPr>
              <w:spacing w:after="40" w:before="0" w:line="259" w:lineRule="auto"/>
            </w:pPr>
            <w:r>
              <w:rPr>
                <w:rFonts w:ascii="Calibri" w:hAnsi="Calibri"/>
                <w:b w:val="0"/>
                <w:i w:val="0"/>
                <w:color w:val="212121"/>
                <w:sz w:val="16"/>
              </w:rPr>
              <w:t>Rising pCO2 signals fatigue and impending respiratory failure</w:t>
            </w:r>
          </w:p>
        </w:tc>
        <w:tc>
          <w:tcPr>
            <w:tcW w:type="dxa" w:w="1036"/>
            <w:vAlign w:val="top"/>
          </w:tcPr>
          <w:p>
            <w:pPr>
              <w:spacing w:after="40" w:before="0" w:line="259" w:lineRule="auto"/>
            </w:pPr>
            <w:r>
              <w:rPr>
                <w:rFonts w:ascii="Calibri" w:hAnsi="Calibri"/>
                <w:b w:val="0"/>
                <w:i w:val="0"/>
                <w:color w:val="212121"/>
                <w:sz w:val="16"/>
              </w:rPr>
              <w:t>Severe distress, recurrent apnoea, pre-ventilation assessment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For severe disease</w:t>
            </w:r>
          </w:p>
        </w:tc>
        <w:tc>
          <w:tcPr>
            <w:tcW w:type="dxa" w:w="720"/>
            <w:vAlign w:val="top"/>
          </w:tcPr>
          <w:p>
            <w:pPr>
              <w:spacing w:after="40" w:before="0" w:line="259" w:lineRule="auto"/>
            </w:pPr>
            <w:r>
              <w:rPr>
                <w:rFonts w:ascii="Calibri" w:hAnsi="Calibri"/>
                <w:b w:val="0"/>
                <w:i w:val="0"/>
                <w:color w:val="212121"/>
                <w:sz w:val="16"/>
              </w:rPr>
              <w:t>Guides escalation to respiratory support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Haematology/Biochemistry</w:t>
            </w:r>
          </w:p>
        </w:tc>
        <w:tc>
          <w:tcPr>
            <w:tcW w:type="dxa" w:w="1036"/>
            <w:vAlign w:val="top"/>
          </w:tcPr>
          <w:p>
            <w:pPr>
              <w:spacing w:after="40" w:before="0" w:line="259" w:lineRule="auto"/>
            </w:pPr>
            <w:r>
              <w:rPr>
                <w:rFonts w:ascii="Calibri" w:hAnsi="Calibri"/>
                <w:b w:val="0"/>
                <w:i w:val="0"/>
                <w:color w:val="212121"/>
                <w:sz w:val="16"/>
              </w:rPr>
              <w:t>CBC, CRP</w:t>
            </w:r>
          </w:p>
        </w:tc>
        <w:tc>
          <w:tcPr>
            <w:tcW w:type="dxa" w:w="892"/>
            <w:vAlign w:val="top"/>
          </w:tcPr>
          <w:p>
            <w:pPr>
              <w:spacing w:after="40" w:before="0" w:line="259" w:lineRule="auto"/>
            </w:pPr>
            <w:r>
              <w:rPr>
                <w:rFonts w:ascii="Calibri" w:hAnsi="Calibri"/>
                <w:b w:val="0"/>
                <w:i w:val="0"/>
                <w:color w:val="212121"/>
                <w:sz w:val="16"/>
              </w:rPr>
              <w:t>Full blood count &amp; C-reactive protein</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Raised WCC/CRP if bacterial co-infection</w:t>
            </w:r>
          </w:p>
        </w:tc>
        <w:tc>
          <w:tcPr>
            <w:tcW w:type="dxa" w:w="1036"/>
            <w:vAlign w:val="top"/>
          </w:tcPr>
          <w:p>
            <w:pPr>
              <w:spacing w:after="40" w:before="0" w:line="259" w:lineRule="auto"/>
            </w:pPr>
            <w:r>
              <w:rPr>
                <w:rFonts w:ascii="Calibri" w:hAnsi="Calibri"/>
                <w:b w:val="0"/>
                <w:i w:val="0"/>
                <w:color w:val="212121"/>
                <w:sz w:val="16"/>
              </w:rPr>
              <w:t>Not routine; helpful only when secondary bacterial infection is suspected</w:t>
            </w:r>
          </w:p>
        </w:tc>
        <w:tc>
          <w:tcPr>
            <w:tcW w:type="dxa" w:w="1036"/>
            <w:vAlign w:val="top"/>
          </w:tcPr>
          <w:p>
            <w:pPr>
              <w:spacing w:after="40" w:before="0" w:line="259" w:lineRule="auto"/>
            </w:pPr>
            <w:r>
              <w:rPr>
                <w:rFonts w:ascii="Calibri" w:hAnsi="Calibri"/>
                <w:b w:val="0"/>
                <w:i w:val="0"/>
                <w:color w:val="212121"/>
                <w:sz w:val="16"/>
              </w:rPr>
              <w:t>Febrile, toxic or deteriorating infants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Most bronchiolitis is viral - avoid routine bloods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Biochemistry</w:t>
            </w:r>
          </w:p>
        </w:tc>
        <w:tc>
          <w:tcPr>
            <w:tcW w:type="dxa" w:w="1036"/>
            <w:vAlign w:val="top"/>
          </w:tcPr>
          <w:p>
            <w:pPr>
              <w:spacing w:after="40" w:before="0" w:line="259" w:lineRule="auto"/>
            </w:pPr>
            <w:r>
              <w:rPr>
                <w:rFonts w:ascii="Calibri" w:hAnsi="Calibri"/>
                <w:b w:val="0"/>
                <w:i w:val="0"/>
                <w:color w:val="212121"/>
                <w:sz w:val="16"/>
              </w:rPr>
              <w:t>Serum sodium &amp; electrolytes</w:t>
            </w:r>
          </w:p>
        </w:tc>
        <w:tc>
          <w:tcPr>
            <w:tcW w:type="dxa" w:w="892"/>
            <w:vAlign w:val="top"/>
          </w:tcPr>
          <w:p>
            <w:pPr>
              <w:spacing w:after="40" w:before="0" w:line="259" w:lineRule="auto"/>
            </w:pPr>
            <w:r>
              <w:rPr>
                <w:rFonts w:ascii="Calibri" w:hAnsi="Calibri"/>
                <w:b w:val="0"/>
                <w:i w:val="0"/>
                <w:color w:val="212121"/>
                <w:sz w:val="16"/>
              </w:rPr>
              <w:t>Serum electrolytes</w:t>
            </w:r>
          </w:p>
        </w:tc>
        <w:tc>
          <w:tcPr>
            <w:tcW w:type="dxa" w:w="950"/>
            <w:vAlign w:val="top"/>
          </w:tcPr>
          <w:p>
            <w:pPr>
              <w:spacing w:after="40" w:before="0" w:line="259" w:lineRule="auto"/>
            </w:pPr>
            <w:r>
              <w:rPr>
                <w:rFonts w:ascii="Calibri" w:hAnsi="Calibri"/>
                <w:b w:val="0"/>
                <w:i w:val="0"/>
                <w:color w:val="212121"/>
                <w:sz w:val="16"/>
              </w:rPr>
              <w:t>Na 135-145 mmol/L</w:t>
            </w:r>
          </w:p>
        </w:tc>
        <w:tc>
          <w:tcPr>
            <w:tcW w:type="dxa" w:w="950"/>
            <w:vAlign w:val="top"/>
          </w:tcPr>
          <w:p>
            <w:pPr>
              <w:spacing w:after="40" w:before="0" w:line="259" w:lineRule="auto"/>
            </w:pPr>
            <w:r>
              <w:rPr>
                <w:rFonts w:ascii="Calibri" w:hAnsi="Calibri"/>
                <w:b w:val="0"/>
                <w:i w:val="0"/>
                <w:color w:val="212121"/>
                <w:sz w:val="16"/>
              </w:rPr>
              <w:t>Hyponatraemia (SIADH); dehydration derangements</w:t>
            </w:r>
          </w:p>
        </w:tc>
        <w:tc>
          <w:tcPr>
            <w:tcW w:type="dxa" w:w="1036"/>
            <w:vAlign w:val="top"/>
          </w:tcPr>
          <w:p>
            <w:pPr>
              <w:spacing w:after="40" w:before="0" w:line="259" w:lineRule="auto"/>
            </w:pPr>
            <w:r>
              <w:rPr>
                <w:rFonts w:ascii="Calibri" w:hAnsi="Calibri"/>
                <w:b w:val="0"/>
                <w:i w:val="0"/>
                <w:color w:val="212121"/>
                <w:sz w:val="16"/>
              </w:rPr>
              <w:t>Detects SIADH and fluid/electrolyte imbalance in severe disease</w:t>
            </w:r>
          </w:p>
        </w:tc>
        <w:tc>
          <w:tcPr>
            <w:tcW w:type="dxa" w:w="1036"/>
            <w:vAlign w:val="top"/>
          </w:tcPr>
          <w:p>
            <w:pPr>
              <w:spacing w:after="40" w:before="0" w:line="259" w:lineRule="auto"/>
            </w:pPr>
            <w:r>
              <w:rPr>
                <w:rFonts w:ascii="Calibri" w:hAnsi="Calibri"/>
                <w:b w:val="0"/>
                <w:i w:val="0"/>
                <w:color w:val="212121"/>
                <w:sz w:val="16"/>
              </w:rPr>
              <w:t>Infants on IV fluids, severe disease</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For moderate-severe cases</w:t>
            </w:r>
          </w:p>
        </w:tc>
        <w:tc>
          <w:tcPr>
            <w:tcW w:type="dxa" w:w="720"/>
            <w:vAlign w:val="top"/>
          </w:tcPr>
          <w:p>
            <w:pPr>
              <w:spacing w:after="40" w:before="0" w:line="259" w:lineRule="auto"/>
            </w:pPr>
            <w:r>
              <w:rPr>
                <w:rFonts w:ascii="Calibri" w:hAnsi="Calibri"/>
                <w:b w:val="0"/>
                <w:i w:val="0"/>
                <w:color w:val="212121"/>
                <w:sz w:val="16"/>
              </w:rPr>
              <w:t>Use isotonic maintenance fluids to avoid hyponatraemia</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Coryza and cough progressing to wheeze, fast breathing and poor feeding</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present</w:t>
            </w:r>
          </w:p>
        </w:tc>
        <w:tc>
          <w:tcPr>
            <w:tcW w:type="dxa" w:w="1036"/>
            <w:vAlign w:val="top"/>
          </w:tcPr>
          <w:p>
            <w:pPr>
              <w:spacing w:after="40" w:before="0" w:line="259" w:lineRule="auto"/>
            </w:pPr>
            <w:r>
              <w:rPr>
                <w:rFonts w:ascii="Calibri" w:hAnsi="Calibri"/>
                <w:b w:val="0"/>
                <w:i w:val="0"/>
                <w:color w:val="212121"/>
                <w:sz w:val="16"/>
              </w:rPr>
              <w:t>Typical biphasic course of bronchiolitis (URI then lower-airway signs at 2-3 days)</w:t>
            </w:r>
          </w:p>
        </w:tc>
        <w:tc>
          <w:tcPr>
            <w:tcW w:type="dxa" w:w="1036"/>
            <w:vAlign w:val="top"/>
          </w:tcPr>
          <w:p>
            <w:pPr>
              <w:spacing w:after="40" w:before="0" w:line="259" w:lineRule="auto"/>
            </w:pPr>
            <w:r>
              <w:rPr>
                <w:rFonts w:ascii="Calibri" w:hAnsi="Calibri"/>
                <w:b w:val="0"/>
                <w:i w:val="0"/>
                <w:color w:val="212121"/>
                <w:sz w:val="16"/>
              </w:rPr>
              <w:t>Infants &lt; 24 months with first wheezing episode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First episode of wheeze in an infant is the classic picture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Risk stratification</w:t>
            </w:r>
          </w:p>
        </w:tc>
        <w:tc>
          <w:tcPr>
            <w:tcW w:type="dxa" w:w="979"/>
            <w:vAlign w:val="top"/>
          </w:tcPr>
          <w:p>
            <w:pPr>
              <w:spacing w:after="40" w:before="0" w:line="259" w:lineRule="auto"/>
            </w:pPr>
            <w:r>
              <w:rPr>
                <w:rFonts w:ascii="Calibri" w:hAnsi="Calibri"/>
                <w:b w:val="0"/>
                <w:i w:val="0"/>
                <w:color w:val="212121"/>
                <w:sz w:val="16"/>
              </w:rPr>
              <w:t>Age, gestation, comorbidity (CHD, BPD, immunodeficiency)</w:t>
            </w:r>
          </w:p>
        </w:tc>
        <w:tc>
          <w:tcPr>
            <w:tcW w:type="dxa" w:w="950"/>
            <w:vAlign w:val="top"/>
          </w:tcPr>
          <w:p>
            <w:pPr>
              <w:spacing w:after="40" w:before="0" w:line="259" w:lineRule="auto"/>
            </w:pPr>
            <w:r>
              <w:rPr>
                <w:rFonts w:ascii="Calibri" w:hAnsi="Calibri"/>
                <w:b w:val="0"/>
                <w:i w:val="0"/>
                <w:color w:val="212121"/>
                <w:sz w:val="16"/>
              </w:rPr>
              <w:t>Term, no comorbidity, &gt; 6 months</w:t>
            </w:r>
          </w:p>
        </w:tc>
        <w:tc>
          <w:tcPr>
            <w:tcW w:type="dxa" w:w="950"/>
            <w:vAlign w:val="top"/>
          </w:tcPr>
          <w:p>
            <w:pPr>
              <w:spacing w:after="40" w:before="0" w:line="259" w:lineRule="auto"/>
            </w:pPr>
            <w:r>
              <w:rPr>
                <w:rFonts w:ascii="Calibri" w:hAnsi="Calibri"/>
                <w:b w:val="0"/>
                <w:i w:val="0"/>
                <w:color w:val="212121"/>
                <w:sz w:val="16"/>
              </w:rPr>
              <w:t>&lt; 3 months, preterm, or comorbid</w:t>
            </w:r>
          </w:p>
        </w:tc>
        <w:tc>
          <w:tcPr>
            <w:tcW w:type="dxa" w:w="1036"/>
            <w:vAlign w:val="top"/>
          </w:tcPr>
          <w:p>
            <w:pPr>
              <w:spacing w:after="40" w:before="0" w:line="259" w:lineRule="auto"/>
            </w:pPr>
            <w:r>
              <w:rPr>
                <w:rFonts w:ascii="Calibri" w:hAnsi="Calibri"/>
                <w:b w:val="0"/>
                <w:i w:val="0"/>
                <w:color w:val="212121"/>
                <w:sz w:val="16"/>
              </w:rPr>
              <w:t>Identifies infants at high risk of severe disease and apnoea</w:t>
            </w:r>
          </w:p>
        </w:tc>
        <w:tc>
          <w:tcPr>
            <w:tcW w:type="dxa" w:w="1036"/>
            <w:vAlign w:val="top"/>
          </w:tcPr>
          <w:p>
            <w:pPr>
              <w:spacing w:after="40" w:before="0" w:line="259" w:lineRule="auto"/>
            </w:pPr>
            <w:r>
              <w:rPr>
                <w:rFonts w:ascii="Calibri" w:hAnsi="Calibri"/>
                <w:b w:val="0"/>
                <w:i w:val="0"/>
                <w:color w:val="212121"/>
                <w:sz w:val="16"/>
              </w:rPr>
              <w:t>Young, preterm or comorbid infants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Drives admission and immunoprophylaxis decisions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Feeding &amp; hydration</w:t>
            </w:r>
          </w:p>
        </w:tc>
        <w:tc>
          <w:tcPr>
            <w:tcW w:type="dxa" w:w="979"/>
            <w:vAlign w:val="top"/>
          </w:tcPr>
          <w:p>
            <w:pPr>
              <w:spacing w:after="40" w:before="0" w:line="259" w:lineRule="auto"/>
            </w:pPr>
            <w:r>
              <w:rPr>
                <w:rFonts w:ascii="Calibri" w:hAnsi="Calibri"/>
                <w:b w:val="0"/>
                <w:i w:val="0"/>
                <w:color w:val="212121"/>
                <w:sz w:val="16"/>
              </w:rPr>
              <w:t>Proportion of usual feeds; wet nappies; vomiting</w:t>
            </w:r>
          </w:p>
        </w:tc>
        <w:tc>
          <w:tcPr>
            <w:tcW w:type="dxa" w:w="950"/>
            <w:vAlign w:val="top"/>
          </w:tcPr>
          <w:p>
            <w:pPr>
              <w:spacing w:after="40" w:before="0" w:line="259" w:lineRule="auto"/>
            </w:pPr>
            <w:r>
              <w:rPr>
                <w:rFonts w:ascii="Calibri" w:hAnsi="Calibri"/>
                <w:b w:val="0"/>
                <w:i w:val="0"/>
                <w:color w:val="212121"/>
                <w:sz w:val="16"/>
              </w:rPr>
              <w:t>&gt;= 50% feeds, &gt;= 6 wet nappies</w:t>
            </w:r>
          </w:p>
        </w:tc>
        <w:tc>
          <w:tcPr>
            <w:tcW w:type="dxa" w:w="950"/>
            <w:vAlign w:val="top"/>
          </w:tcPr>
          <w:p>
            <w:pPr>
              <w:spacing w:after="40" w:before="0" w:line="259" w:lineRule="auto"/>
            </w:pPr>
            <w:r>
              <w:rPr>
                <w:rFonts w:ascii="Calibri" w:hAnsi="Calibri"/>
                <w:b w:val="0"/>
                <w:i w:val="0"/>
                <w:color w:val="212121"/>
                <w:sz w:val="16"/>
              </w:rPr>
              <w:t>&lt; 50% feeds, reduced nappies, dry nappy &gt; 12 h</w:t>
            </w:r>
          </w:p>
        </w:tc>
        <w:tc>
          <w:tcPr>
            <w:tcW w:type="dxa" w:w="1036"/>
            <w:vAlign w:val="top"/>
          </w:tcPr>
          <w:p>
            <w:pPr>
              <w:spacing w:after="40" w:before="0" w:line="259" w:lineRule="auto"/>
            </w:pPr>
            <w:r>
              <w:rPr>
                <w:rFonts w:ascii="Calibri" w:hAnsi="Calibri"/>
                <w:b w:val="0"/>
                <w:i w:val="0"/>
                <w:color w:val="212121"/>
                <w:sz w:val="16"/>
              </w:rPr>
              <w:t>Assesses dehydration, a major admission criterion</w:t>
            </w:r>
          </w:p>
        </w:tc>
        <w:tc>
          <w:tcPr>
            <w:tcW w:type="dxa" w:w="1036"/>
            <w:vAlign w:val="top"/>
          </w:tcPr>
          <w:p>
            <w:pPr>
              <w:spacing w:after="40" w:before="0" w:line="259" w:lineRule="auto"/>
            </w:pPr>
            <w:r>
              <w:rPr>
                <w:rFonts w:ascii="Calibri" w:hAnsi="Calibri"/>
                <w:b w:val="0"/>
                <w:i w:val="0"/>
                <w:color w:val="212121"/>
                <w:sz w:val="16"/>
              </w:rPr>
              <w:t>All infants</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Poor feeding often precedes respiratory deterioration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Apnoea &amp; danger signs</w:t>
            </w:r>
          </w:p>
        </w:tc>
        <w:tc>
          <w:tcPr>
            <w:tcW w:type="dxa" w:w="979"/>
            <w:vAlign w:val="top"/>
          </w:tcPr>
          <w:p>
            <w:pPr>
              <w:spacing w:after="40" w:before="0" w:line="259" w:lineRule="auto"/>
            </w:pPr>
            <w:r>
              <w:rPr>
                <w:rFonts w:ascii="Calibri" w:hAnsi="Calibri"/>
                <w:b w:val="0"/>
                <w:i w:val="0"/>
                <w:color w:val="212121"/>
                <w:sz w:val="16"/>
              </w:rPr>
              <w:t>Reported apnoea, colour change, lethargy</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Apnoea (pauses &gt; 10 seconds) is a red flag in young or preterm infants</w:t>
            </w:r>
          </w:p>
        </w:tc>
        <w:tc>
          <w:tcPr>
            <w:tcW w:type="dxa" w:w="1036"/>
            <w:vAlign w:val="top"/>
          </w:tcPr>
          <w:p>
            <w:pPr>
              <w:spacing w:after="40" w:before="0" w:line="259" w:lineRule="auto"/>
            </w:pPr>
            <w:r>
              <w:rPr>
                <w:rFonts w:ascii="Calibri" w:hAnsi="Calibri"/>
                <w:b w:val="0"/>
                <w:i w:val="0"/>
                <w:color w:val="212121"/>
                <w:sz w:val="16"/>
              </w:rPr>
              <w:t>Infants &lt; 6 months, preterm infants</w:t>
            </w:r>
          </w:p>
        </w:tc>
        <w:tc>
          <w:tcPr>
            <w:tcW w:type="dxa" w:w="720"/>
            <w:vAlign w:val="top"/>
          </w:tcPr>
          <w:p>
            <w:pPr>
              <w:spacing w:after="40" w:before="0" w:line="259" w:lineRule="auto"/>
            </w:pPr>
            <w:r>
              <w:rPr>
                <w:rFonts w:ascii="Calibri" w:hAnsi="Calibri"/>
                <w:b w:val="0"/>
                <w:i w:val="0"/>
                <w:color w:val="212121"/>
                <w:sz w:val="16"/>
              </w:rPr>
              <w:t>Sleep</w:t>
            </w:r>
          </w:p>
        </w:tc>
        <w:tc>
          <w:tcPr>
            <w:tcW w:type="dxa" w:w="720"/>
            <w:vAlign w:val="top"/>
          </w:tcPr>
          <w:p>
            <w:pPr>
              <w:spacing w:after="40" w:before="0" w:line="259" w:lineRule="auto"/>
            </w:pPr>
            <w:r>
              <w:rPr>
                <w:rFonts w:ascii="Calibri" w:hAnsi="Calibri"/>
                <w:b w:val="0"/>
                <w:i w:val="0"/>
                <w:color w:val="212121"/>
                <w:sz w:val="16"/>
              </w:rPr>
              <w:t>Red-flag</w:t>
            </w:r>
          </w:p>
        </w:tc>
        <w:tc>
          <w:tcPr>
            <w:tcW w:type="dxa" w:w="720"/>
            <w:vAlign w:val="top"/>
          </w:tcPr>
          <w:p>
            <w:pPr>
              <w:spacing w:after="40" w:before="0" w:line="259" w:lineRule="auto"/>
            </w:pPr>
            <w:r>
              <w:rPr>
                <w:rFonts w:ascii="Calibri" w:hAnsi="Calibri"/>
                <w:b w:val="0"/>
                <w:i w:val="0"/>
                <w:color w:val="212121"/>
                <w:sz w:val="16"/>
              </w:rPr>
              <w:t>May be the presenting feature before respiratory signs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Work of breathing</w:t>
            </w:r>
          </w:p>
        </w:tc>
        <w:tc>
          <w:tcPr>
            <w:tcW w:type="dxa" w:w="979"/>
            <w:vAlign w:val="top"/>
          </w:tcPr>
          <w:p>
            <w:pPr>
              <w:spacing w:after="40" w:before="0" w:line="259" w:lineRule="auto"/>
            </w:pPr>
            <w:r>
              <w:rPr>
                <w:rFonts w:ascii="Calibri" w:hAnsi="Calibri"/>
                <w:b w:val="0"/>
                <w:i w:val="0"/>
                <w:color w:val="212121"/>
                <w:sz w:val="16"/>
              </w:rPr>
              <w:t>Respiratory rate, retractions, nasal flaring, grunting</w:t>
            </w:r>
          </w:p>
        </w:tc>
        <w:tc>
          <w:tcPr>
            <w:tcW w:type="dxa" w:w="950"/>
            <w:vAlign w:val="top"/>
          </w:tcPr>
          <w:p>
            <w:pPr>
              <w:spacing w:after="40" w:before="0" w:line="259" w:lineRule="auto"/>
            </w:pPr>
            <w:r>
              <w:rPr>
                <w:rFonts w:ascii="Calibri" w:hAnsi="Calibri"/>
                <w:b w:val="0"/>
                <w:i w:val="0"/>
                <w:color w:val="212121"/>
                <w:sz w:val="16"/>
              </w:rPr>
              <w:t>Age-appropriate rate, no distress</w:t>
            </w:r>
          </w:p>
        </w:tc>
        <w:tc>
          <w:tcPr>
            <w:tcW w:type="dxa" w:w="950"/>
            <w:vAlign w:val="top"/>
          </w:tcPr>
          <w:p>
            <w:pPr>
              <w:spacing w:after="40" w:before="0" w:line="259" w:lineRule="auto"/>
            </w:pPr>
            <w:r>
              <w:rPr>
                <w:rFonts w:ascii="Calibri" w:hAnsi="Calibri"/>
                <w:b w:val="0"/>
                <w:i w:val="0"/>
                <w:color w:val="212121"/>
                <w:sz w:val="16"/>
              </w:rPr>
              <w:t>Tachypnoea, retractions, flaring, grunting</w:t>
            </w:r>
          </w:p>
        </w:tc>
        <w:tc>
          <w:tcPr>
            <w:tcW w:type="dxa" w:w="1036"/>
            <w:vAlign w:val="top"/>
          </w:tcPr>
          <w:p>
            <w:pPr>
              <w:spacing w:after="40" w:before="0" w:line="259" w:lineRule="auto"/>
            </w:pPr>
            <w:r>
              <w:rPr>
                <w:rFonts w:ascii="Calibri" w:hAnsi="Calibri"/>
                <w:b w:val="0"/>
                <w:i w:val="0"/>
                <w:color w:val="212121"/>
                <w:sz w:val="16"/>
              </w:rPr>
              <w:t>Quantifies severity and need for respiratory support</w:t>
            </w:r>
          </w:p>
        </w:tc>
        <w:tc>
          <w:tcPr>
            <w:tcW w:type="dxa" w:w="1036"/>
            <w:vAlign w:val="top"/>
          </w:tcPr>
          <w:p>
            <w:pPr>
              <w:spacing w:after="40" w:before="0" w:line="259" w:lineRule="auto"/>
            </w:pPr>
            <w:r>
              <w:rPr>
                <w:rFonts w:ascii="Calibri" w:hAnsi="Calibri"/>
                <w:b w:val="0"/>
                <w:i w:val="0"/>
                <w:color w:val="212121"/>
                <w:sz w:val="16"/>
              </w:rPr>
              <w:t>All infants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Key examination</w:t>
            </w:r>
          </w:p>
        </w:tc>
        <w:tc>
          <w:tcPr>
            <w:tcW w:type="dxa" w:w="720"/>
            <w:vAlign w:val="top"/>
          </w:tcPr>
          <w:p>
            <w:pPr>
              <w:spacing w:after="40" w:before="0" w:line="259" w:lineRule="auto"/>
            </w:pPr>
            <w:r>
              <w:rPr>
                <w:rFonts w:ascii="Calibri" w:hAnsi="Calibri"/>
                <w:b w:val="0"/>
                <w:i w:val="0"/>
                <w:color w:val="212121"/>
                <w:sz w:val="16"/>
              </w:rPr>
              <w:t>Grunting or severe retractions indicate severe disease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Auscultation</w:t>
            </w:r>
          </w:p>
        </w:tc>
        <w:tc>
          <w:tcPr>
            <w:tcW w:type="dxa" w:w="979"/>
            <w:vAlign w:val="top"/>
          </w:tcPr>
          <w:p>
            <w:pPr>
              <w:spacing w:after="40" w:before="0" w:line="259" w:lineRule="auto"/>
            </w:pPr>
            <w:r>
              <w:rPr>
                <w:rFonts w:ascii="Calibri" w:hAnsi="Calibri"/>
                <w:b w:val="0"/>
                <w:i w:val="0"/>
                <w:color w:val="212121"/>
                <w:sz w:val="16"/>
              </w:rPr>
              <w:t>Wheeze, fine crackles, prolonged expiration, air entry</w:t>
            </w:r>
          </w:p>
        </w:tc>
        <w:tc>
          <w:tcPr>
            <w:tcW w:type="dxa" w:w="950"/>
            <w:vAlign w:val="top"/>
          </w:tcPr>
          <w:p>
            <w:pPr>
              <w:spacing w:after="40" w:before="0" w:line="259" w:lineRule="auto"/>
            </w:pPr>
            <w:r>
              <w:rPr>
                <w:rFonts w:ascii="Calibri" w:hAnsi="Calibri"/>
                <w:b w:val="0"/>
                <w:i w:val="0"/>
                <w:color w:val="212121"/>
                <w:sz w:val="16"/>
              </w:rPr>
              <w:t>Clear, symmetrical air entry</w:t>
            </w:r>
          </w:p>
        </w:tc>
        <w:tc>
          <w:tcPr>
            <w:tcW w:type="dxa" w:w="950"/>
            <w:vAlign w:val="top"/>
          </w:tcPr>
          <w:p>
            <w:pPr>
              <w:spacing w:after="40" w:before="0" w:line="259" w:lineRule="auto"/>
            </w:pPr>
            <w:r>
              <w:rPr>
                <w:rFonts w:ascii="Calibri" w:hAnsi="Calibri"/>
                <w:b w:val="0"/>
                <w:i w:val="0"/>
                <w:color w:val="212121"/>
                <w:sz w:val="16"/>
              </w:rPr>
              <w:t>Widespread wheeze/crackles; reduced air entry</w:t>
            </w:r>
          </w:p>
        </w:tc>
        <w:tc>
          <w:tcPr>
            <w:tcW w:type="dxa" w:w="1036"/>
            <w:vAlign w:val="top"/>
          </w:tcPr>
          <w:p>
            <w:pPr>
              <w:spacing w:after="40" w:before="0" w:line="259" w:lineRule="auto"/>
            </w:pPr>
            <w:r>
              <w:rPr>
                <w:rFonts w:ascii="Calibri" w:hAnsi="Calibri"/>
                <w:b w:val="0"/>
                <w:i w:val="0"/>
                <w:color w:val="212121"/>
                <w:sz w:val="16"/>
              </w:rPr>
              <w:t>Confirms lower-airway involvement; a silent chest is ominous</w:t>
            </w:r>
          </w:p>
        </w:tc>
        <w:tc>
          <w:tcPr>
            <w:tcW w:type="dxa" w:w="1036"/>
            <w:vAlign w:val="top"/>
          </w:tcPr>
          <w:p>
            <w:pPr>
              <w:spacing w:after="40" w:before="0" w:line="259" w:lineRule="auto"/>
            </w:pPr>
            <w:r>
              <w:rPr>
                <w:rFonts w:ascii="Calibri" w:hAnsi="Calibri"/>
                <w:b w:val="0"/>
                <w:i w:val="0"/>
                <w:color w:val="212121"/>
                <w:sz w:val="16"/>
              </w:rPr>
              <w:t>All infants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Key examination</w:t>
            </w:r>
          </w:p>
        </w:tc>
        <w:tc>
          <w:tcPr>
            <w:tcW w:type="dxa" w:w="720"/>
            <w:vAlign w:val="top"/>
          </w:tcPr>
          <w:p>
            <w:pPr>
              <w:spacing w:after="40" w:before="0" w:line="259" w:lineRule="auto"/>
            </w:pPr>
            <w:r>
              <w:rPr>
                <w:rFonts w:ascii="Calibri" w:hAnsi="Calibri"/>
                <w:b w:val="0"/>
                <w:i w:val="0"/>
                <w:color w:val="212121"/>
                <w:sz w:val="16"/>
              </w:rPr>
              <w:t>Reduced air entry may signal exhaustion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Oxygenation &amp; perfusion</w:t>
            </w:r>
          </w:p>
        </w:tc>
        <w:tc>
          <w:tcPr>
            <w:tcW w:type="dxa" w:w="979"/>
            <w:vAlign w:val="top"/>
          </w:tcPr>
          <w:p>
            <w:pPr>
              <w:spacing w:after="40" w:before="0" w:line="259" w:lineRule="auto"/>
            </w:pPr>
            <w:r>
              <w:rPr>
                <w:rFonts w:ascii="Calibri" w:hAnsi="Calibri"/>
                <w:b w:val="0"/>
                <w:i w:val="0"/>
                <w:color w:val="212121"/>
                <w:sz w:val="16"/>
              </w:rPr>
              <w:t>SpO2, colour, capillary refill, conscious level</w:t>
            </w:r>
          </w:p>
        </w:tc>
        <w:tc>
          <w:tcPr>
            <w:tcW w:type="dxa" w:w="950"/>
            <w:vAlign w:val="top"/>
          </w:tcPr>
          <w:p>
            <w:pPr>
              <w:spacing w:after="40" w:before="0" w:line="259" w:lineRule="auto"/>
            </w:pPr>
            <w:r>
              <w:rPr>
                <w:rFonts w:ascii="Calibri" w:hAnsi="Calibri"/>
                <w:b w:val="0"/>
                <w:i w:val="0"/>
                <w:color w:val="212121"/>
                <w:sz w:val="16"/>
              </w:rPr>
              <w:t>Pink, SpO2 &gt;= 95%, alert</w:t>
            </w:r>
          </w:p>
        </w:tc>
        <w:tc>
          <w:tcPr>
            <w:tcW w:type="dxa" w:w="950"/>
            <w:vAlign w:val="top"/>
          </w:tcPr>
          <w:p>
            <w:pPr>
              <w:spacing w:after="40" w:before="0" w:line="259" w:lineRule="auto"/>
            </w:pPr>
            <w:r>
              <w:rPr>
                <w:rFonts w:ascii="Calibri" w:hAnsi="Calibri"/>
                <w:b w:val="0"/>
                <w:i w:val="0"/>
                <w:color w:val="212121"/>
                <w:sz w:val="16"/>
              </w:rPr>
              <w:t>Cyanosis, SpO2 &lt; 90-92%, lethargy, prolonged capillary refill</w:t>
            </w:r>
          </w:p>
        </w:tc>
        <w:tc>
          <w:tcPr>
            <w:tcW w:type="dxa" w:w="1036"/>
            <w:vAlign w:val="top"/>
          </w:tcPr>
          <w:p>
            <w:pPr>
              <w:spacing w:after="40" w:before="0" w:line="259" w:lineRule="auto"/>
            </w:pPr>
            <w:r>
              <w:rPr>
                <w:rFonts w:ascii="Calibri" w:hAnsi="Calibri"/>
                <w:b w:val="0"/>
                <w:i w:val="0"/>
                <w:color w:val="212121"/>
                <w:sz w:val="16"/>
              </w:rPr>
              <w:t>Identifies hypoxaemia and impending failure needing urgent care</w:t>
            </w:r>
          </w:p>
        </w:tc>
        <w:tc>
          <w:tcPr>
            <w:tcW w:type="dxa" w:w="1036"/>
            <w:vAlign w:val="top"/>
          </w:tcPr>
          <w:p>
            <w:pPr>
              <w:spacing w:after="40" w:before="0" w:line="259" w:lineRule="auto"/>
            </w:pPr>
            <w:r>
              <w:rPr>
                <w:rFonts w:ascii="Calibri" w:hAnsi="Calibri"/>
                <w:b w:val="0"/>
                <w:i w:val="0"/>
                <w:color w:val="212121"/>
                <w:sz w:val="16"/>
              </w:rPr>
              <w:t>All infants, high-risk infants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Screening/triage</w:t>
            </w:r>
          </w:p>
        </w:tc>
        <w:tc>
          <w:tcPr>
            <w:tcW w:type="dxa" w:w="720"/>
            <w:vAlign w:val="top"/>
          </w:tcPr>
          <w:p>
            <w:pPr>
              <w:spacing w:after="40" w:before="0" w:line="259" w:lineRule="auto"/>
            </w:pPr>
            <w:r>
              <w:rPr>
                <w:rFonts w:ascii="Calibri" w:hAnsi="Calibri"/>
                <w:b w:val="0"/>
                <w:i w:val="0"/>
                <w:color w:val="212121"/>
                <w:sz w:val="16"/>
              </w:rPr>
              <w:t>Cyanosis and lethargy are emergency signs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Rhinorrhoea / nasal congestion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Initial upper-respiratory phase; a blocked nose worsens feeding difficulty in obligate nose-breathing infants.</w:t>
            </w:r>
          </w:p>
        </w:tc>
      </w:tr>
      <w:tr>
        <w:trPr>
          <w:cantSplit/>
        </w:trPr>
        <w:tc>
          <w:tcPr>
            <w:tcW w:type="dxa" w:w="2304"/>
            <w:vAlign w:val="top"/>
          </w:tcPr>
          <w:p>
            <w:pPr>
              <w:spacing w:after="40" w:before="0" w:line="259" w:lineRule="auto"/>
            </w:pPr>
            <w:r>
              <w:rPr>
                <w:rFonts w:ascii="Calibri" w:hAnsi="Calibri"/>
                <w:b/>
                <w:i w:val="0"/>
                <w:color w:val="212121"/>
                <w:sz w:val="19"/>
              </w:rPr>
              <w:t>Cough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Persistent cough as infection spreads to the lower airways; may linger up to 3 weeks.</w:t>
            </w:r>
          </w:p>
        </w:tc>
      </w:tr>
      <w:tr>
        <w:trPr>
          <w:cantSplit/>
        </w:trPr>
        <w:tc>
          <w:tcPr>
            <w:tcW w:type="dxa" w:w="2304"/>
            <w:vAlign w:val="top"/>
          </w:tcPr>
          <w:p>
            <w:pPr>
              <w:spacing w:after="40" w:before="0" w:line="259" w:lineRule="auto"/>
            </w:pPr>
            <w:r>
              <w:rPr>
                <w:rFonts w:ascii="Calibri" w:hAnsi="Calibri"/>
                <w:b/>
                <w:i w:val="0"/>
                <w:color w:val="212121"/>
                <w:sz w:val="19"/>
              </w:rPr>
              <w:t>Low-grade fever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Usually mild (&lt; 39 degrees C); high fever should prompt evaluation for pneumonia.</w:t>
            </w:r>
          </w:p>
        </w:tc>
      </w:tr>
      <w:tr>
        <w:trPr>
          <w:cantSplit/>
        </w:trPr>
        <w:tc>
          <w:tcPr>
            <w:tcW w:type="dxa" w:w="2304"/>
            <w:vAlign w:val="top"/>
          </w:tcPr>
          <w:p>
            <w:pPr>
              <w:spacing w:after="40" w:before="0" w:line="259" w:lineRule="auto"/>
            </w:pPr>
            <w:r>
              <w:rPr>
                <w:rFonts w:ascii="Calibri" w:hAnsi="Calibri"/>
                <w:b/>
                <w:i w:val="0"/>
                <w:color w:val="212121"/>
                <w:sz w:val="19"/>
              </w:rPr>
              <w:t>Wheezing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Whistling expiratory sound from small-airway obstruction; a first wheezing episode is characteristic.</w:t>
            </w:r>
          </w:p>
        </w:tc>
      </w:tr>
      <w:tr>
        <w:trPr>
          <w:cantSplit/>
        </w:trPr>
        <w:tc>
          <w:tcPr>
            <w:tcW w:type="dxa" w:w="2304"/>
            <w:vAlign w:val="top"/>
          </w:tcPr>
          <w:p>
            <w:pPr>
              <w:spacing w:after="40" w:before="0" w:line="259" w:lineRule="auto"/>
            </w:pPr>
            <w:r>
              <w:rPr>
                <w:rFonts w:ascii="Calibri" w:hAnsi="Calibri"/>
                <w:b/>
                <w:i w:val="0"/>
                <w:color w:val="212121"/>
                <w:sz w:val="19"/>
              </w:rPr>
              <w:t>Rapid breathing (tachypnoea)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Compensatory response to airway obstruction and hypoxaemia; a key marker of severity.</w:t>
            </w:r>
          </w:p>
        </w:tc>
      </w:tr>
      <w:tr>
        <w:trPr>
          <w:cantSplit/>
        </w:trPr>
        <w:tc>
          <w:tcPr>
            <w:tcW w:type="dxa" w:w="2304"/>
            <w:vAlign w:val="top"/>
          </w:tcPr>
          <w:p>
            <w:pPr>
              <w:spacing w:after="40" w:before="0" w:line="259" w:lineRule="auto"/>
            </w:pPr>
            <w:r>
              <w:rPr>
                <w:rFonts w:ascii="Calibri" w:hAnsi="Calibri"/>
                <w:b/>
                <w:i w:val="0"/>
                <w:color w:val="212121"/>
                <w:sz w:val="19"/>
              </w:rPr>
              <w:t>Difficulty feeding / reduced intake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Tachypnoea and nasal blockage impair sucking; a leading reason for hospital admission.</w:t>
            </w:r>
          </w:p>
        </w:tc>
      </w:tr>
      <w:tr>
        <w:trPr>
          <w:cantSplit/>
        </w:trPr>
        <w:tc>
          <w:tcPr>
            <w:tcW w:type="dxa" w:w="2304"/>
            <w:vAlign w:val="top"/>
          </w:tcPr>
          <w:p>
            <w:pPr>
              <w:spacing w:after="40" w:before="0" w:line="259" w:lineRule="auto"/>
            </w:pPr>
            <w:r>
              <w:rPr>
                <w:rFonts w:ascii="Calibri" w:hAnsi="Calibri"/>
                <w:b/>
                <w:i w:val="0"/>
                <w:color w:val="212121"/>
                <w:sz w:val="19"/>
              </w:rPr>
              <w:t>Irritability / fussiness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Reflects discomfort, hypoxia and feeding difficulty, especially in infants under 6 months.</w:t>
            </w:r>
          </w:p>
        </w:tc>
      </w:tr>
      <w:tr>
        <w:trPr>
          <w:cantSplit/>
        </w:trPr>
        <w:tc>
          <w:tcPr>
            <w:tcW w:type="dxa" w:w="2304"/>
            <w:vAlign w:val="top"/>
          </w:tcPr>
          <w:p>
            <w:pPr>
              <w:spacing w:after="40" w:before="0" w:line="259" w:lineRule="auto"/>
            </w:pPr>
            <w:r>
              <w:rPr>
                <w:rFonts w:ascii="Calibri" w:hAnsi="Calibri"/>
                <w:b/>
                <w:i w:val="0"/>
                <w:color w:val="212121"/>
                <w:sz w:val="19"/>
              </w:rPr>
              <w:t>Noisy / laboured breathing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Audible crackles or wheeze and visibly increased effort noticed by caregivers.</w:t>
            </w:r>
          </w:p>
        </w:tc>
      </w:tr>
      <w:tr>
        <w:trPr>
          <w:cantSplit/>
        </w:trPr>
        <w:tc>
          <w:tcPr>
            <w:tcW w:type="dxa" w:w="2304"/>
            <w:vAlign w:val="top"/>
          </w:tcPr>
          <w:p>
            <w:pPr>
              <w:spacing w:after="40" w:before="0" w:line="259" w:lineRule="auto"/>
            </w:pPr>
            <w:r>
              <w:rPr>
                <w:rFonts w:ascii="Calibri" w:hAnsi="Calibri"/>
                <w:b/>
                <w:i w:val="0"/>
                <w:color w:val="212121"/>
                <w:sz w:val="19"/>
              </w:rPr>
              <w:t>Lethargy / decreased activity</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Signals more severe disease, hypoxia or dehydration.</w:t>
            </w:r>
          </w:p>
        </w:tc>
      </w:tr>
      <w:tr>
        <w:trPr>
          <w:cantSplit/>
        </w:trPr>
        <w:tc>
          <w:tcPr>
            <w:tcW w:type="dxa" w:w="2304"/>
            <w:vAlign w:val="top"/>
          </w:tcPr>
          <w:p>
            <w:pPr>
              <w:spacing w:after="40" w:before="0" w:line="259" w:lineRule="auto"/>
            </w:pPr>
            <w:r>
              <w:rPr>
                <w:rFonts w:ascii="Calibri" w:hAnsi="Calibri"/>
                <w:b/>
                <w:i w:val="0"/>
                <w:color w:val="212121"/>
                <w:sz w:val="19"/>
              </w:rPr>
              <w:t>Apnoea (pauses in breathing)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Pauses longer than 10 seconds, particularly in infants under 6 months and those born preterm; may precede respiratory signs.</w:t>
            </w:r>
          </w:p>
        </w:tc>
      </w:tr>
      <w:tr>
        <w:trPr>
          <w:cantSplit/>
        </w:trPr>
        <w:tc>
          <w:tcPr>
            <w:tcW w:type="dxa" w:w="2304"/>
            <w:vAlign w:val="top"/>
          </w:tcPr>
          <w:p>
            <w:pPr>
              <w:spacing w:after="40" w:before="0" w:line="259" w:lineRule="auto"/>
            </w:pPr>
            <w:r>
              <w:rPr>
                <w:rFonts w:ascii="Calibri" w:hAnsi="Calibri"/>
                <w:b/>
                <w:i w:val="0"/>
                <w:color w:val="212121"/>
                <w:sz w:val="19"/>
              </w:rPr>
              <w:t>Vomiting (post-tussive)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Coughing paroxysms can trigger vomiting, compounding dehydration.</w:t>
            </w:r>
          </w:p>
        </w:tc>
      </w:tr>
      <w:tr>
        <w:trPr>
          <w:cantSplit/>
        </w:trPr>
        <w:tc>
          <w:tcPr>
            <w:tcW w:type="dxa" w:w="2304"/>
            <w:vAlign w:val="top"/>
          </w:tcPr>
          <w:p>
            <w:pPr>
              <w:spacing w:after="40" w:before="0" w:line="259" w:lineRule="auto"/>
            </w:pPr>
            <w:r>
              <w:rPr>
                <w:rFonts w:ascii="Calibri" w:hAnsi="Calibri"/>
                <w:b/>
                <w:i w:val="0"/>
                <w:color w:val="212121"/>
                <w:sz w:val="19"/>
              </w:rPr>
              <w:t>Cyanosis (bluish lips/skin)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Late sign of severe hypoxaemia requiring emergency care.</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Tachypnoea (fast breathing)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&gt;= 50/min (2-12 months) or &gt;= 40/min (1-5 years) by WHO thresholds; correlates with severity.</w:t>
            </w:r>
          </w:p>
        </w:tc>
      </w:tr>
      <w:tr>
        <w:trPr>
          <w:cantSplit/>
        </w:trPr>
        <w:tc>
          <w:tcPr>
            <w:tcW w:type="dxa" w:w="3456"/>
            <w:vAlign w:val="top"/>
          </w:tcPr>
          <w:p>
            <w:pPr>
              <w:spacing w:after="40" w:before="0" w:line="259" w:lineRule="auto"/>
            </w:pPr>
            <w:r>
              <w:rPr>
                <w:rFonts w:ascii="Calibri" w:hAnsi="Calibri"/>
                <w:b/>
                <w:i w:val="0"/>
                <w:color w:val="212121"/>
                <w:sz w:val="19"/>
              </w:rPr>
              <w:t>Chest-wall retractions (subcostal/intercostal/suprasternal)</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Indrawing of the chest wall from increased respiratory effort.</w:t>
            </w:r>
          </w:p>
        </w:tc>
      </w:tr>
      <w:tr>
        <w:trPr>
          <w:cantSplit/>
        </w:trPr>
        <w:tc>
          <w:tcPr>
            <w:tcW w:type="dxa" w:w="3456"/>
            <w:vAlign w:val="top"/>
          </w:tcPr>
          <w:p>
            <w:pPr>
              <w:spacing w:after="40" w:before="0" w:line="259" w:lineRule="auto"/>
            </w:pPr>
            <w:r>
              <w:rPr>
                <w:rFonts w:ascii="Calibri" w:hAnsi="Calibri"/>
                <w:b/>
                <w:i w:val="0"/>
                <w:color w:val="212121"/>
                <w:sz w:val="19"/>
              </w:rPr>
              <w:t>Nasal flaring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Accessory sign of respiratory distress in infants.</w:t>
            </w:r>
          </w:p>
        </w:tc>
      </w:tr>
      <w:tr>
        <w:trPr>
          <w:cantSplit/>
        </w:trPr>
        <w:tc>
          <w:tcPr>
            <w:tcW w:type="dxa" w:w="3456"/>
            <w:vAlign w:val="top"/>
          </w:tcPr>
          <w:p>
            <w:pPr>
              <w:spacing w:after="40" w:before="0" w:line="259" w:lineRule="auto"/>
            </w:pPr>
            <w:r>
              <w:rPr>
                <w:rFonts w:ascii="Calibri" w:hAnsi="Calibri"/>
                <w:b/>
                <w:i w:val="0"/>
                <w:color w:val="212121"/>
                <w:sz w:val="19"/>
              </w:rPr>
              <w:t>Expiratory wheeze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Heard on auscultation, arising from diffuse small-airway narrowing.</w:t>
            </w:r>
          </w:p>
        </w:tc>
      </w:tr>
      <w:tr>
        <w:trPr>
          <w:cantSplit/>
        </w:trPr>
        <w:tc>
          <w:tcPr>
            <w:tcW w:type="dxa" w:w="3456"/>
            <w:vAlign w:val="top"/>
          </w:tcPr>
          <w:p>
            <w:pPr>
              <w:spacing w:after="40" w:before="0" w:line="259" w:lineRule="auto"/>
            </w:pPr>
            <w:r>
              <w:rPr>
                <w:rFonts w:ascii="Calibri" w:hAnsi="Calibri"/>
                <w:b/>
                <w:i w:val="0"/>
                <w:color w:val="212121"/>
                <w:sz w:val="19"/>
              </w:rPr>
              <w:t>Fine end-inspiratory crackles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Classic auscultatory finding of bronchiolitis.</w:t>
            </w:r>
          </w:p>
        </w:tc>
      </w:tr>
      <w:tr>
        <w:trPr>
          <w:cantSplit/>
        </w:trPr>
        <w:tc>
          <w:tcPr>
            <w:tcW w:type="dxa" w:w="3456"/>
            <w:vAlign w:val="top"/>
          </w:tcPr>
          <w:p>
            <w:pPr>
              <w:spacing w:after="40" w:before="0" w:line="259" w:lineRule="auto"/>
            </w:pPr>
            <w:r>
              <w:rPr>
                <w:rFonts w:ascii="Calibri" w:hAnsi="Calibri"/>
                <w:b/>
                <w:i w:val="0"/>
                <w:color w:val="212121"/>
                <w:sz w:val="19"/>
              </w:rPr>
              <w:t>Prolonged expiratory phase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Reflects lower-airway obstruction and air trapping.</w:t>
            </w:r>
          </w:p>
        </w:tc>
      </w:tr>
      <w:tr>
        <w:trPr>
          <w:cantSplit/>
        </w:trPr>
        <w:tc>
          <w:tcPr>
            <w:tcW w:type="dxa" w:w="3456"/>
            <w:vAlign w:val="top"/>
          </w:tcPr>
          <w:p>
            <w:pPr>
              <w:spacing w:after="40" w:before="0" w:line="259" w:lineRule="auto"/>
            </w:pPr>
            <w:r>
              <w:rPr>
                <w:rFonts w:ascii="Calibri" w:hAnsi="Calibri"/>
                <w:b/>
                <w:i w:val="0"/>
                <w:color w:val="212121"/>
                <w:sz w:val="19"/>
              </w:rPr>
              <w:t>Hyperinflation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Barrel-shaped chest, hyper-resonance and downward-displaced liver/spleen edges from air trapping.</w:t>
            </w:r>
          </w:p>
        </w:tc>
      </w:tr>
      <w:tr>
        <w:trPr>
          <w:cantSplit/>
        </w:trPr>
        <w:tc>
          <w:tcPr>
            <w:tcW w:type="dxa" w:w="3456"/>
            <w:vAlign w:val="top"/>
          </w:tcPr>
          <w:p>
            <w:pPr>
              <w:spacing w:after="40" w:before="0" w:line="259" w:lineRule="auto"/>
            </w:pPr>
            <w:r>
              <w:rPr>
                <w:rFonts w:ascii="Calibri" w:hAnsi="Calibri"/>
                <w:b/>
                <w:i w:val="0"/>
                <w:color w:val="212121"/>
                <w:sz w:val="19"/>
              </w:rPr>
              <w:t>Grunting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Expiratory auto-PEEP effort sign indicating severe disease.</w:t>
            </w:r>
          </w:p>
        </w:tc>
      </w:tr>
      <w:tr>
        <w:trPr>
          <w:cantSplit/>
        </w:trPr>
        <w:tc>
          <w:tcPr>
            <w:tcW w:type="dxa" w:w="3456"/>
            <w:vAlign w:val="top"/>
          </w:tcPr>
          <w:p>
            <w:pPr>
              <w:spacing w:after="40" w:before="0" w:line="259" w:lineRule="auto"/>
            </w:pPr>
            <w:r>
              <w:rPr>
                <w:rFonts w:ascii="Calibri" w:hAnsi="Calibri"/>
                <w:b/>
                <w:i w:val="0"/>
                <w:color w:val="212121"/>
                <w:sz w:val="19"/>
              </w:rPr>
              <w:t>Hypoxaemia (low SpO2)</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SpO2 below 90-92% on pulse oximetry indicates the need for supplemental oxygen.</w:t>
            </w:r>
          </w:p>
        </w:tc>
      </w:tr>
      <w:tr>
        <w:trPr>
          <w:cantSplit/>
        </w:trPr>
        <w:tc>
          <w:tcPr>
            <w:tcW w:type="dxa" w:w="3456"/>
            <w:vAlign w:val="top"/>
          </w:tcPr>
          <w:p>
            <w:pPr>
              <w:spacing w:after="40" w:before="0" w:line="259" w:lineRule="auto"/>
            </w:pPr>
            <w:r>
              <w:rPr>
                <w:rFonts w:ascii="Calibri" w:hAnsi="Calibri"/>
                <w:b/>
                <w:i w:val="0"/>
                <w:color w:val="212121"/>
                <w:sz w:val="19"/>
              </w:rPr>
              <w:t>Signs of dehydration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Dry mucous membranes, sunken fontanelle and reduced urine output.</w:t>
            </w:r>
          </w:p>
        </w:tc>
      </w:tr>
      <w:tr>
        <w:trPr>
          <w:cantSplit/>
        </w:trPr>
        <w:tc>
          <w:tcPr>
            <w:tcW w:type="dxa" w:w="3456"/>
            <w:vAlign w:val="top"/>
          </w:tcPr>
          <w:p>
            <w:pPr>
              <w:spacing w:after="40" w:before="0" w:line="259" w:lineRule="auto"/>
            </w:pPr>
            <w:r>
              <w:rPr>
                <w:rFonts w:ascii="Calibri" w:hAnsi="Calibri"/>
                <w:b/>
                <w:i w:val="0"/>
                <w:color w:val="212121"/>
                <w:sz w:val="19"/>
              </w:rPr>
              <w:t>Cyanosis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Central cyanosis is a late, ominous sign of severe hypoxaemia.</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Hypoxaemia from small-airway obstruction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work of breathing and respiratory fatigue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Apnoea (especially in young or preterm infants)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Dehydration from poor feeding and tachypnoea</w:t>
            </w:r>
          </w:p>
        </w:tc>
        <w:tc>
          <w:tcPr>
            <w:tcW w:type="dxa" w:w="2980"/>
            <w:vAlign w:val="top"/>
          </w:tcPr>
          <w:p>
            <w:pPr>
              <w:spacing w:after="40" w:before="0" w:line="259" w:lineRule="auto"/>
            </w:pPr>
            <w:r>
              <w:rPr>
                <w:rFonts w:ascii="Calibri" w:hAnsi="Calibri"/>
                <w:b w:val="0"/>
                <w:i w:val="0"/>
                <w:color w:val="212121"/>
                <w:sz w:val="19"/>
              </w:rPr>
              <w:t>Direct consequences of bronchiolar obstruction, air trapping and impaired feeding.</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Respiratory failure requiring oxygen, high-flow/CPAP or mechanical ventilation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Atelectasis from mucus plugging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bacterial pneumonia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otitis media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SIADH with hyponatraemia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Aspiration</w:t>
            </w:r>
          </w:p>
        </w:tc>
        <w:tc>
          <w:tcPr>
            <w:tcW w:type="dxa" w:w="2980"/>
            <w:vAlign w:val="top"/>
          </w:tcPr>
          <w:p>
            <w:pPr>
              <w:spacing w:after="40" w:before="0" w:line="259" w:lineRule="auto"/>
            </w:pPr>
            <w:r>
              <w:rPr>
                <w:rFonts w:ascii="Calibri" w:hAnsi="Calibri"/>
                <w:b w:val="0"/>
                <w:i w:val="0"/>
                <w:color w:val="212121"/>
                <w:sz w:val="19"/>
              </w:rPr>
              <w:t>Result from progressive airway obstruction, superinfection and systemic effects.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viral-induced wheeze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risk of childhood asthma (2- to 12-fold after severe RSV)</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Bronchiolitis obliterans (rare, often post-adenoviral)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Long-term reduced lung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Death, predominantly in low- and middle-income settings</w:t>
            </w:r>
          </w:p>
        </w:tc>
        <w:tc>
          <w:tcPr>
            <w:tcW w:type="dxa" w:w="2980"/>
            <w:vAlign w:val="top"/>
          </w:tcPr>
          <w:p>
            <w:pPr>
              <w:spacing w:after="40" w:before="0" w:line="259" w:lineRule="auto"/>
            </w:pPr>
            <w:r>
              <w:rPr>
                <w:rFonts w:ascii="Calibri" w:hAnsi="Calibri"/>
                <w:b w:val="0"/>
                <w:i w:val="0"/>
                <w:color w:val="212121"/>
                <w:sz w:val="19"/>
              </w:rPr>
              <w:t>Long-term sequelae of severe or repeated lower-airway injury.</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Recurrent wheeze / childhood asthma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Severe RSV bronchiolitis in infancy is associated with a 2- to 12-fold higher risk of subsequent asthma or recurrent wheeze.</w:t>
            </w:r>
          </w:p>
        </w:tc>
      </w:tr>
      <w:tr>
        <w:trPr>
          <w:cantSplit/>
        </w:trPr>
        <w:tc>
          <w:tcPr>
            <w:tcW w:type="dxa" w:w="2232"/>
            <w:vAlign w:val="top"/>
          </w:tcPr>
          <w:p>
            <w:pPr>
              <w:spacing w:after="40" w:before="0" w:line="259" w:lineRule="auto"/>
            </w:pPr>
            <w:r>
              <w:rPr>
                <w:rFonts w:ascii="Calibri" w:hAnsi="Calibri"/>
                <w:b/>
                <w:i w:val="0"/>
                <w:color w:val="212121"/>
                <w:sz w:val="19"/>
              </w:rPr>
              <w:t>Prematurity / chronic lung disease of prematurity (BPD)</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Among the strongest risk factors for severe RSV; alters admission thresholds and immunoprophylaxis decisions.</w:t>
            </w:r>
          </w:p>
        </w:tc>
      </w:tr>
      <w:tr>
        <w:trPr>
          <w:cantSplit/>
        </w:trPr>
        <w:tc>
          <w:tcPr>
            <w:tcW w:type="dxa" w:w="2232"/>
            <w:vAlign w:val="top"/>
          </w:tcPr>
          <w:p>
            <w:pPr>
              <w:spacing w:after="40" w:before="0" w:line="259" w:lineRule="auto"/>
            </w:pPr>
            <w:r>
              <w:rPr>
                <w:rFonts w:ascii="Calibri" w:hAnsi="Calibri"/>
                <w:b/>
                <w:i w:val="0"/>
                <w:color w:val="212121"/>
                <w:sz w:val="19"/>
              </w:rPr>
              <w:t>Congenital heart disease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Haemodynamically significant CHD raises the risk of severe RSV, ICU admission and death.</w:t>
            </w:r>
          </w:p>
        </w:tc>
      </w:tr>
      <w:tr>
        <w:trPr>
          <w:cantSplit/>
        </w:trPr>
        <w:tc>
          <w:tcPr>
            <w:tcW w:type="dxa" w:w="2232"/>
            <w:vAlign w:val="top"/>
          </w:tcPr>
          <w:p>
            <w:pPr>
              <w:spacing w:after="40" w:before="0" w:line="259" w:lineRule="auto"/>
            </w:pPr>
            <w:r>
              <w:rPr>
                <w:rFonts w:ascii="Calibri" w:hAnsi="Calibri"/>
                <w:b/>
                <w:i w:val="0"/>
                <w:color w:val="212121"/>
                <w:sz w:val="19"/>
              </w:rPr>
              <w:t>Immunodeficiency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Causes prolonged viral shedding and severe, sometimes fatal, lower-airway disease.</w:t>
            </w:r>
          </w:p>
        </w:tc>
      </w:tr>
      <w:tr>
        <w:trPr>
          <w:cantSplit/>
        </w:trPr>
        <w:tc>
          <w:tcPr>
            <w:tcW w:type="dxa" w:w="2232"/>
            <w:vAlign w:val="top"/>
          </w:tcPr>
          <w:p>
            <w:pPr>
              <w:spacing w:after="40" w:before="0" w:line="259" w:lineRule="auto"/>
            </w:pPr>
            <w:r>
              <w:rPr>
                <w:rFonts w:ascii="Calibri" w:hAnsi="Calibri"/>
                <w:b/>
                <w:i w:val="0"/>
                <w:color w:val="212121"/>
                <w:sz w:val="19"/>
              </w:rPr>
              <w:t>Down syndrome / neuromuscular disease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Impaired airway clearance, hypotonia and airway anomalies worsen severity and aspiration risk.</w:t>
            </w:r>
          </w:p>
        </w:tc>
      </w:tr>
      <w:tr>
        <w:trPr>
          <w:cantSplit/>
        </w:trPr>
        <w:tc>
          <w:tcPr>
            <w:tcW w:type="dxa" w:w="2232"/>
            <w:vAlign w:val="top"/>
          </w:tcPr>
          <w:p>
            <w:pPr>
              <w:spacing w:after="40" w:before="0" w:line="259" w:lineRule="auto"/>
            </w:pPr>
            <w:r>
              <w:rPr>
                <w:rFonts w:ascii="Calibri" w:hAnsi="Calibri"/>
                <w:b/>
                <w:i w:val="0"/>
                <w:color w:val="212121"/>
                <w:sz w:val="19"/>
              </w:rPr>
              <w:t>Acute otitis media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A frequent concurrent or secondary bacterial complication of RSV infection in infants.</w:t>
            </w:r>
          </w:p>
        </w:tc>
      </w:tr>
      <w:tr>
        <w:trPr>
          <w:cantSplit/>
        </w:trPr>
        <w:tc>
          <w:tcPr>
            <w:tcW w:type="dxa" w:w="2232"/>
            <w:vAlign w:val="top"/>
          </w:tcPr>
          <w:p>
            <w:pPr>
              <w:spacing w:after="40" w:before="0" w:line="259" w:lineRule="auto"/>
            </w:pPr>
            <w:r>
              <w:rPr>
                <w:rFonts w:ascii="Calibri" w:hAnsi="Calibri"/>
                <w:b/>
                <w:i w:val="0"/>
                <w:color w:val="212121"/>
                <w:sz w:val="19"/>
              </w:rPr>
              <w:t>Secondary bacterial pneumonia</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Bacterial superinfection can complicate and prolong the course of bronchiolitis.</w:t>
            </w:r>
          </w:p>
        </w:tc>
      </w:tr>
      <w:tr>
        <w:trPr>
          <w:cantSplit/>
        </w:trPr>
        <w:tc>
          <w:tcPr>
            <w:tcW w:type="dxa" w:w="2232"/>
            <w:vAlign w:val="top"/>
          </w:tcPr>
          <w:p>
            <w:pPr>
              <w:spacing w:after="40" w:before="0" w:line="259" w:lineRule="auto"/>
            </w:pPr>
            <w:r>
              <w:rPr>
                <w:rFonts w:ascii="Calibri" w:hAnsi="Calibri"/>
                <w:b/>
                <w:i w:val="0"/>
                <w:color w:val="212121"/>
                <w:sz w:val="19"/>
              </w:rPr>
              <w:t>Dehydration / feeding failure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Tachypnoea combined with poor feeding leads to dehydration - a leading reason for hospital admission.</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the danger signs that need urgent care: fast or laboured breathing, chest indrawing, grunting, bluish lips, pauses in breathing (apnoea), floppiness, and feeding less than half of normal.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bronchiolitis is viral - antibiotics, cough medicines, bronchodilators and steroids are generally not helpful.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frequent handwashing, keep the infant away from anyone with a cold, and avoid crowded indoor spaces during the viral season.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the home completely smoke-free and reduce indoor biomass or cooking smoke.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Ask a clinician about RSV immunisation - a monoclonal antibody (nirsevimab) for infants and an RSV vaccine given in pregnancy - and about palivizumab for eligible high-risk infants.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Exclusively breastfeed for the first 6 months to provide protective antibodies.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&amp; 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High-risk infants (preterm, CHD, immunocompromised)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infants under 2 years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the infant calm and positioned upright, and elevate the head of the cot to ease breathing.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Clear the nose with saline drops and gentle suction before feeds and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Allow plenty of rest and avoid unnecessary handling or overexertion during the acute illness.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Watch breathing effort during and after feeds and seek care if distress increases.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Infants with acute bronchiolitis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Hospitalised infants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Exclusively breastfeed for the first 6 months and continue breastfeeding thereafter to reduce RSV acquisition and severity.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good maternal nutrition and infant micronutrient status, including vitamin D and vitamin 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bottle-propping and ensure safe, upright feeding.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routine immunisations and regular growth monitoring.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Breastfeeding mothers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Undernourished infants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small, frequent feeds and clear the nose before feeding to improve intake.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Monitor wet nappies and hydration; a dry nappy for more than 12 hours is a warning sign.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nasogastric or intravenous fluids if the infant cannot maintain oral intake.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overhydration and use isotonic fluids to prevent hyponatraemia.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Infants with poor feeding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Dehydrated or hospitalised infants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safe-sleep practices and place the infant on the back to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Elevate the head of the cot slightly and keep the nose clear to reduce nocturnal congestion.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Monitor breathing during sleep for pauses (apnoea), especially in infants under 6 months or born preterm.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urgent care for breathing pauses, colour change or difficulty waking the infant.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infants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Preterm infants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strictly smoke-free home and car and never smoke near the infant.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indoor biomass or cooking smoke through better ventilation or cleaner fuels.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smoking during pregnancy to protect infant airway development.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all household members to quit smoking.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Infants in smoking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caregivers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Alcohol is not relevant to the infant's illness, but caregivers should avoid alcohol or substances that impair alertness while caring for a sick infant.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in pregnancy which, together with smoking, contributes to prematurity - a major risk factor for severe bronchiolitis.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 sober, vigilant adult monitors the infant overnight during the acute illness.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Give caregivers clear, reassuring information and a written list of danger signs to reduce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parents through hospitalisation and encourage their involvement in the infant's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Signpost help for parental stress, exhaustion or post-illness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Handle the infant gently and minimise distress, which can worsen breathing effort.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&amp; 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of hospitalised infants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Return immediately if breathing becomes faster or harder, the chest pulls in, feeding drops below half, the infant is drowsy or floppy, or the lips look blue.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mild cases managed at home, continue breastfeeding or feeding in small amounts and keep the infant hydrated.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saline nose drops and gentle suction; avoid over-the-counter cough and cold medicines in infants.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follow-up and complete any prescribed oxygen or hospital care as advised.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 of infants managed at home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Recently discharged infants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dc.gov/rsv/infants-young-children/index.html" TargetMode="External"/><Relationship Id="rId10" Type="http://schemas.openxmlformats.org/officeDocument/2006/relationships/hyperlink" Target="https://www.who.int/news-room/fact-sheets/detail/respiratory-syncytial-virus-(rsv)" TargetMode="External"/><Relationship Id="rId11" Type="http://schemas.openxmlformats.org/officeDocument/2006/relationships/hyperlink" Target="https://pmc.ncbi.nlm.nih.gov/articles/PMC2864404/" TargetMode="External"/><Relationship Id="rId12" Type="http://schemas.openxmlformats.org/officeDocument/2006/relationships/hyperlink" Target="https://www.ncbi.nlm.nih.gov/books/NBK441959/" TargetMode="External"/><Relationship Id="rId13" Type="http://schemas.openxmlformats.org/officeDocument/2006/relationships/hyperlink" Target="https://medlineplus.gov/ency/article/000975.htm" TargetMode="External"/><Relationship Id="rId14" Type="http://schemas.openxmlformats.org/officeDocument/2006/relationships/hyperlink" Target="https://www.ncbi.nlm.nih.gov/books/NBK459215/" TargetMode="External"/><Relationship Id="rId15" Type="http://schemas.openxmlformats.org/officeDocument/2006/relationships/hyperlink" Target="https://www.nhs.uk/conditions/bronchiolitis/" TargetMode="External"/><Relationship Id="rId16" Type="http://schemas.openxmlformats.org/officeDocument/2006/relationships/hyperlink" Target="https://www.mayoclinic.org/diseases-conditions/respiratory-syncytial-virus/symptoms-causes/syc-203530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