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Asbestosis</w:t>
      </w:r>
    </w:p>
    <w:p>
      <w:pPr>
        <w:spacing w:before="0" w:after="160"/>
      </w:pPr>
      <w:r>
        <w:rPr>
          <w:rFonts w:ascii="Calibri" w:hAnsi="Calibri"/>
          <w:b/>
          <w:i w:val="0"/>
          <w:color w:val="212121"/>
          <w:sz w:val="22"/>
        </w:rPr>
        <w:t xml:space="preserve">AKA </w:t>
      </w:r>
      <w:r>
        <w:rPr>
          <w:rFonts w:ascii="Calibri" w:hAnsi="Calibri"/>
          <w:b w:val="0"/>
          <w:i w:val="0"/>
          <w:color w:val="212121"/>
          <w:sz w:val="22"/>
        </w:rPr>
        <w:t>i.e., Asbestos-related pulmonary fibrosis, Asbestos lung, Pulmonary asbestosis, White-lung (occupational interstitial lung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Asbestosis is a chronic, irreversible diffuse interstitial pulmonary fibrosis caused by inhalation and long-term retention of respirable asbestos fibres. Biopersistent fibres that escape macrophage clearance deposit around respiratory bronchioles and alveoli, driving oxidative injury, chronic inflammation and progressive collagen deposition that stiffens the lung. It characteristically has a long latency (usually 15–40 years), predominantly affects the lower zones and subpleural regions, and may progress even after exposure has stopped. Asbestosis belongs to a wider spectrum of asbestos-related disease that also includes pleural plaques, diffuse pleural thickening, lung cancer and malignant mesothelioma; there is no curative therapy, so management is preventive and supportive.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is among the world's largest consumers of asbestos, averaging over 365,000 tonnes per year during 2012–2016, with an estimated 100,000+ workers routinely exposed and no national mesothelioma or occupational-disease registry. In a landmark study of an asbestos composite (textile) mill in Mumbai, asbestosis prevalence was 23% (41 of 181 workers examined), and every affected worker had at least 20 years of exposure (51% more than 30 years). Among ship-breaking workers at Alang, Gujarat — the world's largest ship-recycling yard — an NIOH survey found 16% with linear radiographic shadows and 39% with restrictive impairment, and future mesothelioma has been projected in up to 15% of the exposed workforce (about 4,513 cases). A 2019 national study of 50 asbestos-cement facilities that assessed 2,603 workers found 15 plants exceeding the permissible fibre limit (measured 0.185–0.400 fibre/cc) and 10 suspected asbestos-related disease cases; the true burden is heavily under-recorded given the 20–40-year disease latency and absence of surveillance.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Asbestosis is a clinical–radiological diagnosis based on a credible history of respirable asbestos exposure with adequate latency, characteristic bilateral lower-zone fibrosis, and a restrictive functional defect, after excluding other causes of interstitial lung disease.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occupational or para-occupational asbestos-exposure history with adequate latency (usually ≥ 15–20 years; asbestosis is uncommon under 10 years of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bilateral, predominantly lower-zone irregular / linear (reticular) small opacities on chest radiograph graded by ILO profusion (≥ 1/0), frequently accompanied by bilateral pleural plaques as a marker of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HRCT chest (more sensitive than radiography) showing subpleural and basal reticulation, subpleural lines, parenchymal bands, ground-glass and, in advanced disease, traction bronchiectasis and honeycombing (a UIP-like pattern), with pleural plaques or diffuse pleural thickening;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restrictive pulmonary function (reduced FVC and TLC with a preserved or increased FEV1/FVC ratio) together with a reduced diffusing capacity (DLCO);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fine, bibasilar end-inspiratory (“velcro”) crackles, with or without digital clubbing, on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lung tissue is available, diffuse interstitial fibrosis plus ≥ 2 asbestos (ferruginous) bodies per cm² or elevated uncoated-fibre counts (Helsinki histological criteria), and exclusion of idiopathic pulmonary fibrosis, other pneumoconioses and connective-tissue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Asbestos-related disease spans benign parenchymal, benign pleural and malignant forms; asbestosis proper is the parenchymal fibrosis, graded and set within this wider spectrum:</w:t>
      </w:r>
    </w:p>
    <w:p>
      <w:pPr>
        <w:spacing w:before="0" w:after="80"/>
      </w:pPr>
      <w:r>
        <w:rPr>
          <w:rFonts w:ascii="Calibri" w:hAnsi="Calibri"/>
          <w:b w:val="0"/>
          <w:i w:val="0"/>
          <w:color w:val="212121"/>
          <w:sz w:val="21"/>
        </w:rPr>
        <w:t>(1) Asbestosis (parenchymal fibrosis) — diffuse interstitial fibrosis graded histologically (grades 1–4, from peribronchiolar to diffuse involvement) and radiologically by ILO profusion (categories 1–3). It predominates in the lower and subpleural zones and is the defining feature of the disease.</w:t>
      </w:r>
    </w:p>
    <w:p>
      <w:pPr>
        <w:spacing w:before="0" w:after="80"/>
      </w:pPr>
      <w:r>
        <w:rPr>
          <w:rFonts w:ascii="Calibri" w:hAnsi="Calibri"/>
          <w:b w:val="0"/>
          <w:i w:val="0"/>
          <w:color w:val="212121"/>
          <w:sz w:val="21"/>
        </w:rPr>
        <w:t>(2) Benign pleural disease — pleural plaques (hyaline or calcified parietal-pleural and diaphragmatic lesions that are the commonest marker of exposure), diffuse pleural thickening, benign asbestos pleural effusion (often the earliest manifestation, and the only one that can appear within 10 years), and rounded atelectasis (“folded lung”, which can mimic a tumour).</w:t>
      </w:r>
    </w:p>
    <w:p>
      <w:pPr>
        <w:spacing w:before="0" w:after="80"/>
      </w:pPr>
      <w:r>
        <w:rPr>
          <w:rFonts w:ascii="Calibri" w:hAnsi="Calibri"/>
          <w:b w:val="0"/>
          <w:i w:val="0"/>
          <w:color w:val="212121"/>
          <w:sz w:val="21"/>
        </w:rPr>
        <w:t>(3) Fibre-type spectrum — serpentine chrysotile (“white” asbestos; curly, less biopersistent) versus amphiboles (crocidolite “blue” and amosite “brown”; straight, highly biopersistent and the most potent for mesothelioma). India predominantly imports and uses chrysotile, but WHO holds that all forms, including chrysotile, cause asbestosis and cancer.</w:t>
      </w:r>
    </w:p>
    <w:p>
      <w:pPr>
        <w:spacing w:before="0" w:after="80"/>
      </w:pPr>
      <w:r>
        <w:rPr>
          <w:rFonts w:ascii="Calibri" w:hAnsi="Calibri"/>
          <w:b w:val="0"/>
          <w:i w:val="0"/>
          <w:color w:val="212121"/>
          <w:sz w:val="21"/>
        </w:rPr>
        <w:t>(4) Malignant asbestos-related disease — bronchogenic lung carcinoma (all cell types; risk multiplied by smoking) and malignant mesothelioma (pleural more than peritoneal; latency typically 20–40 years), with WHO also attributing laryngeal and ovarian cancers to asbestos.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Cumulative asbestos-fibre exposure: The inhaled dose (fibre concentration × years) is the principal determinant; biopersistent fibres that overwhelm macrophage clearance lodge around respiratory bronchioles and drive alveolar and interstitial fibrosis.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Fibre type and dimension: Long, thin amphibole fibres (crocidolite, amosite) are more biopersistent and fibrogenic/carcinogenic than serpentine chrysotile, and longer fibres are more pathogenic than short ones.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Duration and latency of exposure: Risk rises with years worked; asbestosis usually requires ≥ 15–20 years of exposure with long latency and can appear or progress after exposure ends.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Occupation and industry: Ship-breaking, asbestos-cement sheet and pipe manufacture, textile, insulation/lagging, construction and demolition, and brake-lining/gasket work carry the highest respirable-fibre exposure.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Cigarette smoking (co-factor): Not required to cause asbestosis, but it multiplies lung-cancer risk roughly 50-fold, accelerates lung-function decline and impairs fibre clearance.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Individual (genetic) susceptibility: Host factors — notably BAP1 germline mutations for mesothelioma — modulate the fibrotic and malignant response to a given fibre dose.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Long-service adult asbestos workers (40–60 yr)</w:t>
            </w:r>
          </w:p>
        </w:tc>
        <w:tc>
          <w:tcPr>
            <w:tcW w:type="dxa" w:w="4276"/>
            <w:vAlign w:val="top"/>
          </w:tcPr>
          <w:p>
            <w:pPr>
              <w:spacing w:after="60" w:line="259" w:lineRule="auto"/>
            </w:pPr>
            <w:r>
              <w:rPr>
                <w:rFonts w:ascii="Calibri" w:hAnsi="Calibri"/>
                <w:b w:val="0"/>
                <w:i w:val="0"/>
                <w:color w:val="212121"/>
                <w:sz w:val="19"/>
              </w:rPr>
              <w:t>Because of long latency, radiographic and functional disease emerges in mid-to-late working life after decades of cumulative fibre exposure, as retained fibres drive progressive lower-zone interstitial fibrosis.</w:t>
            </w:r>
          </w:p>
          <w:p>
            <w:pPr>
              <w:spacing w:after="40" w:before="60" w:line="259" w:lineRule="auto"/>
            </w:pPr>
            <w:r>
              <w:rPr>
                <w:rFonts w:ascii="Calibri" w:hAnsi="Calibri"/>
                <w:b w:val="0"/>
                <w:i w:val="0"/>
                <w:color w:val="212121"/>
                <w:sz w:val="19"/>
              </w:rPr>
              <w:t>In the Mumbai asbestos-mill study the mean age of workers was 54 years and every asbestosis-affected worker had ≥ 20 years of exposure (51% &gt; 30 years).</w:t>
            </w:r>
          </w:p>
          <w:p>
            <w:pPr>
              <w:spacing w:after="40" w:line="252" w:lineRule="auto"/>
            </w:pPr>
            <w:hyperlink r:id="rId9">
              <w:r>
                <w:rPr>
                  <w:rFonts w:ascii="Calibri" w:hAnsi="Calibri" w:cs="Calibri"/>
                  <w:sz w:val="18"/>
                  <w:color w:val="1155CC"/>
                  <w:u w:val="single"/>
                </w:rPr>
                <w:t xml:space="preserve">link.springer.com — asbestosis in a Mumbai asbestos mill</w:t>
              </w:r>
            </w:hyperlink>
          </w:p>
          <w:p>
            <w:pPr>
              <w:spacing w:before="60" w:after="40"/>
            </w:pPr>
            <w:r>
              <w:rPr>
                <w:rFonts w:ascii="Calibri" w:hAnsi="Calibri"/>
                <w:b w:val="0"/>
                <w:i w:val="0"/>
                <w:color w:val="5A5A5A"/>
                <w:sz w:val="18"/>
              </w:rPr>
              <w:t>#asbestos  #latency  #cumulativeexposure  #occupationallung  #fibrosis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retired ex-workers (&gt; 60 yr)</w:t>
            </w:r>
          </w:p>
        </w:tc>
        <w:tc>
          <w:tcPr>
            <w:tcW w:type="dxa" w:w="4276"/>
            <w:vAlign w:val="top"/>
          </w:tcPr>
          <w:p>
            <w:pPr>
              <w:spacing w:after="60" w:line="259" w:lineRule="auto"/>
            </w:pPr>
            <w:r>
              <w:rPr>
                <w:rFonts w:ascii="Calibri" w:hAnsi="Calibri"/>
                <w:b w:val="0"/>
                <w:i w:val="0"/>
                <w:color w:val="212121"/>
                <w:sz w:val="19"/>
              </w:rPr>
              <w:t>Asbestosis and its malignant complications have latencies of 20–40 years and can progress after exposure stops, so retired workers carry the greatest burden of advanced fibrosis, mesothelioma and lung cancer.</w:t>
            </w:r>
          </w:p>
          <w:p>
            <w:pPr>
              <w:spacing w:after="40" w:before="60" w:line="259" w:lineRule="auto"/>
            </w:pPr>
            <w:r>
              <w:rPr>
                <w:rFonts w:ascii="Calibri" w:hAnsi="Calibri"/>
                <w:b w:val="0"/>
                <w:i w:val="0"/>
                <w:color w:val="212121"/>
                <w:sz w:val="19"/>
              </w:rPr>
              <w:t>Malignant mesothelioma typically presents 20–40 years after first exposure, so disease continues to surface in ex-workers decades later.</w:t>
            </w:r>
          </w:p>
          <w:p>
            <w:pPr>
              <w:spacing w:after="40" w:line="252" w:lineRule="auto"/>
            </w:pPr>
            <w:hyperlink r:id="rId10">
              <w:r>
                <w:rPr>
                  <w:rFonts w:ascii="Calibri" w:hAnsi="Calibri" w:cs="Calibri"/>
                  <w:sz w:val="18"/>
                  <w:color w:val="1155CC"/>
                  <w:u w:val="single"/>
                </w:rPr>
                <w:t xml:space="preserve">merckmanuals.com — asbestosis latency</w:t>
              </w:r>
            </w:hyperlink>
          </w:p>
          <w:p>
            <w:pPr>
              <w:spacing w:before="60" w:after="40"/>
            </w:pPr>
            <w:r>
              <w:rPr>
                <w:rFonts w:ascii="Calibri" w:hAnsi="Calibri"/>
                <w:b w:val="0"/>
                <w:i w:val="0"/>
                <w:color w:val="5A5A5A"/>
                <w:sz w:val="18"/>
              </w:rPr>
              <w:t>#latency  #retiredworkers  #mesothelioma  #progression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(asbestos &amp; ship-breaking workforce)</w:t>
            </w:r>
          </w:p>
        </w:tc>
        <w:tc>
          <w:tcPr>
            <w:tcW w:type="dxa" w:w="4276"/>
            <w:vAlign w:val="top"/>
          </w:tcPr>
          <w:p>
            <w:pPr>
              <w:spacing w:after="60" w:line="259" w:lineRule="auto"/>
            </w:pPr>
            <w:r>
              <w:rPr>
                <w:rFonts w:ascii="Calibri" w:hAnsi="Calibri"/>
                <w:b w:val="0"/>
                <w:i w:val="0"/>
                <w:color w:val="212121"/>
                <w:sz w:val="19"/>
              </w:rPr>
              <w:t>India's ship-recycling, asbestos-cement and construction workforces are overwhelmingly male, so most occupational asbestosis occurs in men who work directly with fibre-laden material.</w:t>
            </w:r>
          </w:p>
          <w:p>
            <w:pPr>
              <w:spacing w:after="40" w:before="60" w:line="259" w:lineRule="auto"/>
            </w:pPr>
            <w:r>
              <w:rPr>
                <w:rFonts w:ascii="Calibri" w:hAnsi="Calibri"/>
                <w:b w:val="0"/>
                <w:i w:val="0"/>
                <w:color w:val="212121"/>
                <w:sz w:val="19"/>
              </w:rPr>
              <w:t>An NIOH survey of 94 Alang ship-breaking workers (a near-entirely male workforce) found 16% with linear radiographic shadows and 39% with restrictive impairment.</w:t>
            </w:r>
          </w:p>
          <w:p>
            <w:pPr>
              <w:spacing w:after="40" w:line="252" w:lineRule="auto"/>
            </w:pPr>
            <w:hyperlink r:id="rId11">
              <w:r>
                <w:rPr>
                  <w:rFonts w:ascii="Calibri" w:hAnsi="Calibri" w:cs="Calibri"/>
                  <w:sz w:val="18"/>
                  <w:color w:val="1155CC"/>
                  <w:u w:val="single"/>
                </w:rPr>
                <w:t xml:space="preserve">annalsofglobalhealth.org — Alang ship-breaking health</w:t>
              </w:r>
            </w:hyperlink>
          </w:p>
          <w:p>
            <w:pPr>
              <w:spacing w:before="60" w:after="40"/>
            </w:pPr>
            <w:r>
              <w:rPr>
                <w:rFonts w:ascii="Calibri" w:hAnsi="Calibri"/>
                <w:b w:val="0"/>
                <w:i w:val="0"/>
                <w:color w:val="5A5A5A"/>
                <w:sz w:val="18"/>
              </w:rPr>
              <w:t>#male  #shipbreaking  #workforce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with para-occupational / environmental exposure</w:t>
            </w:r>
          </w:p>
        </w:tc>
        <w:tc>
          <w:tcPr>
            <w:tcW w:type="dxa" w:w="4276"/>
            <w:vAlign w:val="top"/>
          </w:tcPr>
          <w:p>
            <w:pPr>
              <w:spacing w:after="60" w:line="259" w:lineRule="auto"/>
            </w:pPr>
            <w:r>
              <w:rPr>
                <w:rFonts w:ascii="Calibri" w:hAnsi="Calibri"/>
                <w:b w:val="0"/>
                <w:i w:val="0"/>
                <w:color w:val="212121"/>
                <w:sz w:val="19"/>
              </w:rPr>
              <w:t>Women are exposed mainly by washing fibre-laden work clothes of family members (take-home exposure) or by living near asbestos factories and former mines; even low bystander doses can cause mesothelioma.</w:t>
            </w:r>
          </w:p>
          <w:p>
            <w:pPr>
              <w:spacing w:after="40" w:before="60" w:line="259" w:lineRule="auto"/>
            </w:pPr>
            <w:r>
              <w:rPr>
                <w:rFonts w:ascii="Calibri" w:hAnsi="Calibri"/>
                <w:b w:val="0"/>
                <w:i w:val="0"/>
                <w:color w:val="212121"/>
                <w:sz w:val="19"/>
              </w:rPr>
              <w:t>WHO states all forms of asbestos, including chrysotile, cause mesothelioma and lung cancer, and no safe exposure threshold has been identified.</w:t>
            </w:r>
          </w:p>
          <w:p>
            <w:pPr>
              <w:spacing w:after="40" w:line="252" w:lineRule="auto"/>
            </w:pPr>
            <w:hyperlink r:id="rId12">
              <w:r>
                <w:rPr>
                  <w:rFonts w:ascii="Calibri" w:hAnsi="Calibri" w:cs="Calibri"/>
                  <w:sz w:val="18"/>
                  <w:color w:val="1155CC"/>
                  <w:u w:val="single"/>
                </w:rPr>
                <w:t xml:space="preserve">theunion.org — India asbestos position &amp; WHO stance</w:t>
              </w:r>
            </w:hyperlink>
          </w:p>
          <w:p>
            <w:pPr>
              <w:spacing w:before="60" w:after="40"/>
            </w:pPr>
            <w:r>
              <w:rPr>
                <w:rFonts w:ascii="Calibri" w:hAnsi="Calibri"/>
                <w:b w:val="0"/>
                <w:i w:val="0"/>
                <w:color w:val="5A5A5A"/>
                <w:sz w:val="18"/>
              </w:rPr>
              <w:t>#takehome  #bystander  #environmental  #women  #mesothelioma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Migrant &amp; informal / unorganised-sector workers</w:t>
            </w:r>
          </w:p>
        </w:tc>
        <w:tc>
          <w:tcPr>
            <w:tcW w:type="dxa" w:w="4276"/>
            <w:vAlign w:val="top"/>
          </w:tcPr>
          <w:p>
            <w:pPr>
              <w:spacing w:after="60" w:line="259" w:lineRule="auto"/>
            </w:pPr>
            <w:r>
              <w:rPr>
                <w:rFonts w:ascii="Calibri" w:hAnsi="Calibri"/>
                <w:b w:val="0"/>
                <w:i w:val="0"/>
                <w:color w:val="212121"/>
                <w:sz w:val="19"/>
              </w:rPr>
              <w:t>Workers in small, informal ship-breaking, demolition and asbestos-cement operations often lack dust controls, respirators, monitoring, medical surveillance and compensation, so exposure is intense and disease is detected late or never recorded.</w:t>
            </w:r>
          </w:p>
          <w:p>
            <w:pPr>
              <w:spacing w:after="40" w:before="60" w:line="259" w:lineRule="auto"/>
            </w:pPr>
            <w:r>
              <w:rPr>
                <w:rFonts w:ascii="Calibri" w:hAnsi="Calibri"/>
                <w:b w:val="0"/>
                <w:i w:val="0"/>
                <w:color w:val="212121"/>
                <w:sz w:val="19"/>
              </w:rPr>
              <w:t>About 37.9% of Alang's migrant workforce comes from Uttar Pradesh, Jharkhand and Bihar, and no occupational cancer has ever been recorded there under the Factories Act.</w:t>
            </w:r>
          </w:p>
          <w:p>
            <w:pPr>
              <w:spacing w:after="40" w:line="252" w:lineRule="auto"/>
            </w:pPr>
            <w:hyperlink r:id="rId11">
              <w:r>
                <w:rPr>
                  <w:rFonts w:ascii="Calibri" w:hAnsi="Calibri" w:cs="Calibri"/>
                  <w:sz w:val="18"/>
                  <w:color w:val="1155CC"/>
                  <w:u w:val="single"/>
                </w:rPr>
                <w:t xml:space="preserve">annalsofglobalhealth.org — Alang migrant workforce</w:t>
              </w:r>
            </w:hyperlink>
          </w:p>
          <w:p>
            <w:pPr>
              <w:spacing w:before="60" w:after="40"/>
            </w:pPr>
            <w:r>
              <w:rPr>
                <w:rFonts w:ascii="Calibri" w:hAnsi="Calibri"/>
                <w:b w:val="0"/>
                <w:i w:val="0"/>
                <w:color w:val="5A5A5A"/>
                <w:sz w:val="18"/>
              </w:rPr>
              <w:t>#migrantlabour  #informalsector  #nosurveillance  #poverty  #latediagnosis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industry hub</w:t>
            </w:r>
          </w:p>
        </w:tc>
        <w:tc>
          <w:tcPr>
            <w:tcW w:type="dxa" w:w="2160"/>
            <w:vAlign w:val="top"/>
          </w:tcPr>
          <w:p>
            <w:pPr>
              <w:spacing w:after="40" w:before="0" w:line="259" w:lineRule="auto"/>
            </w:pPr>
            <w:r>
              <w:rPr>
                <w:rFonts w:ascii="Calibri" w:hAnsi="Calibri"/>
                <w:b w:val="0"/>
                <w:i w:val="0"/>
                <w:color w:val="212121"/>
                <w:sz w:val="19"/>
              </w:rPr>
              <w:t>Alang–Sosiya (Bhavnagar, Gujarat) ship-recycling belt</w:t>
            </w:r>
          </w:p>
        </w:tc>
        <w:tc>
          <w:tcPr>
            <w:tcW w:type="dxa" w:w="4276"/>
            <w:vAlign w:val="top"/>
          </w:tcPr>
          <w:p>
            <w:pPr>
              <w:spacing w:after="60" w:line="259" w:lineRule="auto"/>
            </w:pPr>
            <w:r>
              <w:rPr>
                <w:rFonts w:ascii="Calibri" w:hAnsi="Calibri"/>
                <w:b w:val="0"/>
                <w:i w:val="0"/>
                <w:color w:val="212121"/>
                <w:sz w:val="19"/>
              </w:rPr>
              <w:t>Cutting apart old ships releases high concentrations of asbestos used in insulation and lagging; Alang is the world's largest ship-breaking yard and Gujarat accounts for the largest share of India's asbestos use.</w:t>
            </w:r>
          </w:p>
          <w:p>
            <w:pPr>
              <w:spacing w:after="40" w:before="60" w:line="259" w:lineRule="auto"/>
            </w:pPr>
            <w:r>
              <w:rPr>
                <w:rFonts w:ascii="Calibri" w:hAnsi="Calibri"/>
                <w:b w:val="0"/>
                <w:i w:val="0"/>
                <w:color w:val="212121"/>
                <w:sz w:val="19"/>
              </w:rPr>
              <w:t>Future mesothelioma has been projected in up to 15% of the Alang workforce engaged (about 4,513 estimated cases) from past asbestos exposure.</w:t>
            </w:r>
          </w:p>
          <w:p>
            <w:pPr>
              <w:spacing w:after="40" w:line="252" w:lineRule="auto"/>
            </w:pPr>
            <w:hyperlink r:id="rId11">
              <w:r>
                <w:rPr>
                  <w:rFonts w:ascii="Calibri" w:hAnsi="Calibri" w:cs="Calibri"/>
                  <w:sz w:val="18"/>
                  <w:color w:val="1155CC"/>
                  <w:u w:val="single"/>
                </w:rPr>
                <w:t xml:space="preserve">annalsofglobalhealth.org — projected mesothelioma at Alang</w:t>
              </w:r>
            </w:hyperlink>
          </w:p>
          <w:p>
            <w:pPr>
              <w:spacing w:before="60" w:after="40"/>
            </w:pPr>
            <w:r>
              <w:rPr>
                <w:rFonts w:ascii="Calibri" w:hAnsi="Calibri"/>
                <w:b w:val="0"/>
                <w:i w:val="0"/>
                <w:color w:val="5A5A5A"/>
                <w:sz w:val="18"/>
              </w:rPr>
              <w:t>#Alang  #Gujarat  #shipbreaking  #mesothelioma  #insulation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 near plants / mines</w:t>
            </w:r>
          </w:p>
        </w:tc>
        <w:tc>
          <w:tcPr>
            <w:tcW w:type="dxa" w:w="2160"/>
            <w:vAlign w:val="top"/>
          </w:tcPr>
          <w:p>
            <w:pPr>
              <w:spacing w:after="40" w:before="0" w:line="259" w:lineRule="auto"/>
            </w:pPr>
            <w:r>
              <w:rPr>
                <w:rFonts w:ascii="Calibri" w:hAnsi="Calibri"/>
                <w:b w:val="0"/>
                <w:i w:val="0"/>
                <w:color w:val="212121"/>
                <w:sz w:val="19"/>
              </w:rPr>
              <w:t>Communities near asbestos-cement plants &amp; former mines</w:t>
            </w:r>
          </w:p>
        </w:tc>
        <w:tc>
          <w:tcPr>
            <w:tcW w:type="dxa" w:w="4276"/>
            <w:vAlign w:val="top"/>
          </w:tcPr>
          <w:p>
            <w:pPr>
              <w:spacing w:after="60" w:line="259" w:lineRule="auto"/>
            </w:pPr>
            <w:r>
              <w:rPr>
                <w:rFonts w:ascii="Calibri" w:hAnsi="Calibri"/>
                <w:b w:val="0"/>
                <w:i w:val="0"/>
                <w:color w:val="212121"/>
                <w:sz w:val="19"/>
              </w:rPr>
              <w:t>People living near asbestos-cement factories or former asbestos mines (e.g., parts of Rajasthan, Andhra Pradesh, Jharkhand) inhale ambient fibres, and take-home fibres extend exposure to whole households.</w:t>
            </w:r>
          </w:p>
          <w:p>
            <w:pPr>
              <w:spacing w:after="40" w:before="60" w:line="259" w:lineRule="auto"/>
            </w:pPr>
            <w:r>
              <w:rPr>
                <w:rFonts w:ascii="Calibri" w:hAnsi="Calibri"/>
                <w:b w:val="0"/>
                <w:i w:val="0"/>
                <w:color w:val="212121"/>
                <w:sz w:val="19"/>
              </w:rPr>
              <w:t>In a 2019 national study of 50 asbestos-cement facilities, 15 plants exceeded the permissible fibre limit, with measured air levels of 0.185–0.400 fibre/cc.</w:t>
            </w:r>
          </w:p>
          <w:p>
            <w:pPr>
              <w:spacing w:after="40" w:line="252" w:lineRule="auto"/>
            </w:pPr>
            <w:hyperlink r:id="rId12">
              <w:r>
                <w:rPr>
                  <w:rFonts w:ascii="Calibri" w:hAnsi="Calibri" w:cs="Calibri"/>
                  <w:sz w:val="18"/>
                  <w:color w:val="1155CC"/>
                  <w:u w:val="single"/>
                </w:rPr>
                <w:t xml:space="preserve">theunion.org — 2019 national asbestos-cement study</w:t>
              </w:r>
            </w:hyperlink>
          </w:p>
          <w:p>
            <w:pPr>
              <w:spacing w:before="60" w:after="40"/>
            </w:pPr>
            <w:r>
              <w:rPr>
                <w:rFonts w:ascii="Calibri" w:hAnsi="Calibri"/>
                <w:b w:val="0"/>
                <w:i w:val="0"/>
                <w:color w:val="5A5A5A"/>
                <w:sz w:val="18"/>
              </w:rPr>
              <w:t>#ambientfibres  #Rajasthan  #AndhraPradesh  #community  #asbestoscement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Asbestos-cement, textile, insulation, construction &amp; brake-lining workers</w:t>
            </w:r>
          </w:p>
        </w:tc>
        <w:tc>
          <w:tcPr>
            <w:tcW w:type="dxa" w:w="4276"/>
            <w:vAlign w:val="top"/>
          </w:tcPr>
          <w:p>
            <w:pPr>
              <w:spacing w:after="60" w:line="259" w:lineRule="auto"/>
            </w:pPr>
            <w:r>
              <w:rPr>
                <w:rFonts w:ascii="Calibri" w:hAnsi="Calibri"/>
                <w:b w:val="0"/>
                <w:i w:val="0"/>
                <w:color w:val="212121"/>
                <w:sz w:val="19"/>
              </w:rPr>
              <w:t>Direct handling, sawing, drilling and demolition of asbestos material generates high respirable-fibre concentrations; dose accumulates with every shift and is the dominant driver of asbestosis.</w:t>
            </w:r>
          </w:p>
          <w:p>
            <w:pPr>
              <w:spacing w:after="40" w:before="60" w:line="259" w:lineRule="auto"/>
            </w:pPr>
            <w:r>
              <w:rPr>
                <w:rFonts w:ascii="Calibri" w:hAnsi="Calibri"/>
                <w:b w:val="0"/>
                <w:i w:val="0"/>
                <w:color w:val="212121"/>
                <w:sz w:val="19"/>
              </w:rPr>
              <w:t>Asbestosis prevalence reached 23% (41 of 181 workers) in a Mumbai asbestos composite mill, all cases having ≥ 20 years of exposure.</w:t>
            </w:r>
          </w:p>
          <w:p>
            <w:pPr>
              <w:spacing w:after="40" w:line="252" w:lineRule="auto"/>
            </w:pPr>
            <w:hyperlink r:id="rId9">
              <w:r>
                <w:rPr>
                  <w:rFonts w:ascii="Calibri" w:hAnsi="Calibri" w:cs="Calibri"/>
                  <w:sz w:val="18"/>
                  <w:color w:val="1155CC"/>
                  <w:u w:val="single"/>
                </w:rPr>
                <w:t xml:space="preserve">link.springer.com — Mumbai asbestos-mill prevalence</w:t>
              </w:r>
            </w:hyperlink>
          </w:p>
          <w:p>
            <w:pPr>
              <w:spacing w:before="60" w:after="40"/>
            </w:pPr>
            <w:r>
              <w:rPr>
                <w:rFonts w:ascii="Calibri" w:hAnsi="Calibri"/>
                <w:b w:val="0"/>
                <w:i w:val="0"/>
                <w:color w:val="5A5A5A"/>
                <w:sz w:val="18"/>
              </w:rPr>
              <w:t>#asbestoscement  #insulation  #construction  #brakelining  #respirablefibre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Asbestos workers who smoke cigarettes / bidis</w:t>
            </w:r>
          </w:p>
        </w:tc>
        <w:tc>
          <w:tcPr>
            <w:tcW w:type="dxa" w:w="4276"/>
            <w:vAlign w:val="top"/>
          </w:tcPr>
          <w:p>
            <w:pPr>
              <w:spacing w:after="60" w:line="259" w:lineRule="auto"/>
            </w:pPr>
            <w:r>
              <w:rPr>
                <w:rFonts w:ascii="Calibri" w:hAnsi="Calibri"/>
                <w:b w:val="0"/>
                <w:i w:val="0"/>
                <w:color w:val="212121"/>
                <w:sz w:val="19"/>
              </w:rPr>
              <w:t>Smoking does not cause the fibrotic asbestosis lesion but interacts multiplicatively with asbestos to raise lung-cancer risk and accelerates decline in lung function; it also impairs mucociliary fibre clearance.</w:t>
            </w:r>
          </w:p>
          <w:p>
            <w:pPr>
              <w:spacing w:after="40" w:before="60" w:line="259" w:lineRule="auto"/>
            </w:pPr>
            <w:r>
              <w:rPr>
                <w:rFonts w:ascii="Calibri" w:hAnsi="Calibri"/>
                <w:b w:val="0"/>
                <w:i w:val="0"/>
                <w:color w:val="212121"/>
                <w:sz w:val="19"/>
              </w:rPr>
              <w:t>Classic cohort data show asbestos alone raises lung-cancer risk ~5×, smoking alone ~10×, and the two combined about ~50× — an almost purely multiplicative effect.</w:t>
            </w:r>
          </w:p>
          <w:p>
            <w:pPr>
              <w:spacing w:after="40" w:line="252" w:lineRule="auto"/>
            </w:pPr>
            <w:hyperlink r:id="rId13">
              <w:r>
                <w:rPr>
                  <w:rFonts w:ascii="Calibri" w:hAnsi="Calibri" w:cs="Calibri"/>
                  <w:sz w:val="18"/>
                  <w:color w:val="1155CC"/>
                  <w:u w:val="single"/>
                </w:rPr>
                <w:t xml:space="preserve">mdpi.com — asbestos, smoking &amp; lung cancer</w:t>
              </w:r>
            </w:hyperlink>
          </w:p>
          <w:p>
            <w:pPr>
              <w:spacing w:before="60" w:after="40"/>
            </w:pPr>
            <w:r>
              <w:rPr>
                <w:rFonts w:ascii="Calibri" w:hAnsi="Calibri"/>
                <w:b w:val="0"/>
                <w:i w:val="0"/>
                <w:color w:val="5A5A5A"/>
                <w:sz w:val="18"/>
              </w:rPr>
              <w:t>#smoking  #bidi  #multiplicative  #lungcancer  #synergy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Personal protection</w:t>
            </w:r>
          </w:p>
        </w:tc>
        <w:tc>
          <w:tcPr>
            <w:tcW w:type="dxa" w:w="2160"/>
            <w:vAlign w:val="top"/>
          </w:tcPr>
          <w:p>
            <w:pPr>
              <w:spacing w:after="40" w:before="0" w:line="259" w:lineRule="auto"/>
            </w:pPr>
            <w:r>
              <w:rPr>
                <w:rFonts w:ascii="Calibri" w:hAnsi="Calibri"/>
                <w:b w:val="0"/>
                <w:i w:val="0"/>
                <w:color w:val="212121"/>
                <w:sz w:val="19"/>
              </w:rPr>
              <w:t>Workers without respirators / using dry cutting methods</w:t>
            </w:r>
          </w:p>
        </w:tc>
        <w:tc>
          <w:tcPr>
            <w:tcW w:type="dxa" w:w="4276"/>
            <w:vAlign w:val="top"/>
          </w:tcPr>
          <w:p>
            <w:pPr>
              <w:spacing w:after="60" w:line="259" w:lineRule="auto"/>
            </w:pPr>
            <w:r>
              <w:rPr>
                <w:rFonts w:ascii="Calibri" w:hAnsi="Calibri"/>
                <w:b w:val="0"/>
                <w:i w:val="0"/>
                <w:color w:val="212121"/>
                <w:sz w:val="19"/>
              </w:rPr>
              <w:t>Inconsistent respirator use, dry cutting/drilling and poor ventilation raise the inhaled fibre dose; respirators are an adjunct only and cannot substitute for engineering dust control below the exposure limit.</w:t>
            </w:r>
          </w:p>
          <w:p>
            <w:pPr>
              <w:spacing w:after="40" w:before="60" w:line="259" w:lineRule="auto"/>
            </w:pPr>
            <w:r>
              <w:rPr>
                <w:rFonts w:ascii="Calibri" w:hAnsi="Calibri"/>
                <w:b w:val="0"/>
                <w:i w:val="0"/>
                <w:color w:val="212121"/>
                <w:sz w:val="19"/>
              </w:rPr>
              <w:t>India's occupational exposure limit is 0.1 fibre/cc, yet 15 of 50 asbestos-cement plants exceeded permissible fibre limits in a 2019 national study.</w:t>
            </w:r>
          </w:p>
          <w:p>
            <w:pPr>
              <w:spacing w:after="40" w:line="252" w:lineRule="auto"/>
            </w:pPr>
            <w:hyperlink r:id="rId12">
              <w:r>
                <w:rPr>
                  <w:rFonts w:ascii="Calibri" w:hAnsi="Calibri" w:cs="Calibri"/>
                  <w:sz w:val="18"/>
                  <w:color w:val="1155CC"/>
                  <w:u w:val="single"/>
                </w:rPr>
                <w:t xml:space="preserve">theunion.org — India exposure limit &amp; plant compliance</w:t>
              </w:r>
            </w:hyperlink>
          </w:p>
          <w:p>
            <w:pPr>
              <w:spacing w:before="60" w:after="40"/>
            </w:pPr>
            <w:r>
              <w:rPr>
                <w:rFonts w:ascii="Calibri" w:hAnsi="Calibri"/>
                <w:b w:val="0"/>
                <w:i w:val="0"/>
                <w:color w:val="5A5A5A"/>
                <w:sz w:val="18"/>
              </w:rPr>
              <w:t>#PPE  #respirator  #drycutting  #ventilation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Antioxidant intake</w:t>
            </w:r>
          </w:p>
        </w:tc>
        <w:tc>
          <w:tcPr>
            <w:tcW w:type="dxa" w:w="2160"/>
            <w:vAlign w:val="top"/>
          </w:tcPr>
          <w:p>
            <w:pPr>
              <w:spacing w:after="40" w:before="0" w:line="259" w:lineRule="auto"/>
            </w:pPr>
            <w:r>
              <w:rPr>
                <w:rFonts w:ascii="Calibri" w:hAnsi="Calibri"/>
                <w:b w:val="0"/>
                <w:i w:val="0"/>
                <w:color w:val="212121"/>
                <w:sz w:val="19"/>
              </w:rPr>
              <w:t>Diets low in fruit, vegetables &amp; antioxidants</w:t>
            </w:r>
          </w:p>
        </w:tc>
        <w:tc>
          <w:tcPr>
            <w:tcW w:type="dxa" w:w="4276"/>
            <w:vAlign w:val="top"/>
          </w:tcPr>
          <w:p>
            <w:pPr>
              <w:spacing w:after="60" w:line="259" w:lineRule="auto"/>
            </w:pPr>
            <w:r>
              <w:rPr>
                <w:rFonts w:ascii="Calibri" w:hAnsi="Calibri"/>
                <w:b w:val="0"/>
                <w:i w:val="0"/>
                <w:color w:val="212121"/>
                <w:sz w:val="19"/>
              </w:rPr>
              <w:t>Asbestos injury is partly mediated by reactive oxygen species from activated macrophages, so a diet poor in antioxidant micronutrients is hypothesised to weaken pulmonary defence, though direct human evidence remains limited.</w:t>
            </w:r>
          </w:p>
          <w:p>
            <w:pPr>
              <w:spacing w:before="60" w:after="40"/>
            </w:pPr>
            <w:r>
              <w:rPr>
                <w:rFonts w:ascii="Calibri" w:hAnsi="Calibri"/>
                <w:b w:val="0"/>
                <w:i w:val="0"/>
                <w:color w:val="5A5A5A"/>
                <w:sz w:val="18"/>
              </w:rPr>
              <w:t>#antioxidants  #oxidativestress  #micronutrients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Underweight, undernourished workers</w:t>
            </w:r>
          </w:p>
        </w:tc>
        <w:tc>
          <w:tcPr>
            <w:tcW w:type="dxa" w:w="4276"/>
            <w:vAlign w:val="top"/>
          </w:tcPr>
          <w:p>
            <w:pPr>
              <w:spacing w:after="60" w:line="259" w:lineRule="auto"/>
            </w:pPr>
            <w:r>
              <w:rPr>
                <w:rFonts w:ascii="Calibri" w:hAnsi="Calibri"/>
                <w:b w:val="0"/>
                <w:i w:val="0"/>
                <w:color w:val="212121"/>
                <w:sz w:val="19"/>
              </w:rPr>
              <w:t>Low body-mass index and undernutrition, common in poorer migrant labour, impair immunity and markedly raise susceptibility to pulmonary tuberculosis in fibre-injured lungs, worsening overall respiratory outcome.</w:t>
            </w:r>
          </w:p>
          <w:p>
            <w:pPr>
              <w:spacing w:before="60" w:after="40"/>
            </w:pPr>
            <w:r>
              <w:rPr>
                <w:rFonts w:ascii="Calibri" w:hAnsi="Calibri"/>
                <w:b w:val="0"/>
                <w:i w:val="0"/>
                <w:color w:val="5A5A5A"/>
                <w:sz w:val="18"/>
              </w:rPr>
              <w:t>#undernutrition  #lowBMI  #TBrisk  #immunity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Carriers of BAP1 germline mutation / susceptibility variants</w:t>
            </w:r>
          </w:p>
        </w:tc>
        <w:tc>
          <w:tcPr>
            <w:tcW w:type="dxa" w:w="4276"/>
            <w:vAlign w:val="top"/>
          </w:tcPr>
          <w:p>
            <w:pPr>
              <w:spacing w:after="60" w:line="259" w:lineRule="auto"/>
            </w:pPr>
            <w:r>
              <w:rPr>
                <w:rFonts w:ascii="Calibri" w:hAnsi="Calibri"/>
                <w:b w:val="0"/>
                <w:i w:val="0"/>
                <w:color w:val="212121"/>
                <w:sz w:val="19"/>
              </w:rPr>
              <w:t>Germline BAP1 mutation strongly predisposes to malignant mesothelioma and, with other host variants, modulates the fibrotic and malignant response to a given asbestos dose, explaining why similarly exposed workers differ in outcome.</w:t>
            </w:r>
          </w:p>
          <w:p>
            <w:pPr>
              <w:spacing w:after="40" w:before="60" w:line="259" w:lineRule="auto"/>
            </w:pPr>
            <w:r>
              <w:rPr>
                <w:rFonts w:ascii="Calibri" w:hAnsi="Calibri"/>
                <w:b w:val="0"/>
                <w:i w:val="0"/>
                <w:color w:val="212121"/>
                <w:sz w:val="19"/>
              </w:rPr>
              <w:t>Over 80% of malignant mesotheliomas are attributable to asbestos exposure, with host susceptibility genes such as BAP1 amplifying individual risk.</w:t>
            </w:r>
          </w:p>
          <w:p>
            <w:pPr>
              <w:spacing w:after="40" w:line="252" w:lineRule="auto"/>
            </w:pPr>
            <w:hyperlink r:id="rId14">
              <w:r>
                <w:rPr>
                  <w:rFonts w:ascii="Calibri" w:hAnsi="Calibri" w:cs="Calibri"/>
                  <w:sz w:val="18"/>
                  <w:color w:val="1155CC"/>
                  <w:u w:val="single"/>
                </w:rPr>
                <w:t xml:space="preserve">ncbi.nlm.nih.gov — asbestosis (StatPearls)</w:t>
              </w:r>
            </w:hyperlink>
          </w:p>
          <w:p>
            <w:pPr>
              <w:spacing w:before="60" w:after="40"/>
            </w:pPr>
            <w:r>
              <w:rPr>
                <w:rFonts w:ascii="Calibri" w:hAnsi="Calibri"/>
                <w:b w:val="0"/>
                <w:i w:val="0"/>
                <w:color w:val="5A5A5A"/>
                <w:sz w:val="18"/>
              </w:rPr>
              <w:t>#BAP1  #germline  #susceptibility  #mesothelioma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Pleural plaques / benign pleural disease</w:t>
            </w:r>
          </w:p>
        </w:tc>
        <w:tc>
          <w:tcPr>
            <w:tcW w:type="dxa" w:w="2160"/>
            <w:vAlign w:val="top"/>
          </w:tcPr>
          <w:p>
            <w:pPr>
              <w:spacing w:after="40" w:before="0" w:line="259" w:lineRule="auto"/>
            </w:pPr>
            <w:r>
              <w:rPr>
                <w:rFonts w:ascii="Calibri" w:hAnsi="Calibri"/>
                <w:b w:val="0"/>
                <w:i w:val="0"/>
                <w:color w:val="212121"/>
                <w:sz w:val="19"/>
              </w:rPr>
              <w:t>Exposed workers with pleural plaques</w:t>
            </w:r>
          </w:p>
        </w:tc>
        <w:tc>
          <w:tcPr>
            <w:tcW w:type="dxa" w:w="4276"/>
            <w:vAlign w:val="top"/>
          </w:tcPr>
          <w:p>
            <w:pPr>
              <w:spacing w:after="60" w:line="259" w:lineRule="auto"/>
            </w:pPr>
            <w:r>
              <w:rPr>
                <w:rFonts w:ascii="Calibri" w:hAnsi="Calibri"/>
                <w:b w:val="0"/>
                <w:i w:val="0"/>
                <w:color w:val="212121"/>
                <w:sz w:val="19"/>
              </w:rPr>
              <w:t>Pleural plaques are the commonest marker of asbestos exposure and frequently coexist with or precede parenchymal asbestosis; their presence confirms significant exposure and warrants surveillance for fibrosis and malignancy.</w:t>
            </w:r>
          </w:p>
          <w:p>
            <w:pPr>
              <w:spacing w:after="40" w:before="60" w:line="259" w:lineRule="auto"/>
            </w:pPr>
            <w:r>
              <w:rPr>
                <w:rFonts w:ascii="Calibri" w:hAnsi="Calibri"/>
                <w:b w:val="0"/>
                <w:i w:val="0"/>
                <w:color w:val="212121"/>
                <w:sz w:val="19"/>
              </w:rPr>
              <w:t>In the Mumbai study, 82% of asbestosis cases had parenchymal disease and about 17% showed pleural involvement (7% pleural-only plus 10% combined).</w:t>
            </w:r>
          </w:p>
          <w:p>
            <w:pPr>
              <w:spacing w:after="40" w:line="252" w:lineRule="auto"/>
            </w:pPr>
            <w:hyperlink r:id="rId9">
              <w:r>
                <w:rPr>
                  <w:rFonts w:ascii="Calibri" w:hAnsi="Calibri" w:cs="Calibri"/>
                  <w:sz w:val="18"/>
                  <w:color w:val="1155CC"/>
                  <w:u w:val="single"/>
                </w:rPr>
                <w:t xml:space="preserve">link.springer.com — parenchymal vs pleural disease</w:t>
              </w:r>
            </w:hyperlink>
          </w:p>
          <w:p>
            <w:pPr>
              <w:spacing w:before="60" w:after="40"/>
            </w:pPr>
            <w:r>
              <w:rPr>
                <w:rFonts w:ascii="Calibri" w:hAnsi="Calibri"/>
                <w:b w:val="0"/>
                <w:i w:val="0"/>
                <w:color w:val="5A5A5A"/>
                <w:sz w:val="18"/>
              </w:rPr>
              <w:t>#pleuralplaques  #exposuremarker  #pleuraldisease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tuberculosis</w:t>
            </w:r>
          </w:p>
        </w:tc>
        <w:tc>
          <w:tcPr>
            <w:tcW w:type="dxa" w:w="2160"/>
            <w:vAlign w:val="top"/>
          </w:tcPr>
          <w:p>
            <w:pPr>
              <w:spacing w:after="40" w:before="0" w:line="259" w:lineRule="auto"/>
            </w:pPr>
            <w:r>
              <w:rPr>
                <w:rFonts w:ascii="Calibri" w:hAnsi="Calibri"/>
                <w:b w:val="0"/>
                <w:i w:val="0"/>
                <w:color w:val="212121"/>
                <w:sz w:val="19"/>
              </w:rPr>
              <w:t>Fibre-exposed workers with pulmonary TB</w:t>
            </w:r>
          </w:p>
        </w:tc>
        <w:tc>
          <w:tcPr>
            <w:tcW w:type="dxa" w:w="4276"/>
            <w:vAlign w:val="top"/>
          </w:tcPr>
          <w:p>
            <w:pPr>
              <w:spacing w:after="60" w:line="259" w:lineRule="auto"/>
            </w:pPr>
            <w:r>
              <w:rPr>
                <w:rFonts w:ascii="Calibri" w:hAnsi="Calibri"/>
                <w:b w:val="0"/>
                <w:i w:val="0"/>
                <w:color w:val="212121"/>
                <w:sz w:val="19"/>
              </w:rPr>
              <w:t>Retained mineral fibres impair alveolar-macrophage killing of mycobacteria, so dust-exposed workers face a high risk of pulmonary TB, which can mimic or accelerate fibrotic and malignant change — a major concern in high-burden India.</w:t>
            </w:r>
          </w:p>
          <w:p>
            <w:pPr>
              <w:spacing w:after="40" w:before="60" w:line="259" w:lineRule="auto"/>
            </w:pPr>
            <w:r>
              <w:rPr>
                <w:rFonts w:ascii="Calibri" w:hAnsi="Calibri"/>
                <w:b w:val="0"/>
                <w:i w:val="0"/>
                <w:color w:val="212121"/>
                <w:sz w:val="19"/>
              </w:rPr>
              <w:t>India carries the world's largest tuberculosis burden, compounding respiratory risk in dust- and fibre-exposed occupational groups.</w:t>
            </w:r>
          </w:p>
          <w:p>
            <w:pPr>
              <w:spacing w:after="40" w:line="252" w:lineRule="auto"/>
            </w:pPr>
            <w:hyperlink r:id="rId14">
              <w:r>
                <w:rPr>
                  <w:rFonts w:ascii="Calibri" w:hAnsi="Calibri" w:cs="Calibri"/>
                  <w:sz w:val="18"/>
                  <w:color w:val="1155CC"/>
                  <w:u w:val="single"/>
                </w:rPr>
                <w:t xml:space="preserve">ncbi.nlm.nih.gov — asbestosis complications (StatPearls)</w:t>
              </w:r>
            </w:hyperlink>
          </w:p>
          <w:p>
            <w:pPr>
              <w:spacing w:before="60" w:after="40"/>
            </w:pPr>
            <w:r>
              <w:rPr>
                <w:rFonts w:ascii="Calibri" w:hAnsi="Calibri"/>
                <w:b w:val="0"/>
                <w:i w:val="0"/>
                <w:color w:val="5A5A5A"/>
                <w:sz w:val="18"/>
              </w:rPr>
              <w:t>#tuberculosis  #India  #macrophage  #coinfection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COPD / airflow obstruction</w:t>
            </w:r>
          </w:p>
        </w:tc>
        <w:tc>
          <w:tcPr>
            <w:tcW w:type="dxa" w:w="2160"/>
            <w:vAlign w:val="top"/>
          </w:tcPr>
          <w:p>
            <w:pPr>
              <w:spacing w:after="40" w:before="0" w:line="259" w:lineRule="auto"/>
            </w:pPr>
            <w:r>
              <w:rPr>
                <w:rFonts w:ascii="Calibri" w:hAnsi="Calibri"/>
                <w:b w:val="0"/>
                <w:i w:val="0"/>
                <w:color w:val="212121"/>
                <w:sz w:val="19"/>
              </w:rPr>
              <w:t>Workers with coexisting smoking-related COPD</w:t>
            </w:r>
          </w:p>
        </w:tc>
        <w:tc>
          <w:tcPr>
            <w:tcW w:type="dxa" w:w="4276"/>
            <w:vAlign w:val="top"/>
          </w:tcPr>
          <w:p>
            <w:pPr>
              <w:spacing w:after="60" w:line="259" w:lineRule="auto"/>
            </w:pPr>
            <w:r>
              <w:rPr>
                <w:rFonts w:ascii="Calibri" w:hAnsi="Calibri"/>
                <w:b w:val="0"/>
                <w:i w:val="0"/>
                <w:color w:val="212121"/>
                <w:sz w:val="19"/>
              </w:rPr>
              <w:t>Concurrent cigarette/bidi smoking adds airflow obstruction and emphysema to the restrictive fibrosis of asbestosis, producing a mixed ventilatory defect and greater disability than either alone.</w:t>
            </w:r>
          </w:p>
          <w:p>
            <w:pPr>
              <w:spacing w:before="60" w:after="40"/>
            </w:pPr>
            <w:r>
              <w:rPr>
                <w:rFonts w:ascii="Calibri" w:hAnsi="Calibri"/>
                <w:b w:val="0"/>
                <w:i w:val="0"/>
                <w:color w:val="5A5A5A"/>
                <w:sz w:val="18"/>
              </w:rPr>
              <w:t>#COPD  #airflowobstruction  #mixeddefect  #smoking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Lung cancer</w:t>
            </w:r>
          </w:p>
        </w:tc>
        <w:tc>
          <w:tcPr>
            <w:tcW w:type="dxa" w:w="2160"/>
            <w:vAlign w:val="top"/>
          </w:tcPr>
          <w:p>
            <w:pPr>
              <w:spacing w:after="40" w:before="0" w:line="259" w:lineRule="auto"/>
            </w:pPr>
            <w:r>
              <w:rPr>
                <w:rFonts w:ascii="Calibri" w:hAnsi="Calibri"/>
                <w:b w:val="0"/>
                <w:i w:val="0"/>
                <w:color w:val="212121"/>
                <w:sz w:val="19"/>
              </w:rPr>
              <w:t>Asbestos-exposed smokers</w:t>
            </w:r>
          </w:p>
        </w:tc>
        <w:tc>
          <w:tcPr>
            <w:tcW w:type="dxa" w:w="4276"/>
            <w:vAlign w:val="top"/>
          </w:tcPr>
          <w:p>
            <w:pPr>
              <w:spacing w:after="60" w:line="259" w:lineRule="auto"/>
            </w:pPr>
            <w:r>
              <w:rPr>
                <w:rFonts w:ascii="Calibri" w:hAnsi="Calibri"/>
                <w:b w:val="0"/>
                <w:i w:val="0"/>
                <w:color w:val="212121"/>
                <w:sz w:val="19"/>
              </w:rPr>
              <w:t>Asbestos is an independent lung carcinogen whose effect multiplies with smoking; established asbestosis further raises risk, making bronchogenic carcinoma a major cause of death in exposed workers.</w:t>
            </w:r>
          </w:p>
          <w:p>
            <w:pPr>
              <w:spacing w:after="40" w:before="60" w:line="259" w:lineRule="auto"/>
            </w:pPr>
            <w:r>
              <w:rPr>
                <w:rFonts w:ascii="Calibri" w:hAnsi="Calibri"/>
                <w:b w:val="0"/>
                <w:i w:val="0"/>
                <w:color w:val="212121"/>
                <w:sz w:val="19"/>
              </w:rPr>
              <w:t>About 25 fibre-years of cumulative exposure is estimated to double lung-cancer risk, with a minimum 10-year lag from first exposure (Helsinki criteria).</w:t>
            </w:r>
          </w:p>
          <w:p>
            <w:pPr>
              <w:spacing w:after="40" w:line="252" w:lineRule="auto"/>
            </w:pPr>
            <w:hyperlink r:id="rId15">
              <w:r>
                <w:rPr>
                  <w:rFonts w:ascii="Calibri" w:hAnsi="Calibri" w:cs="Calibri"/>
                  <w:sz w:val="18"/>
                  <w:color w:val="1155CC"/>
                  <w:u w:val="single"/>
                </w:rPr>
                <w:t xml:space="preserve">sjweh.fi — Helsinki criteria (lung-cancer attribution)</w:t>
              </w:r>
            </w:hyperlink>
          </w:p>
          <w:p>
            <w:pPr>
              <w:spacing w:before="60" w:after="40"/>
            </w:pPr>
            <w:r>
              <w:rPr>
                <w:rFonts w:ascii="Calibri" w:hAnsi="Calibri"/>
                <w:b w:val="0"/>
                <w:i w:val="0"/>
                <w:color w:val="5A5A5A"/>
                <w:sz w:val="18"/>
              </w:rPr>
              <w:t>#lungcancer  #fibreyears  #Helsinki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Cor pulmonale / pulmonary hypertension</w:t>
            </w:r>
          </w:p>
        </w:tc>
        <w:tc>
          <w:tcPr>
            <w:tcW w:type="dxa" w:w="2160"/>
            <w:vAlign w:val="top"/>
          </w:tcPr>
          <w:p>
            <w:pPr>
              <w:spacing w:after="40" w:before="0" w:line="259" w:lineRule="auto"/>
            </w:pPr>
            <w:r>
              <w:rPr>
                <w:rFonts w:ascii="Calibri" w:hAnsi="Calibri"/>
                <w:b w:val="0"/>
                <w:i w:val="0"/>
                <w:color w:val="212121"/>
                <w:sz w:val="19"/>
              </w:rPr>
              <w:t>Advanced asbestosis with right-heart strain</w:t>
            </w:r>
          </w:p>
        </w:tc>
        <w:tc>
          <w:tcPr>
            <w:tcW w:type="dxa" w:w="4276"/>
            <w:vAlign w:val="top"/>
          </w:tcPr>
          <w:p>
            <w:pPr>
              <w:spacing w:after="60" w:line="259" w:lineRule="auto"/>
            </w:pPr>
            <w:r>
              <w:rPr>
                <w:rFonts w:ascii="Calibri" w:hAnsi="Calibri"/>
                <w:b w:val="0"/>
                <w:i w:val="0"/>
                <w:color w:val="212121"/>
                <w:sz w:val="19"/>
              </w:rPr>
              <w:t>Extensive fibrosis, pleural restriction and chronic hypoxaemia raise pulmonary vascular resistance, producing pulmonary hypertension and right-heart failure in end-stage disease.</w:t>
            </w:r>
          </w:p>
          <w:p>
            <w:pPr>
              <w:spacing w:after="40" w:before="60" w:line="259" w:lineRule="auto"/>
            </w:pPr>
            <w:r>
              <w:rPr>
                <w:rFonts w:ascii="Calibri" w:hAnsi="Calibri"/>
                <w:b w:val="0"/>
                <w:i w:val="0"/>
                <w:color w:val="212121"/>
                <w:sz w:val="19"/>
              </w:rPr>
              <w:t>Cor pulmonale and respiratory failure are recognised terminal complications of advanced asbestosis.</w:t>
            </w:r>
          </w:p>
          <w:p>
            <w:pPr>
              <w:spacing w:after="40" w:line="252" w:lineRule="auto"/>
            </w:pPr>
            <w:hyperlink r:id="rId14">
              <w:r>
                <w:rPr>
                  <w:rFonts w:ascii="Calibri" w:hAnsi="Calibri" w:cs="Calibri"/>
                  <w:sz w:val="18"/>
                  <w:color w:val="1155CC"/>
                  <w:u w:val="single"/>
                </w:rPr>
                <w:t xml:space="preserve">ncbi.nlm.nih.gov — cor pulmonale in asbestosis</w:t>
              </w:r>
            </w:hyperlink>
          </w:p>
          <w:p>
            <w:pPr>
              <w:spacing w:before="60" w:after="40"/>
            </w:pPr>
            <w:r>
              <w:rPr>
                <w:rFonts w:ascii="Calibri" w:hAnsi="Calibri"/>
                <w:b w:val="0"/>
                <w:i w:val="0"/>
                <w:color w:val="5A5A5A"/>
                <w:sz w:val="18"/>
              </w:rPr>
              <w:t>#corpulmonale  #pulmonaryhypertension  #hypoxaemia  #rightheart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does not cause asbestosis, but deconditioning worsens exertional breathlessness; supervised pulmonary rehabilitation and graded aerobic training improve exercise capacity and quality of life in established fibrotic lung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Antioxidant-rich intake is hypothesised to mitigate the oxidative fibre injury (weak evidence), while undernutrition and low BMI raise tuberculosis susceptibility in fibre-injured lungs.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but advanced asbestosis with hypoxaemia and cor pulmonale causes nocturnal desaturation and disturbed sleep; overlap with obstructive sleep apnoea worsens daytime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not required for the fibrotic lesion but interacts multiplicatively with asbestos to raise lung-cancer risk roughly 50-fold, accelerates FEV1 decline and impairs clearance of inhaled fibres.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causal role in asbestosis; heavy use associates with poorer nutrition, higher tuberculosis risk and reduced adherence to treatment and follow-up.</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Progressive breathlessness, disability, loss of livelihood and fear of mesothelioma or lung cancer raise rates of anxiety and depression, which reduce adherence and rehabilitation participation.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aids mucociliary clearance and sputum expectoration but has no direct disease link; at the workplace, wetting/water spraying of material is a key fibre-suppression measure.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asbestosis.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Occupational and respiratory hygiene — engineering fibre control, ventilation, wet cutting, respirator use and changing/showering to avoid take-home fibres — is the central determinant of inhaled dose and the main preventable factor.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Intensity and duration of respirable-fibre exposure (concentration × years), amphibole fibre type, longer fibre length and superimposed tuberculosis or smoking provoke onset and progression, including to malignancy.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does not influence asbestosis risk or progression.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Airborne asbestos-fibre concentration (fibre/cc)</w:t>
            </w:r>
          </w:p>
        </w:tc>
        <w:tc>
          <w:tcPr>
            <w:tcW w:type="dxa" w:w="1655"/>
            <w:vAlign w:val="top"/>
          </w:tcPr>
          <w:p>
            <w:pPr>
              <w:spacing w:after="40" w:before="0" w:line="259" w:lineRule="auto"/>
            </w:pPr>
            <w:r>
              <w:rPr>
                <w:rFonts w:ascii="Calibri" w:hAnsi="Calibri"/>
                <w:b w:val="0"/>
                <w:i w:val="0"/>
                <w:color w:val="212121"/>
                <w:sz w:val="19"/>
              </w:rPr>
              <w:t>All directly exposed workers</w:t>
            </w:r>
          </w:p>
        </w:tc>
        <w:tc>
          <w:tcPr>
            <w:tcW w:type="dxa" w:w="1512"/>
            <w:vAlign w:val="top"/>
          </w:tcPr>
          <w:p>
            <w:pPr>
              <w:spacing w:after="40" w:before="0" w:line="259" w:lineRule="auto"/>
            </w:pPr>
            <w:r>
              <w:rPr>
                <w:rFonts w:ascii="Calibri" w:hAnsi="Calibri"/>
                <w:b w:val="0"/>
                <w:i w:val="0"/>
                <w:color w:val="212121"/>
                <w:sz w:val="19"/>
              </w:rPr>
              <w:t>≤ 0.1 fibre/cc (India OEL, 8-h TWA)</w:t>
            </w:r>
          </w:p>
        </w:tc>
        <w:tc>
          <w:tcPr>
            <w:tcW w:type="dxa" w:w="1512"/>
            <w:vAlign w:val="top"/>
          </w:tcPr>
          <w:p>
            <w:pPr>
              <w:spacing w:after="40" w:before="0" w:line="259" w:lineRule="auto"/>
            </w:pPr>
            <w:r>
              <w:rPr>
                <w:rFonts w:ascii="Calibri" w:hAnsi="Calibri"/>
                <w:b w:val="0"/>
                <w:i w:val="0"/>
                <w:color w:val="212121"/>
                <w:sz w:val="19"/>
              </w:rPr>
              <w:t>&gt; 0.1 fibre/cc at the workplace</w:t>
            </w:r>
          </w:p>
        </w:tc>
        <w:tc>
          <w:tcPr>
            <w:tcW w:type="dxa" w:w="1468"/>
            <w:vAlign w:val="top"/>
          </w:tcPr>
          <w:p>
            <w:pPr>
              <w:spacing w:after="60" w:line="259" w:lineRule="auto"/>
            </w:pPr>
            <w:r>
              <w:rPr>
                <w:rFonts w:ascii="Calibri" w:hAnsi="Calibri"/>
                <w:b w:val="0"/>
                <w:i w:val="0"/>
                <w:color w:val="212121"/>
                <w:sz w:val="19"/>
              </w:rPr>
              <w:t>Principal driver of inhaled dose; 15/50 Indian plants measured 0.185–0.400 f/cc; WHO holds no level is safe</w:t>
            </w:r>
          </w:p>
          <w:p>
            <w:pPr>
              <w:spacing w:after="40" w:line="252" w:lineRule="auto"/>
            </w:pPr>
            <w:hyperlink r:id="rId12">
              <w:r>
                <w:rPr>
                  <w:rFonts w:ascii="Calibri" w:hAnsi="Calibri" w:cs="Calibri"/>
                  <w:sz w:val="18"/>
                  <w:color w:val="1155CC"/>
                  <w:u w:val="single"/>
                </w:rPr>
                <w:t xml:space="preserve">https://theunion.org/news/analysis-of-the-indian-government%E2%80%99s-position-on-the-use-of-asbestos-and-its-health-effects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exposure (fibre-years)</w:t>
            </w:r>
          </w:p>
        </w:tc>
        <w:tc>
          <w:tcPr>
            <w:tcW w:type="dxa" w:w="1655"/>
            <w:vAlign w:val="top"/>
          </w:tcPr>
          <w:p>
            <w:pPr>
              <w:spacing w:after="40" w:before="0" w:line="259" w:lineRule="auto"/>
            </w:pPr>
            <w:r>
              <w:rPr>
                <w:rFonts w:ascii="Calibri" w:hAnsi="Calibri"/>
                <w:b w:val="0"/>
                <w:i w:val="0"/>
                <w:color w:val="212121"/>
                <w:sz w:val="19"/>
              </w:rPr>
              <w:t>Career asbestos workers</w:t>
            </w:r>
          </w:p>
        </w:tc>
        <w:tc>
          <w:tcPr>
            <w:tcW w:type="dxa" w:w="1512"/>
            <w:vAlign w:val="top"/>
          </w:tcPr>
          <w:p>
            <w:pPr>
              <w:spacing w:after="40" w:before="0" w:line="259" w:lineRule="auto"/>
            </w:pPr>
            <w:r>
              <w:rPr>
                <w:rFonts w:ascii="Calibri" w:hAnsi="Calibri"/>
                <w:b w:val="0"/>
                <w:i w:val="0"/>
                <w:color w:val="212121"/>
                <w:sz w:val="19"/>
              </w:rPr>
              <w:t>Minimised; as low as reasonably achievable</w:t>
            </w:r>
          </w:p>
        </w:tc>
        <w:tc>
          <w:tcPr>
            <w:tcW w:type="dxa" w:w="1512"/>
            <w:vAlign w:val="top"/>
          </w:tcPr>
          <w:p>
            <w:pPr>
              <w:spacing w:after="40" w:before="0" w:line="259" w:lineRule="auto"/>
            </w:pPr>
            <w:r>
              <w:rPr>
                <w:rFonts w:ascii="Calibri" w:hAnsi="Calibri"/>
                <w:b w:val="0"/>
                <w:i w:val="0"/>
                <w:color w:val="212121"/>
                <w:sz w:val="19"/>
              </w:rPr>
              <w:t>≥ 25 fibre-years (doubles lung-cancer risk)</w:t>
            </w:r>
          </w:p>
        </w:tc>
        <w:tc>
          <w:tcPr>
            <w:tcW w:type="dxa" w:w="1468"/>
            <w:vAlign w:val="top"/>
          </w:tcPr>
          <w:p>
            <w:pPr>
              <w:spacing w:after="60" w:line="259" w:lineRule="auto"/>
            </w:pPr>
            <w:r>
              <w:rPr>
                <w:rFonts w:ascii="Calibri" w:hAnsi="Calibri"/>
                <w:b w:val="0"/>
                <w:i w:val="0"/>
                <w:color w:val="212121"/>
                <w:sz w:val="19"/>
              </w:rPr>
              <w:t>Helsinki threshold for doubling lung-cancer risk; risk rises ~0.5–4% per fibre-year</w:t>
            </w:r>
          </w:p>
          <w:p>
            <w:pPr>
              <w:spacing w:after="40" w:line="252" w:lineRule="auto"/>
            </w:pPr>
            <w:hyperlink r:id="rId15">
              <w:r>
                <w:rPr>
                  <w:rFonts w:ascii="Calibri" w:hAnsi="Calibri" w:cs="Calibri"/>
                  <w:sz w:val="18"/>
                  <w:color w:val="1155CC"/>
                  <w:u w:val="single"/>
                </w:rPr>
                <w:t xml:space="preserve">https://www.sjweh.fi/article/226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exposure (years)</w:t>
            </w:r>
          </w:p>
        </w:tc>
        <w:tc>
          <w:tcPr>
            <w:tcW w:type="dxa" w:w="1655"/>
            <w:vAlign w:val="top"/>
          </w:tcPr>
          <w:p>
            <w:pPr>
              <w:spacing w:after="40" w:before="0" w:line="259" w:lineRule="auto"/>
            </w:pPr>
            <w:r>
              <w:rPr>
                <w:rFonts w:ascii="Calibri" w:hAnsi="Calibri"/>
                <w:b w:val="0"/>
                <w:i w:val="0"/>
                <w:color w:val="212121"/>
                <w:sz w:val="19"/>
              </w:rPr>
              <w:t>Exposed workers on surveillance</w:t>
            </w:r>
          </w:p>
        </w:tc>
        <w:tc>
          <w:tcPr>
            <w:tcW w:type="dxa" w:w="1512"/>
            <w:vAlign w:val="top"/>
          </w:tcPr>
          <w:p>
            <w:pPr>
              <w:spacing w:after="40" w:before="0" w:line="259" w:lineRule="auto"/>
            </w:pPr>
            <w:r>
              <w:rPr>
                <w:rFonts w:ascii="Calibri" w:hAnsi="Calibri"/>
                <w:b w:val="0"/>
                <w:i w:val="0"/>
                <w:color w:val="212121"/>
                <w:sz w:val="19"/>
              </w:rPr>
              <w:t>Minimised; job rotation</w:t>
            </w:r>
          </w:p>
        </w:tc>
        <w:tc>
          <w:tcPr>
            <w:tcW w:type="dxa" w:w="1512"/>
            <w:vAlign w:val="top"/>
          </w:tcPr>
          <w:p>
            <w:pPr>
              <w:spacing w:after="40" w:before="0" w:line="259" w:lineRule="auto"/>
            </w:pPr>
            <w:r>
              <w:rPr>
                <w:rFonts w:ascii="Calibri" w:hAnsi="Calibri"/>
                <w:b w:val="0"/>
                <w:i w:val="0"/>
                <w:color w:val="212121"/>
                <w:sz w:val="19"/>
              </w:rPr>
              <w:t>≥ 15–20 years' exposure</w:t>
            </w:r>
          </w:p>
        </w:tc>
        <w:tc>
          <w:tcPr>
            <w:tcW w:type="dxa" w:w="1468"/>
            <w:vAlign w:val="top"/>
          </w:tcPr>
          <w:p>
            <w:pPr>
              <w:spacing w:after="60" w:line="259" w:lineRule="auto"/>
            </w:pPr>
            <w:r>
              <w:rPr>
                <w:rFonts w:ascii="Calibri" w:hAnsi="Calibri"/>
                <w:b w:val="0"/>
                <w:i w:val="0"/>
                <w:color w:val="212121"/>
                <w:sz w:val="19"/>
              </w:rPr>
              <w:t>All asbestosis cases in the Mumbai cohort had ≥ 20 years of exposure</w:t>
            </w:r>
          </w:p>
          <w:p>
            <w:pPr>
              <w:spacing w:after="40" w:line="252" w:lineRule="auto"/>
            </w:pPr>
            <w:hyperlink r:id="rId9">
              <w:r>
                <w:rPr>
                  <w:rFonts w:ascii="Calibri" w:hAnsi="Calibri" w:cs="Calibri"/>
                  <w:sz w:val="18"/>
                  <w:color w:val="1155CC"/>
                  <w:u w:val="single"/>
                </w:rPr>
                <w:t xml:space="preserve">https://link.springer.com/article/10.1186/1476-069X-4-24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Latency since first exposure (years)</w:t>
            </w:r>
          </w:p>
        </w:tc>
        <w:tc>
          <w:tcPr>
            <w:tcW w:type="dxa" w:w="1655"/>
            <w:vAlign w:val="top"/>
          </w:tcPr>
          <w:p>
            <w:pPr>
              <w:spacing w:after="40" w:before="0" w:line="259" w:lineRule="auto"/>
            </w:pPr>
            <w:r>
              <w:rPr>
                <w:rFonts w:ascii="Calibri" w:hAnsi="Calibri"/>
                <w:b w:val="0"/>
                <w:i w:val="0"/>
                <w:color w:val="212121"/>
                <w:sz w:val="19"/>
              </w:rPr>
              <w:t>Ex-workers &amp; retirees</w:t>
            </w:r>
          </w:p>
        </w:tc>
        <w:tc>
          <w:tcPr>
            <w:tcW w:type="dxa" w:w="1512"/>
            <w:vAlign w:val="top"/>
          </w:tcPr>
          <w:p>
            <w:pPr>
              <w:spacing w:after="40" w:before="0" w:line="259" w:lineRule="auto"/>
            </w:pPr>
            <w:r>
              <w:rPr>
                <w:rFonts w:ascii="Calibri" w:hAnsi="Calibri"/>
                <w:b w:val="0"/>
                <w:i w:val="0"/>
                <w:color w:val="212121"/>
                <w:sz w:val="19"/>
              </w:rPr>
              <w:t>N/A (surveillance regardless)</w:t>
            </w:r>
          </w:p>
        </w:tc>
        <w:tc>
          <w:tcPr>
            <w:tcW w:type="dxa" w:w="1512"/>
            <w:vAlign w:val="top"/>
          </w:tcPr>
          <w:p>
            <w:pPr>
              <w:spacing w:after="40" w:before="0" w:line="259" w:lineRule="auto"/>
            </w:pPr>
            <w:r>
              <w:rPr>
                <w:rFonts w:ascii="Calibri" w:hAnsi="Calibri"/>
                <w:b w:val="0"/>
                <w:i w:val="0"/>
                <w:color w:val="212121"/>
                <w:sz w:val="19"/>
              </w:rPr>
              <w:t>≥ 10–20 yr (asbestosis); ≥ 20–40 yr (mesothelioma)</w:t>
            </w:r>
          </w:p>
        </w:tc>
        <w:tc>
          <w:tcPr>
            <w:tcW w:type="dxa" w:w="1468"/>
            <w:vAlign w:val="top"/>
          </w:tcPr>
          <w:p>
            <w:pPr>
              <w:spacing w:after="60" w:line="259" w:lineRule="auto"/>
            </w:pPr>
            <w:r>
              <w:rPr>
                <w:rFonts w:ascii="Calibri" w:hAnsi="Calibri"/>
                <w:b w:val="0"/>
                <w:i w:val="0"/>
                <w:color w:val="212121"/>
                <w:sz w:val="19"/>
              </w:rPr>
              <w:t>Long latency mandates lifelong follow-up even after exposure ceases</w:t>
            </w:r>
          </w:p>
          <w:p>
            <w:pPr>
              <w:spacing w:after="40" w:line="252" w:lineRule="auto"/>
            </w:pPr>
            <w:hyperlink r:id="rId10">
              <w:r>
                <w:rPr>
                  <w:rFonts w:ascii="Calibri" w:hAnsi="Calibri" w:cs="Calibri"/>
                  <w:sz w:val="18"/>
                  <w:color w:val="1155CC"/>
                  <w:u w:val="single"/>
                </w:rPr>
                <w:t xml:space="preserve">https://www.merckmanuals.com/professional/pulmonary-disorders/environmental-and-occupational-pulmonary-diseases/asbestosis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Respirator / PPE use</w:t>
            </w:r>
          </w:p>
        </w:tc>
        <w:tc>
          <w:tcPr>
            <w:tcW w:type="dxa" w:w="1655"/>
            <w:vAlign w:val="top"/>
          </w:tcPr>
          <w:p>
            <w:pPr>
              <w:spacing w:after="40" w:before="0" w:line="259" w:lineRule="auto"/>
            </w:pPr>
            <w:r>
              <w:rPr>
                <w:rFonts w:ascii="Calibri" w:hAnsi="Calibri"/>
                <w:b w:val="0"/>
                <w:i w:val="0"/>
                <w:color w:val="212121"/>
                <w:sz w:val="19"/>
              </w:rPr>
              <w:t>All exposed workers</w:t>
            </w:r>
          </w:p>
        </w:tc>
        <w:tc>
          <w:tcPr>
            <w:tcW w:type="dxa" w:w="1512"/>
            <w:vAlign w:val="top"/>
          </w:tcPr>
          <w:p>
            <w:pPr>
              <w:spacing w:after="40" w:before="0" w:line="259" w:lineRule="auto"/>
            </w:pPr>
            <w:r>
              <w:rPr>
                <w:rFonts w:ascii="Calibri" w:hAnsi="Calibri"/>
                <w:b w:val="0"/>
                <w:i w:val="0"/>
                <w:color w:val="212121"/>
                <w:sz w:val="19"/>
              </w:rPr>
              <w:t>Consistent, correctly fitted respirator</w:t>
            </w:r>
          </w:p>
        </w:tc>
        <w:tc>
          <w:tcPr>
            <w:tcW w:type="dxa" w:w="1512"/>
            <w:vAlign w:val="top"/>
          </w:tcPr>
          <w:p>
            <w:pPr>
              <w:spacing w:after="40" w:before="0" w:line="259" w:lineRule="auto"/>
            </w:pPr>
            <w:r>
              <w:rPr>
                <w:rFonts w:ascii="Calibri" w:hAnsi="Calibri"/>
                <w:b w:val="0"/>
                <w:i w:val="0"/>
                <w:color w:val="212121"/>
                <w:sz w:val="19"/>
              </w:rPr>
              <w:t>Absent or intermittent use</w:t>
            </w:r>
          </w:p>
        </w:tc>
        <w:tc>
          <w:tcPr>
            <w:tcW w:type="dxa" w:w="1468"/>
            <w:vAlign w:val="top"/>
          </w:tcPr>
          <w:p>
            <w:pPr>
              <w:spacing w:after="40" w:before="0" w:line="259" w:lineRule="auto"/>
            </w:pPr>
            <w:r>
              <w:rPr>
                <w:rFonts w:ascii="Calibri" w:hAnsi="Calibri"/>
                <w:b w:val="0"/>
                <w:i w:val="0"/>
                <w:color w:val="212121"/>
                <w:sz w:val="19"/>
              </w:rPr>
              <w:t>Adjunct only; cannot replace engineering fibre control and wet methods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Asbestos workers, ex-workers</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 1 / day</w:t>
            </w:r>
          </w:p>
        </w:tc>
        <w:tc>
          <w:tcPr>
            <w:tcW w:type="dxa" w:w="1468"/>
            <w:vAlign w:val="top"/>
          </w:tcPr>
          <w:p>
            <w:pPr>
              <w:spacing w:after="60" w:line="259" w:lineRule="auto"/>
            </w:pPr>
            <w:r>
              <w:rPr>
                <w:rFonts w:ascii="Calibri" w:hAnsi="Calibri"/>
                <w:b w:val="0"/>
                <w:i w:val="0"/>
                <w:color w:val="212121"/>
                <w:sz w:val="19"/>
              </w:rPr>
              <w:t>Multiplicative (~50×) with asbestos for lung cancer; accelerates decline</w:t>
            </w:r>
          </w:p>
          <w:p>
            <w:pPr>
              <w:spacing w:after="40" w:line="252" w:lineRule="auto"/>
            </w:pPr>
            <w:hyperlink r:id="rId13">
              <w:r>
                <w:rPr>
                  <w:rFonts w:ascii="Calibri" w:hAnsi="Calibri" w:cs="Calibri"/>
                  <w:sz w:val="18"/>
                  <w:color w:val="1155CC"/>
                  <w:u w:val="single"/>
                </w:rPr>
                <w:t xml:space="preserve">https://www.mdpi.com/1660-4601/17/1/258</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Forced Vital Capacity (% predicted)</w:t>
            </w:r>
          </w:p>
        </w:tc>
        <w:tc>
          <w:tcPr>
            <w:tcW w:type="dxa" w:w="1655"/>
            <w:vAlign w:val="top"/>
          </w:tcPr>
          <w:p>
            <w:pPr>
              <w:spacing w:after="40" w:before="0" w:line="259" w:lineRule="auto"/>
            </w:pPr>
            <w:r>
              <w:rPr>
                <w:rFonts w:ascii="Calibri" w:hAnsi="Calibri"/>
                <w:b w:val="0"/>
                <w:i w:val="0"/>
                <w:color w:val="212121"/>
                <w:sz w:val="19"/>
              </w:rPr>
              <w:t>Symptomatic &amp; surveillance workers</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 (restriction)</w:t>
            </w:r>
          </w:p>
        </w:tc>
        <w:tc>
          <w:tcPr>
            <w:tcW w:type="dxa" w:w="1468"/>
            <w:vAlign w:val="top"/>
          </w:tcPr>
          <w:p>
            <w:pPr>
              <w:spacing w:after="60" w:line="259" w:lineRule="auto"/>
            </w:pPr>
            <w:r>
              <w:rPr>
                <w:rFonts w:ascii="Calibri" w:hAnsi="Calibri"/>
                <w:b w:val="0"/>
                <w:i w:val="0"/>
                <w:color w:val="212121"/>
                <w:sz w:val="19"/>
              </w:rPr>
              <w:t>66% of Mumbai asbestosis cases had FVC &lt; 80% predicted</w:t>
            </w:r>
          </w:p>
          <w:p>
            <w:pPr>
              <w:spacing w:after="40" w:line="252" w:lineRule="auto"/>
            </w:pPr>
            <w:hyperlink r:id="rId9">
              <w:r>
                <w:rPr>
                  <w:rFonts w:ascii="Calibri" w:hAnsi="Calibri" w:cs="Calibri"/>
                  <w:sz w:val="18"/>
                  <w:color w:val="1155CC"/>
                  <w:u w:val="single"/>
                </w:rPr>
                <w:t xml:space="preserve">https://link.springer.com/article/10.1186/1476-069X-4-24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Diffusing capacity DLCO (% predicted)</w:t>
            </w:r>
          </w:p>
        </w:tc>
        <w:tc>
          <w:tcPr>
            <w:tcW w:type="dxa" w:w="1655"/>
            <w:vAlign w:val="top"/>
          </w:tcPr>
          <w:p>
            <w:pPr>
              <w:spacing w:after="40" w:before="0" w:line="259" w:lineRule="auto"/>
            </w:pPr>
            <w:r>
              <w:rPr>
                <w:rFonts w:ascii="Calibri" w:hAnsi="Calibri"/>
                <w:b w:val="0"/>
                <w:i w:val="0"/>
                <w:color w:val="212121"/>
                <w:sz w:val="19"/>
              </w:rPr>
              <w:t>Symptomatic / early disease</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predicted</w:t>
            </w:r>
          </w:p>
        </w:tc>
        <w:tc>
          <w:tcPr>
            <w:tcW w:type="dxa" w:w="1468"/>
            <w:vAlign w:val="top"/>
          </w:tcPr>
          <w:p>
            <w:pPr>
              <w:spacing w:after="60" w:line="259" w:lineRule="auto"/>
            </w:pPr>
            <w:r>
              <w:rPr>
                <w:rFonts w:ascii="Calibri" w:hAnsi="Calibri"/>
                <w:b w:val="0"/>
                <w:i w:val="0"/>
                <w:color w:val="212121"/>
                <w:sz w:val="19"/>
              </w:rPr>
              <w:t>Reduced gas transfer; often the earliest functional abnormality</w:t>
            </w:r>
          </w:p>
          <w:p>
            <w:pPr>
              <w:spacing w:after="40" w:line="252" w:lineRule="auto"/>
            </w:pPr>
            <w:hyperlink r:id="rId14">
              <w:r>
                <w:rPr>
                  <w:rFonts w:ascii="Calibri" w:hAnsi="Calibri" w:cs="Calibri"/>
                  <w:sz w:val="18"/>
                  <w:color w:val="1155CC"/>
                  <w:u w:val="single"/>
                </w:rPr>
                <w:t xml:space="preserve">https://www.ncbi.nlm.nih.gov/books/NBK555985/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FEV1/FVC ratio (spirometry)</w:t>
            </w:r>
          </w:p>
        </w:tc>
        <w:tc>
          <w:tcPr>
            <w:tcW w:type="dxa" w:w="1655"/>
            <w:vAlign w:val="top"/>
          </w:tcPr>
          <w:p>
            <w:pPr>
              <w:spacing w:after="40" w:before="0" w:line="259" w:lineRule="auto"/>
            </w:pPr>
            <w:r>
              <w:rPr>
                <w:rFonts w:ascii="Calibri" w:hAnsi="Calibri"/>
                <w:b w:val="0"/>
                <w:i w:val="0"/>
                <w:color w:val="212121"/>
                <w:sz w:val="19"/>
              </w:rPr>
              <w:t>Workers on functional testing</w:t>
            </w:r>
          </w:p>
        </w:tc>
        <w:tc>
          <w:tcPr>
            <w:tcW w:type="dxa" w:w="1512"/>
            <w:vAlign w:val="top"/>
          </w:tcPr>
          <w:p>
            <w:pPr>
              <w:spacing w:after="40" w:before="0" w:line="259" w:lineRule="auto"/>
            </w:pPr>
            <w:r>
              <w:rPr>
                <w:rFonts w:ascii="Calibri" w:hAnsi="Calibri"/>
                <w:b w:val="0"/>
                <w:i w:val="0"/>
                <w:color w:val="212121"/>
                <w:sz w:val="19"/>
              </w:rPr>
              <w:t>≥ 0.70 (preserved/raised)</w:t>
            </w:r>
          </w:p>
        </w:tc>
        <w:tc>
          <w:tcPr>
            <w:tcW w:type="dxa" w:w="1512"/>
            <w:vAlign w:val="top"/>
          </w:tcPr>
          <w:p>
            <w:pPr>
              <w:spacing w:after="40" w:before="0" w:line="259" w:lineRule="auto"/>
            </w:pPr>
            <w:r>
              <w:rPr>
                <w:rFonts w:ascii="Calibri" w:hAnsi="Calibri"/>
                <w:b w:val="0"/>
                <w:i w:val="0"/>
                <w:color w:val="212121"/>
                <w:sz w:val="19"/>
              </w:rPr>
              <w:t>&lt; 0.70 (coexisting obstruction)</w:t>
            </w:r>
          </w:p>
        </w:tc>
        <w:tc>
          <w:tcPr>
            <w:tcW w:type="dxa" w:w="1468"/>
            <w:vAlign w:val="top"/>
          </w:tcPr>
          <w:p>
            <w:pPr>
              <w:spacing w:after="60" w:line="259" w:lineRule="auto"/>
            </w:pPr>
            <w:r>
              <w:rPr>
                <w:rFonts w:ascii="Calibri" w:hAnsi="Calibri"/>
                <w:b w:val="0"/>
                <w:i w:val="0"/>
                <w:color w:val="212121"/>
                <w:sz w:val="19"/>
              </w:rPr>
              <w:t>Ratio is typically preserved or raised in pure restriction; 82% of cases had a normal ratio</w:t>
            </w:r>
          </w:p>
          <w:p>
            <w:pPr>
              <w:spacing w:after="40" w:line="252" w:lineRule="auto"/>
            </w:pPr>
            <w:hyperlink r:id="rId9">
              <w:r>
                <w:rPr>
                  <w:rFonts w:ascii="Calibri" w:hAnsi="Calibri" w:cs="Calibri"/>
                  <w:sz w:val="18"/>
                  <w:color w:val="1155CC"/>
                  <w:u w:val="single"/>
                </w:rPr>
                <w:t xml:space="preserve">https://link.springer.com/article/10.1186/1476-069X-4-24</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ILO profusion category (CXR)</w:t>
            </w:r>
          </w:p>
        </w:tc>
        <w:tc>
          <w:tcPr>
            <w:tcW w:type="dxa" w:w="1655"/>
            <w:vAlign w:val="top"/>
          </w:tcPr>
          <w:p>
            <w:pPr>
              <w:spacing w:after="40" w:before="0" w:line="259" w:lineRule="auto"/>
            </w:pPr>
            <w:r>
              <w:rPr>
                <w:rFonts w:ascii="Calibri" w:hAnsi="Calibri"/>
                <w:b w:val="0"/>
                <w:i w:val="0"/>
                <w:color w:val="212121"/>
                <w:sz w:val="19"/>
              </w:rPr>
              <w:t>Screened exposed workers</w:t>
            </w:r>
          </w:p>
        </w:tc>
        <w:tc>
          <w:tcPr>
            <w:tcW w:type="dxa" w:w="1512"/>
            <w:vAlign w:val="top"/>
          </w:tcPr>
          <w:p>
            <w:pPr>
              <w:spacing w:after="40" w:before="0" w:line="259" w:lineRule="auto"/>
            </w:pPr>
            <w:r>
              <w:rPr>
                <w:rFonts w:ascii="Calibri" w:hAnsi="Calibri"/>
                <w:b w:val="0"/>
                <w:i w:val="0"/>
                <w:color w:val="212121"/>
                <w:sz w:val="19"/>
              </w:rPr>
              <w:t>0/0 – 0/1</w:t>
            </w:r>
          </w:p>
        </w:tc>
        <w:tc>
          <w:tcPr>
            <w:tcW w:type="dxa" w:w="1512"/>
            <w:vAlign w:val="top"/>
          </w:tcPr>
          <w:p>
            <w:pPr>
              <w:spacing w:after="40" w:before="0" w:line="259" w:lineRule="auto"/>
            </w:pPr>
            <w:r>
              <w:rPr>
                <w:rFonts w:ascii="Calibri" w:hAnsi="Calibri"/>
                <w:b w:val="0"/>
                <w:i w:val="0"/>
                <w:color w:val="212121"/>
                <w:sz w:val="19"/>
              </w:rPr>
              <w:t>≥ 1/0 (small irregular opacities)</w:t>
            </w:r>
          </w:p>
        </w:tc>
        <w:tc>
          <w:tcPr>
            <w:tcW w:type="dxa" w:w="1468"/>
            <w:vAlign w:val="top"/>
          </w:tcPr>
          <w:p>
            <w:pPr>
              <w:spacing w:after="60" w:line="259" w:lineRule="auto"/>
            </w:pPr>
            <w:r>
              <w:rPr>
                <w:rFonts w:ascii="Calibri" w:hAnsi="Calibri"/>
                <w:b w:val="0"/>
                <w:i w:val="0"/>
                <w:color w:val="212121"/>
                <w:sz w:val="19"/>
              </w:rPr>
              <w:t>Standardised radiographic grading of parenchymal asbestosis severity</w:t>
            </w:r>
          </w:p>
          <w:p>
            <w:pPr>
              <w:spacing w:after="40" w:line="252" w:lineRule="auto"/>
            </w:pPr>
            <w:hyperlink r:id="rId15">
              <w:r>
                <w:rPr>
                  <w:rFonts w:ascii="Calibri" w:hAnsi="Calibri" w:cs="Calibri"/>
                  <w:sz w:val="18"/>
                  <w:color w:val="1155CC"/>
                  <w:u w:val="single"/>
                </w:rPr>
                <w:t xml:space="preserve">https://www.sjweh.fi/article/226</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SpO₂ (pulse oximetry)</w:t>
            </w:r>
          </w:p>
        </w:tc>
        <w:tc>
          <w:tcPr>
            <w:tcW w:type="dxa" w:w="1655"/>
            <w:vAlign w:val="top"/>
          </w:tcPr>
          <w:p>
            <w:pPr>
              <w:spacing w:after="40" w:before="0" w:line="259" w:lineRule="auto"/>
            </w:pPr>
            <w:r>
              <w:rPr>
                <w:rFonts w:ascii="Calibri" w:hAnsi="Calibri"/>
                <w:b w:val="0"/>
                <w:i w:val="0"/>
                <w:color w:val="212121"/>
                <w:sz w:val="19"/>
              </w:rPr>
              <w:t>Advanced asbestosis</w:t>
            </w:r>
          </w:p>
        </w:tc>
        <w:tc>
          <w:tcPr>
            <w:tcW w:type="dxa" w:w="1512"/>
            <w:vAlign w:val="top"/>
          </w:tcPr>
          <w:p>
            <w:pPr>
              <w:spacing w:after="40" w:before="0" w:line="259" w:lineRule="auto"/>
            </w:pPr>
            <w:r>
              <w:rPr>
                <w:rFonts w:ascii="Calibri" w:hAnsi="Calibri"/>
                <w:b w:val="0"/>
                <w:i w:val="0"/>
                <w:color w:val="212121"/>
                <w:sz w:val="19"/>
              </w:rPr>
              <w:t>≥ 95%</w:t>
            </w:r>
          </w:p>
        </w:tc>
        <w:tc>
          <w:tcPr>
            <w:tcW w:type="dxa" w:w="1512"/>
            <w:vAlign w:val="top"/>
          </w:tcPr>
          <w:p>
            <w:pPr>
              <w:spacing w:after="40" w:before="0" w:line="259" w:lineRule="auto"/>
            </w:pPr>
            <w:r>
              <w:rPr>
                <w:rFonts w:ascii="Calibri" w:hAnsi="Calibri"/>
                <w:b w:val="0"/>
                <w:i w:val="0"/>
                <w:color w:val="212121"/>
                <w:sz w:val="19"/>
              </w:rPr>
              <w:t>&lt; 92% (hypoxaemia)</w:t>
            </w:r>
          </w:p>
        </w:tc>
        <w:tc>
          <w:tcPr>
            <w:tcW w:type="dxa" w:w="1468"/>
            <w:vAlign w:val="top"/>
          </w:tcPr>
          <w:p>
            <w:pPr>
              <w:spacing w:after="40" w:before="0" w:line="259" w:lineRule="auto"/>
            </w:pPr>
            <w:r>
              <w:rPr>
                <w:rFonts w:ascii="Calibri" w:hAnsi="Calibri"/>
                <w:b w:val="0"/>
                <w:i w:val="0"/>
                <w:color w:val="212121"/>
                <w:sz w:val="19"/>
              </w:rPr>
              <w:t>Guides oxygen therapy and screens for cor pulmonale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Migrant / exposed workers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40" w:before="0" w:line="259" w:lineRule="auto"/>
            </w:pPr>
            <w:r>
              <w:rPr>
                <w:rFonts w:ascii="Calibri" w:hAnsi="Calibri"/>
                <w:b w:val="0"/>
                <w:i w:val="0"/>
                <w:color w:val="212121"/>
                <w:sz w:val="19"/>
              </w:rPr>
              <w:t>Low BMI raises tuberculosis susceptibility in fibre-exposed lungs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ILO-graded irregular opacities + pleural plaques</w:t>
            </w:r>
          </w:p>
        </w:tc>
        <w:tc>
          <w:tcPr>
            <w:tcW w:type="dxa" w:w="892"/>
            <w:vAlign w:val="top"/>
          </w:tcPr>
          <w:p>
            <w:pPr>
              <w:spacing w:after="40" w:before="0" w:line="259" w:lineRule="auto"/>
            </w:pPr>
            <w:r>
              <w:rPr>
                <w:rFonts w:ascii="Calibri" w:hAnsi="Calibri"/>
                <w:b w:val="0"/>
                <w:i w:val="0"/>
                <w:color w:val="212121"/>
                <w:sz w:val="16"/>
              </w:rPr>
              <w:t>Chest radiograph (PA)</w:t>
            </w:r>
          </w:p>
        </w:tc>
        <w:tc>
          <w:tcPr>
            <w:tcW w:type="dxa" w:w="950"/>
            <w:vAlign w:val="top"/>
          </w:tcPr>
          <w:p>
            <w:pPr>
              <w:spacing w:after="40" w:before="0" w:line="259" w:lineRule="auto"/>
            </w:pPr>
            <w:r>
              <w:rPr>
                <w:rFonts w:ascii="Calibri" w:hAnsi="Calibri"/>
                <w:b w:val="0"/>
                <w:i w:val="0"/>
                <w:color w:val="212121"/>
                <w:sz w:val="16"/>
              </w:rPr>
              <w:t>Category 0/0–0/1; no plaques</w:t>
            </w:r>
          </w:p>
        </w:tc>
        <w:tc>
          <w:tcPr>
            <w:tcW w:type="dxa" w:w="950"/>
            <w:vAlign w:val="top"/>
          </w:tcPr>
          <w:p>
            <w:pPr>
              <w:spacing w:after="40" w:before="0" w:line="259" w:lineRule="auto"/>
            </w:pPr>
            <w:r>
              <w:rPr>
                <w:rFonts w:ascii="Calibri" w:hAnsi="Calibri"/>
                <w:b w:val="0"/>
                <w:i w:val="0"/>
                <w:color w:val="212121"/>
                <w:sz w:val="16"/>
              </w:rPr>
              <w:t>≥ 1/0 lower-zone irregular opacities ± bilateral pleural plaques</w:t>
            </w:r>
          </w:p>
        </w:tc>
        <w:tc>
          <w:tcPr>
            <w:tcW w:type="dxa" w:w="1036"/>
            <w:vAlign w:val="top"/>
          </w:tcPr>
          <w:p>
            <w:pPr>
              <w:spacing w:after="40" w:before="0" w:line="259" w:lineRule="auto"/>
            </w:pPr>
            <w:r>
              <w:rPr>
                <w:rFonts w:ascii="Calibri" w:hAnsi="Calibri"/>
                <w:b w:val="0"/>
                <w:i w:val="0"/>
                <w:color w:val="212121"/>
                <w:sz w:val="16"/>
              </w:rPr>
              <w:t>Screening and grading of parenchymal fibrosis and pleural markers against ILO standard films</w:t>
            </w:r>
          </w:p>
        </w:tc>
        <w:tc>
          <w:tcPr>
            <w:tcW w:type="dxa" w:w="1036"/>
            <w:vAlign w:val="top"/>
          </w:tcPr>
          <w:p>
            <w:pPr>
              <w:spacing w:after="40" w:before="0" w:line="259" w:lineRule="auto"/>
            </w:pPr>
            <w:r>
              <w:rPr>
                <w:rFonts w:ascii="Calibri" w:hAnsi="Calibri"/>
                <w:b w:val="0"/>
                <w:i w:val="0"/>
                <w:color w:val="212121"/>
                <w:sz w:val="16"/>
              </w:rPr>
              <w:t>All exposed &amp; ex-workers on surveillance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Use B-reader / standardised ILO classification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Subpleural reticulation, honeycombing, plaques</w:t>
            </w:r>
          </w:p>
        </w:tc>
        <w:tc>
          <w:tcPr>
            <w:tcW w:type="dxa" w:w="892"/>
            <w:vAlign w:val="top"/>
          </w:tcPr>
          <w:p>
            <w:pPr>
              <w:spacing w:after="40" w:before="0" w:line="259" w:lineRule="auto"/>
            </w:pPr>
            <w:r>
              <w:rPr>
                <w:rFonts w:ascii="Calibri" w:hAnsi="Calibri"/>
                <w:b w:val="0"/>
                <w:i w:val="0"/>
                <w:color w:val="212121"/>
                <w:sz w:val="16"/>
              </w:rPr>
              <w:t>HRCT chest</w:t>
            </w:r>
          </w:p>
        </w:tc>
        <w:tc>
          <w:tcPr>
            <w:tcW w:type="dxa" w:w="950"/>
            <w:vAlign w:val="top"/>
          </w:tcPr>
          <w:p>
            <w:pPr>
              <w:spacing w:after="40" w:before="0" w:line="259" w:lineRule="auto"/>
            </w:pPr>
            <w:r>
              <w:rPr>
                <w:rFonts w:ascii="Calibri" w:hAnsi="Calibri"/>
                <w:b w:val="0"/>
                <w:i w:val="0"/>
                <w:color w:val="212121"/>
                <w:sz w:val="16"/>
              </w:rPr>
              <w:t>No fibrotic or pleural change</w:t>
            </w:r>
          </w:p>
        </w:tc>
        <w:tc>
          <w:tcPr>
            <w:tcW w:type="dxa" w:w="950"/>
            <w:vAlign w:val="top"/>
          </w:tcPr>
          <w:p>
            <w:pPr>
              <w:spacing w:after="40" w:before="0" w:line="259" w:lineRule="auto"/>
            </w:pPr>
            <w:r>
              <w:rPr>
                <w:rFonts w:ascii="Calibri" w:hAnsi="Calibri"/>
                <w:b w:val="0"/>
                <w:i w:val="0"/>
                <w:color w:val="212121"/>
                <w:sz w:val="16"/>
              </w:rPr>
              <w:t>Basal/subpleural reticulation, parenchymal bands, honeycombing (UIP-like), pleural plaques/thickening, rounded atelectasis</w:t>
            </w:r>
          </w:p>
        </w:tc>
        <w:tc>
          <w:tcPr>
            <w:tcW w:type="dxa" w:w="1036"/>
            <w:vAlign w:val="top"/>
          </w:tcPr>
          <w:p>
            <w:pPr>
              <w:spacing w:after="40" w:before="0" w:line="259" w:lineRule="auto"/>
            </w:pPr>
            <w:r>
              <w:rPr>
                <w:rFonts w:ascii="Calibri" w:hAnsi="Calibri"/>
                <w:b w:val="0"/>
                <w:i w:val="0"/>
                <w:color w:val="212121"/>
                <w:sz w:val="16"/>
              </w:rPr>
              <w:t>More sensitive than radiography for early fibrosis, pleural disease and malignancy</w:t>
            </w:r>
          </w:p>
        </w:tc>
        <w:tc>
          <w:tcPr>
            <w:tcW w:type="dxa" w:w="1036"/>
            <w:vAlign w:val="top"/>
          </w:tcPr>
          <w:p>
            <w:pPr>
              <w:spacing w:after="40" w:before="0" w:line="259" w:lineRule="auto"/>
            </w:pPr>
            <w:r>
              <w:rPr>
                <w:rFonts w:ascii="Calibri" w:hAnsi="Calibri"/>
                <w:b w:val="0"/>
                <w:i w:val="0"/>
                <w:color w:val="212121"/>
                <w:sz w:val="16"/>
              </w:rPr>
              <w:t>Symptomatic, CXR-abnormal, malignancy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sensitivity</w:t>
            </w:r>
          </w:p>
        </w:tc>
        <w:tc>
          <w:tcPr>
            <w:tcW w:type="dxa" w:w="720"/>
            <w:vAlign w:val="top"/>
          </w:tcPr>
          <w:p>
            <w:pPr>
              <w:spacing w:after="40" w:before="0" w:line="259" w:lineRule="auto"/>
            </w:pPr>
            <w:r>
              <w:rPr>
                <w:rFonts w:ascii="Calibri" w:hAnsi="Calibri"/>
                <w:b w:val="0"/>
                <w:i w:val="0"/>
                <w:color w:val="212121"/>
                <w:sz w:val="16"/>
              </w:rPr>
              <w:t>Best characterises pattern and complications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FVC, TLC, FEV1/FVC</w:t>
            </w:r>
          </w:p>
        </w:tc>
        <w:tc>
          <w:tcPr>
            <w:tcW w:type="dxa" w:w="892"/>
            <w:vAlign w:val="top"/>
          </w:tcPr>
          <w:p>
            <w:pPr>
              <w:spacing w:after="40" w:before="0" w:line="259" w:lineRule="auto"/>
            </w:pPr>
            <w:r>
              <w:rPr>
                <w:rFonts w:ascii="Calibri" w:hAnsi="Calibri"/>
                <w:b w:val="0"/>
                <w:i w:val="0"/>
                <w:color w:val="212121"/>
                <w:sz w:val="16"/>
              </w:rPr>
              <w:t>Spirometry / lung volumes</w:t>
            </w:r>
          </w:p>
        </w:tc>
        <w:tc>
          <w:tcPr>
            <w:tcW w:type="dxa" w:w="950"/>
            <w:vAlign w:val="top"/>
          </w:tcPr>
          <w:p>
            <w:pPr>
              <w:spacing w:after="40" w:before="0" w:line="259" w:lineRule="auto"/>
            </w:pPr>
            <w:r>
              <w:rPr>
                <w:rFonts w:ascii="Calibri" w:hAnsi="Calibri"/>
                <w:b w:val="0"/>
                <w:i w:val="0"/>
                <w:color w:val="212121"/>
                <w:sz w:val="16"/>
              </w:rPr>
              <w:t>FVC ≥ 80%; FEV1/FVC ≥ 0.70</w:t>
            </w:r>
          </w:p>
        </w:tc>
        <w:tc>
          <w:tcPr>
            <w:tcW w:type="dxa" w:w="950"/>
            <w:vAlign w:val="top"/>
          </w:tcPr>
          <w:p>
            <w:pPr>
              <w:spacing w:after="40" w:before="0" w:line="259" w:lineRule="auto"/>
            </w:pPr>
            <w:r>
              <w:rPr>
                <w:rFonts w:ascii="Calibri" w:hAnsi="Calibri"/>
                <w:b w:val="0"/>
                <w:i w:val="0"/>
                <w:color w:val="212121"/>
                <w:sz w:val="16"/>
              </w:rPr>
              <w:t>Reduced FVC/TLC with preserved or raised ratio (restrictive)</w:t>
            </w:r>
          </w:p>
        </w:tc>
        <w:tc>
          <w:tcPr>
            <w:tcW w:type="dxa" w:w="1036"/>
            <w:vAlign w:val="top"/>
          </w:tcPr>
          <w:p>
            <w:pPr>
              <w:spacing w:after="40" w:before="0" w:line="259" w:lineRule="auto"/>
            </w:pPr>
            <w:r>
              <w:rPr>
                <w:rFonts w:ascii="Calibri" w:hAnsi="Calibri"/>
                <w:b w:val="0"/>
                <w:i w:val="0"/>
                <w:color w:val="212121"/>
                <w:sz w:val="16"/>
              </w:rPr>
              <w:t>Quantifies restrictive impairment; mixed defect if smoking coexists</w:t>
            </w:r>
          </w:p>
        </w:tc>
        <w:tc>
          <w:tcPr>
            <w:tcW w:type="dxa" w:w="1036"/>
            <w:vAlign w:val="top"/>
          </w:tcPr>
          <w:p>
            <w:pPr>
              <w:spacing w:after="40" w:before="0" w:line="259" w:lineRule="auto"/>
            </w:pPr>
            <w:r>
              <w:rPr>
                <w:rFonts w:ascii="Calibri" w:hAnsi="Calibri"/>
                <w:b w:val="0"/>
                <w:i w:val="0"/>
                <w:color w:val="212121"/>
                <w:sz w:val="16"/>
              </w:rPr>
              <w:t>All symptomatic &amp; surveillance workers</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Functional staging</w:t>
            </w:r>
          </w:p>
        </w:tc>
        <w:tc>
          <w:tcPr>
            <w:tcW w:type="dxa" w:w="720"/>
            <w:vAlign w:val="top"/>
          </w:tcPr>
          <w:p>
            <w:pPr>
              <w:spacing w:after="40" w:before="0" w:line="259" w:lineRule="auto"/>
            </w:pPr>
            <w:r>
              <w:rPr>
                <w:rFonts w:ascii="Calibri" w:hAnsi="Calibri"/>
                <w:b w:val="0"/>
                <w:i w:val="0"/>
                <w:color w:val="212121"/>
                <w:sz w:val="16"/>
              </w:rPr>
              <w:t>66% of Mumbai cases had FVC &lt; 80% predicted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Diffusing capacity</w:t>
            </w:r>
          </w:p>
        </w:tc>
        <w:tc>
          <w:tcPr>
            <w:tcW w:type="dxa" w:w="892"/>
            <w:vAlign w:val="top"/>
          </w:tcPr>
          <w:p>
            <w:pPr>
              <w:spacing w:after="40" w:before="0" w:line="259" w:lineRule="auto"/>
            </w:pPr>
            <w:r>
              <w:rPr>
                <w:rFonts w:ascii="Calibri" w:hAnsi="Calibri"/>
                <w:b w:val="0"/>
                <w:i w:val="0"/>
                <w:color w:val="212121"/>
                <w:sz w:val="16"/>
              </w:rPr>
              <w:t>DLCO</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w:t>
            </w:r>
          </w:p>
        </w:tc>
        <w:tc>
          <w:tcPr>
            <w:tcW w:type="dxa" w:w="1036"/>
            <w:vAlign w:val="top"/>
          </w:tcPr>
          <w:p>
            <w:pPr>
              <w:spacing w:after="40" w:before="0" w:line="259" w:lineRule="auto"/>
            </w:pPr>
            <w:r>
              <w:rPr>
                <w:rFonts w:ascii="Calibri" w:hAnsi="Calibri"/>
                <w:b w:val="0"/>
                <w:i w:val="0"/>
                <w:color w:val="212121"/>
                <w:sz w:val="16"/>
              </w:rPr>
              <w:t>Impaired gas transfer; often the earliest functional abnormality</w:t>
            </w:r>
          </w:p>
        </w:tc>
        <w:tc>
          <w:tcPr>
            <w:tcW w:type="dxa" w:w="1036"/>
            <w:vAlign w:val="top"/>
          </w:tcPr>
          <w:p>
            <w:pPr>
              <w:spacing w:after="40" w:before="0" w:line="259" w:lineRule="auto"/>
            </w:pPr>
            <w:r>
              <w:rPr>
                <w:rFonts w:ascii="Calibri" w:hAnsi="Calibri"/>
                <w:b w:val="0"/>
                <w:i w:val="0"/>
                <w:color w:val="212121"/>
                <w:sz w:val="16"/>
              </w:rPr>
              <w:t>Symptomatic / early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Low DLCO tracks fibrosis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SpO₂, PaO₂, PaCO₂</w:t>
            </w:r>
          </w:p>
        </w:tc>
        <w:tc>
          <w:tcPr>
            <w:tcW w:type="dxa" w:w="892"/>
            <w:vAlign w:val="top"/>
          </w:tcPr>
          <w:p>
            <w:pPr>
              <w:spacing w:after="40" w:before="0" w:line="259" w:lineRule="auto"/>
            </w:pPr>
            <w:r>
              <w:rPr>
                <w:rFonts w:ascii="Calibri" w:hAnsi="Calibri"/>
                <w:b w:val="0"/>
                <w:i w:val="0"/>
                <w:color w:val="212121"/>
                <w:sz w:val="16"/>
              </w:rPr>
              <w:t>Pulse oximetry / ABG</w:t>
            </w:r>
          </w:p>
        </w:tc>
        <w:tc>
          <w:tcPr>
            <w:tcW w:type="dxa" w:w="950"/>
            <w:vAlign w:val="top"/>
          </w:tcPr>
          <w:p>
            <w:pPr>
              <w:spacing w:after="40" w:before="0" w:line="259" w:lineRule="auto"/>
            </w:pPr>
            <w:r>
              <w:rPr>
                <w:rFonts w:ascii="Calibri" w:hAnsi="Calibri"/>
                <w:b w:val="0"/>
                <w:i w:val="0"/>
                <w:color w:val="212121"/>
                <w:sz w:val="16"/>
              </w:rPr>
              <w:t>SpO₂ ≥ 95%</w:t>
            </w:r>
          </w:p>
        </w:tc>
        <w:tc>
          <w:tcPr>
            <w:tcW w:type="dxa" w:w="950"/>
            <w:vAlign w:val="top"/>
          </w:tcPr>
          <w:p>
            <w:pPr>
              <w:spacing w:after="40" w:before="0" w:line="259" w:lineRule="auto"/>
            </w:pPr>
            <w:r>
              <w:rPr>
                <w:rFonts w:ascii="Calibri" w:hAnsi="Calibri"/>
                <w:b w:val="0"/>
                <w:i w:val="0"/>
                <w:color w:val="212121"/>
                <w:sz w:val="16"/>
              </w:rPr>
              <w:t>SpO₂ &lt; 92%; hypoxaemia ± hypercapnia</w:t>
            </w:r>
          </w:p>
        </w:tc>
        <w:tc>
          <w:tcPr>
            <w:tcW w:type="dxa" w:w="1036"/>
            <w:vAlign w:val="top"/>
          </w:tcPr>
          <w:p>
            <w:pPr>
              <w:spacing w:after="40" w:before="0" w:line="259" w:lineRule="auto"/>
            </w:pPr>
            <w:r>
              <w:rPr>
                <w:rFonts w:ascii="Calibri" w:hAnsi="Calibri"/>
                <w:b w:val="0"/>
                <w:i w:val="0"/>
                <w:color w:val="212121"/>
                <w:sz w:val="16"/>
              </w:rPr>
              <w:t>Detects respiratory failure and need for oxygen</w:t>
            </w:r>
          </w:p>
        </w:tc>
        <w:tc>
          <w:tcPr>
            <w:tcW w:type="dxa" w:w="1036"/>
            <w:vAlign w:val="top"/>
          </w:tcPr>
          <w:p>
            <w:pPr>
              <w:spacing w:after="40" w:before="0" w:line="259" w:lineRule="auto"/>
            </w:pPr>
            <w:r>
              <w:rPr>
                <w:rFonts w:ascii="Calibri" w:hAnsi="Calibri"/>
                <w:b w:val="0"/>
                <w:i w:val="0"/>
                <w:color w:val="212121"/>
                <w:sz w:val="16"/>
              </w:rPr>
              <w:t>Advanced asbestosis, cor pulmonale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Guides oxygen therapy</w:t>
            </w:r>
          </w:p>
        </w:tc>
        <w:tc>
          <w:tcPr>
            <w:tcW w:type="dxa" w:w="720"/>
            <w:vAlign w:val="top"/>
          </w:tcPr>
          <w:p>
            <w:pPr>
              <w:spacing w:after="40" w:before="0" w:line="259" w:lineRule="auto"/>
            </w:pPr>
            <w:r>
              <w:rPr>
                <w:rFonts w:ascii="Calibri" w:hAnsi="Calibri"/>
                <w:b w:val="0"/>
                <w:i w:val="0"/>
                <w:color w:val="212121"/>
                <w:sz w:val="16"/>
              </w:rPr>
              <w:t>Exertional desaturation may precede resting hypoxaemia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 / histopathology</w:t>
            </w:r>
          </w:p>
        </w:tc>
        <w:tc>
          <w:tcPr>
            <w:tcW w:type="dxa" w:w="1036"/>
            <w:vAlign w:val="top"/>
          </w:tcPr>
          <w:p>
            <w:pPr>
              <w:spacing w:after="40" w:before="0" w:line="259" w:lineRule="auto"/>
            </w:pPr>
            <w:r>
              <w:rPr>
                <w:rFonts w:ascii="Calibri" w:hAnsi="Calibri"/>
                <w:b w:val="0"/>
                <w:i w:val="0"/>
                <w:color w:val="212121"/>
                <w:sz w:val="16"/>
              </w:rPr>
              <w:t>Asbestos (ferruginous) bodies; malignant cells</w:t>
            </w:r>
          </w:p>
        </w:tc>
        <w:tc>
          <w:tcPr>
            <w:tcW w:type="dxa" w:w="892"/>
            <w:vAlign w:val="top"/>
          </w:tcPr>
          <w:p>
            <w:pPr>
              <w:spacing w:after="40" w:before="0" w:line="259" w:lineRule="auto"/>
            </w:pPr>
            <w:r>
              <w:rPr>
                <w:rFonts w:ascii="Calibri" w:hAnsi="Calibri"/>
                <w:b w:val="0"/>
                <w:i w:val="0"/>
                <w:color w:val="212121"/>
                <w:sz w:val="16"/>
              </w:rPr>
              <w:t>BAL / pleural fluid cytology / lung or pleural biopsy</w:t>
            </w:r>
          </w:p>
        </w:tc>
        <w:tc>
          <w:tcPr>
            <w:tcW w:type="dxa" w:w="950"/>
            <w:vAlign w:val="top"/>
          </w:tcPr>
          <w:p>
            <w:pPr>
              <w:spacing w:after="40" w:before="0" w:line="259" w:lineRule="auto"/>
            </w:pPr>
            <w:r>
              <w:rPr>
                <w:rFonts w:ascii="Calibri" w:hAnsi="Calibri"/>
                <w:b w:val="0"/>
                <w:i w:val="0"/>
                <w:color w:val="212121"/>
                <w:sz w:val="16"/>
              </w:rPr>
              <w:t>No asbestos bodies; no malignancy</w:t>
            </w:r>
          </w:p>
        </w:tc>
        <w:tc>
          <w:tcPr>
            <w:tcW w:type="dxa" w:w="950"/>
            <w:vAlign w:val="top"/>
          </w:tcPr>
          <w:p>
            <w:pPr>
              <w:spacing w:after="40" w:before="0" w:line="259" w:lineRule="auto"/>
            </w:pPr>
            <w:r>
              <w:rPr>
                <w:rFonts w:ascii="Calibri" w:hAnsi="Calibri"/>
                <w:b w:val="0"/>
                <w:i w:val="0"/>
                <w:color w:val="212121"/>
                <w:sz w:val="16"/>
              </w:rPr>
              <w:t>≥ 2 asbestos bodies/cm² or raised fibre count; malignant cells</w:t>
            </w:r>
          </w:p>
        </w:tc>
        <w:tc>
          <w:tcPr>
            <w:tcW w:type="dxa" w:w="1036"/>
            <w:vAlign w:val="top"/>
          </w:tcPr>
          <w:p>
            <w:pPr>
              <w:spacing w:after="40" w:before="0" w:line="259" w:lineRule="auto"/>
            </w:pPr>
            <w:r>
              <w:rPr>
                <w:rFonts w:ascii="Calibri" w:hAnsi="Calibri"/>
                <w:b w:val="0"/>
                <w:i w:val="0"/>
                <w:color w:val="212121"/>
                <w:sz w:val="16"/>
              </w:rPr>
              <w:t>Confirms fibre burden (Helsinki) and diagnoses mesothelioma/lung cancer</w:t>
            </w:r>
          </w:p>
        </w:tc>
        <w:tc>
          <w:tcPr>
            <w:tcW w:type="dxa" w:w="1036"/>
            <w:vAlign w:val="top"/>
          </w:tcPr>
          <w:p>
            <w:pPr>
              <w:spacing w:after="40" w:before="0" w:line="259" w:lineRule="auto"/>
            </w:pPr>
            <w:r>
              <w:rPr>
                <w:rFonts w:ascii="Calibri" w:hAnsi="Calibri"/>
                <w:b w:val="0"/>
                <w:i w:val="0"/>
                <w:color w:val="212121"/>
                <w:sz w:val="16"/>
              </w:rPr>
              <w:t>Uncertain diagnosis; suspected malignancy or effusion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Biopsy rarely needed if imaging is typical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AFB smear / CBNAAT (GeneXpert)</w:t>
            </w:r>
          </w:p>
        </w:tc>
        <w:tc>
          <w:tcPr>
            <w:tcW w:type="dxa" w:w="892"/>
            <w:vAlign w:val="top"/>
          </w:tcPr>
          <w:p>
            <w:pPr>
              <w:spacing w:after="40" w:before="0" w:line="259" w:lineRule="auto"/>
            </w:pPr>
            <w:r>
              <w:rPr>
                <w:rFonts w:ascii="Calibri" w:hAnsi="Calibri"/>
                <w:b w:val="0"/>
                <w:i w:val="0"/>
                <w:color w:val="212121"/>
                <w:sz w:val="16"/>
              </w:rPr>
              <w:t>Sputum for tuberculosis</w:t>
            </w:r>
          </w:p>
        </w:tc>
        <w:tc>
          <w:tcPr>
            <w:tcW w:type="dxa" w:w="950"/>
            <w:vAlign w:val="top"/>
          </w:tcPr>
          <w:p>
            <w:pPr>
              <w:spacing w:after="40" w:before="0" w:line="259" w:lineRule="auto"/>
            </w:pPr>
            <w:r>
              <w:rPr>
                <w:rFonts w:ascii="Calibri" w:hAnsi="Calibri"/>
                <w:b w:val="0"/>
                <w:i w:val="0"/>
                <w:color w:val="212121"/>
                <w:sz w:val="16"/>
              </w:rPr>
              <w:t>No mycobacteria detected</w:t>
            </w:r>
          </w:p>
        </w:tc>
        <w:tc>
          <w:tcPr>
            <w:tcW w:type="dxa" w:w="950"/>
            <w:vAlign w:val="top"/>
          </w:tcPr>
          <w:p>
            <w:pPr>
              <w:spacing w:after="40" w:before="0" w:line="259" w:lineRule="auto"/>
            </w:pPr>
            <w:r>
              <w:rPr>
                <w:rFonts w:ascii="Calibri" w:hAnsi="Calibri"/>
                <w:b w:val="0"/>
                <w:i w:val="0"/>
                <w:color w:val="212121"/>
                <w:sz w:val="16"/>
              </w:rPr>
              <w:t>AFB or MTB-positive</w:t>
            </w:r>
          </w:p>
        </w:tc>
        <w:tc>
          <w:tcPr>
            <w:tcW w:type="dxa" w:w="1036"/>
            <w:vAlign w:val="top"/>
          </w:tcPr>
          <w:p>
            <w:pPr>
              <w:spacing w:after="40" w:before="0" w:line="259" w:lineRule="auto"/>
            </w:pPr>
            <w:r>
              <w:rPr>
                <w:rFonts w:ascii="Calibri" w:hAnsi="Calibri"/>
                <w:b w:val="0"/>
                <w:i w:val="0"/>
                <w:color w:val="212121"/>
                <w:sz w:val="16"/>
              </w:rPr>
              <w:t>Excludes/confirms pulmonary TB mimicking or complicating fibrosis</w:t>
            </w:r>
          </w:p>
        </w:tc>
        <w:tc>
          <w:tcPr>
            <w:tcW w:type="dxa" w:w="1036"/>
            <w:vAlign w:val="top"/>
          </w:tcPr>
          <w:p>
            <w:pPr>
              <w:spacing w:after="40" w:before="0" w:line="259" w:lineRule="auto"/>
            </w:pPr>
            <w:r>
              <w:rPr>
                <w:rFonts w:ascii="Calibri" w:hAnsi="Calibri"/>
                <w:b w:val="0"/>
                <w:i w:val="0"/>
                <w:color w:val="212121"/>
                <w:sz w:val="16"/>
              </w:rPr>
              <w:t>Workers with fever, weight loss, haemoptysis or new opacities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India</w:t>
            </w:r>
          </w:p>
        </w:tc>
        <w:tc>
          <w:tcPr>
            <w:tcW w:type="dxa" w:w="720"/>
            <w:vAlign w:val="top"/>
          </w:tcPr>
          <w:p>
            <w:pPr>
              <w:spacing w:after="40" w:before="0" w:line="259" w:lineRule="auto"/>
            </w:pPr>
            <w:r>
              <w:rPr>
                <w:rFonts w:ascii="Calibri" w:hAnsi="Calibri"/>
                <w:b w:val="0"/>
                <w:i w:val="0"/>
                <w:color w:val="212121"/>
                <w:sz w:val="16"/>
              </w:rPr>
              <w:t>High TB burden in exposed workers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Environmental</w:t>
            </w:r>
          </w:p>
        </w:tc>
        <w:tc>
          <w:tcPr>
            <w:tcW w:type="dxa" w:w="1036"/>
            <w:vAlign w:val="top"/>
          </w:tcPr>
          <w:p>
            <w:pPr>
              <w:spacing w:after="40" w:before="0" w:line="259" w:lineRule="auto"/>
            </w:pPr>
            <w:r>
              <w:rPr>
                <w:rFonts w:ascii="Calibri" w:hAnsi="Calibri"/>
                <w:b w:val="0"/>
                <w:i w:val="0"/>
                <w:color w:val="212121"/>
                <w:sz w:val="16"/>
              </w:rPr>
              <w:t>Respirable asbestos-fibre count</w:t>
            </w:r>
          </w:p>
        </w:tc>
        <w:tc>
          <w:tcPr>
            <w:tcW w:type="dxa" w:w="892"/>
            <w:vAlign w:val="top"/>
          </w:tcPr>
          <w:p>
            <w:pPr>
              <w:spacing w:after="40" w:before="0" w:line="259" w:lineRule="auto"/>
            </w:pPr>
            <w:r>
              <w:rPr>
                <w:rFonts w:ascii="Calibri" w:hAnsi="Calibri"/>
                <w:b w:val="0"/>
                <w:i w:val="0"/>
                <w:color w:val="212121"/>
                <w:sz w:val="16"/>
              </w:rPr>
              <w:t>Personal / area fibre monitoring</w:t>
            </w:r>
          </w:p>
        </w:tc>
        <w:tc>
          <w:tcPr>
            <w:tcW w:type="dxa" w:w="950"/>
            <w:vAlign w:val="top"/>
          </w:tcPr>
          <w:p>
            <w:pPr>
              <w:spacing w:after="40" w:before="0" w:line="259" w:lineRule="auto"/>
            </w:pPr>
            <w:r>
              <w:rPr>
                <w:rFonts w:ascii="Calibri" w:hAnsi="Calibri"/>
                <w:b w:val="0"/>
                <w:i w:val="0"/>
                <w:color w:val="212121"/>
                <w:sz w:val="16"/>
              </w:rPr>
              <w:t>≤ 0.1 fibre/cc (8-h TWA)</w:t>
            </w:r>
          </w:p>
        </w:tc>
        <w:tc>
          <w:tcPr>
            <w:tcW w:type="dxa" w:w="950"/>
            <w:vAlign w:val="top"/>
          </w:tcPr>
          <w:p>
            <w:pPr>
              <w:spacing w:after="40" w:before="0" w:line="259" w:lineRule="auto"/>
            </w:pPr>
            <w:r>
              <w:rPr>
                <w:rFonts w:ascii="Calibri" w:hAnsi="Calibri"/>
                <w:b w:val="0"/>
                <w:i w:val="0"/>
                <w:color w:val="212121"/>
                <w:sz w:val="16"/>
              </w:rPr>
              <w:t>&gt; 0.1 fibre/cc</w:t>
            </w:r>
          </w:p>
        </w:tc>
        <w:tc>
          <w:tcPr>
            <w:tcW w:type="dxa" w:w="1036"/>
            <w:vAlign w:val="top"/>
          </w:tcPr>
          <w:p>
            <w:pPr>
              <w:spacing w:after="40" w:before="0" w:line="259" w:lineRule="auto"/>
            </w:pPr>
            <w:r>
              <w:rPr>
                <w:rFonts w:ascii="Calibri" w:hAnsi="Calibri"/>
                <w:b w:val="0"/>
                <w:i w:val="0"/>
                <w:color w:val="212121"/>
                <w:sz w:val="16"/>
              </w:rPr>
              <w:t>Verifies exposure and drives engineering controls</w:t>
            </w:r>
          </w:p>
        </w:tc>
        <w:tc>
          <w:tcPr>
            <w:tcW w:type="dxa" w:w="1036"/>
            <w:vAlign w:val="top"/>
          </w:tcPr>
          <w:p>
            <w:pPr>
              <w:spacing w:after="40" w:before="0" w:line="259" w:lineRule="auto"/>
            </w:pPr>
            <w:r>
              <w:rPr>
                <w:rFonts w:ascii="Calibri" w:hAnsi="Calibri"/>
                <w:b w:val="0"/>
                <w:i w:val="0"/>
                <w:color w:val="212121"/>
                <w:sz w:val="16"/>
              </w:rPr>
              <w:t>Cutting, milling, mixing, demolition zones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Prevention</w:t>
            </w:r>
          </w:p>
        </w:tc>
        <w:tc>
          <w:tcPr>
            <w:tcW w:type="dxa" w:w="720"/>
            <w:vAlign w:val="top"/>
          </w:tcPr>
          <w:p>
            <w:pPr>
              <w:spacing w:after="40" w:before="0" w:line="259" w:lineRule="auto"/>
            </w:pPr>
            <w:r>
              <w:rPr>
                <w:rFonts w:ascii="Calibri" w:hAnsi="Calibri"/>
                <w:b w:val="0"/>
                <w:i w:val="0"/>
                <w:color w:val="212121"/>
                <w:sz w:val="16"/>
              </w:rPr>
              <w:t>India OEL; 15/50 plants exceeded it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RV strain / pulmonary pressures</w:t>
            </w:r>
          </w:p>
        </w:tc>
        <w:tc>
          <w:tcPr>
            <w:tcW w:type="dxa" w:w="892"/>
            <w:vAlign w:val="top"/>
          </w:tcPr>
          <w:p>
            <w:pPr>
              <w:spacing w:after="40" w:before="0" w:line="259" w:lineRule="auto"/>
            </w:pPr>
            <w:r>
              <w:rPr>
                <w:rFonts w:ascii="Calibri" w:hAnsi="Calibri"/>
                <w:b w:val="0"/>
                <w:i w:val="0"/>
                <w:color w:val="212121"/>
                <w:sz w:val="16"/>
              </w:rPr>
              <w:t>ECG &amp; echocardiography</w:t>
            </w:r>
          </w:p>
        </w:tc>
        <w:tc>
          <w:tcPr>
            <w:tcW w:type="dxa" w:w="950"/>
            <w:vAlign w:val="top"/>
          </w:tcPr>
          <w:p>
            <w:pPr>
              <w:spacing w:after="40" w:before="0" w:line="259" w:lineRule="auto"/>
            </w:pPr>
            <w:r>
              <w:rPr>
                <w:rFonts w:ascii="Calibri" w:hAnsi="Calibri"/>
                <w:b w:val="0"/>
                <w:i w:val="0"/>
                <w:color w:val="212121"/>
                <w:sz w:val="16"/>
              </w:rPr>
              <w:t>No RV strain; normal PASP</w:t>
            </w:r>
          </w:p>
        </w:tc>
        <w:tc>
          <w:tcPr>
            <w:tcW w:type="dxa" w:w="950"/>
            <w:vAlign w:val="top"/>
          </w:tcPr>
          <w:p>
            <w:pPr>
              <w:spacing w:after="40" w:before="0" w:line="259" w:lineRule="auto"/>
            </w:pPr>
            <w:r>
              <w:rPr>
                <w:rFonts w:ascii="Calibri" w:hAnsi="Calibri"/>
                <w:b w:val="0"/>
                <w:i w:val="0"/>
                <w:color w:val="212121"/>
                <w:sz w:val="16"/>
              </w:rPr>
              <w:t>RV hypertrophy, elevated pulmonary pressures</w:t>
            </w:r>
          </w:p>
        </w:tc>
        <w:tc>
          <w:tcPr>
            <w:tcW w:type="dxa" w:w="1036"/>
            <w:vAlign w:val="top"/>
          </w:tcPr>
          <w:p>
            <w:pPr>
              <w:spacing w:after="40" w:before="0" w:line="259" w:lineRule="auto"/>
            </w:pPr>
            <w:r>
              <w:rPr>
                <w:rFonts w:ascii="Calibri" w:hAnsi="Calibri"/>
                <w:b w:val="0"/>
                <w:i w:val="0"/>
                <w:color w:val="212121"/>
                <w:sz w:val="16"/>
              </w:rPr>
              <w:t>Identifies pulmonary hypertension and cor pulmonale</w:t>
            </w:r>
          </w:p>
        </w:tc>
        <w:tc>
          <w:tcPr>
            <w:tcW w:type="dxa" w:w="1036"/>
            <w:vAlign w:val="top"/>
          </w:tcPr>
          <w:p>
            <w:pPr>
              <w:spacing w:after="40" w:before="0" w:line="259" w:lineRule="auto"/>
            </w:pPr>
            <w:r>
              <w:rPr>
                <w:rFonts w:ascii="Calibri" w:hAnsi="Calibri"/>
                <w:b w:val="0"/>
                <w:i w:val="0"/>
                <w:color w:val="212121"/>
                <w:sz w:val="16"/>
              </w:rPr>
              <w:t>Advanced asbestosis with hypoxaemia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Loud P2, oedema clinically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exposure history</w:t>
            </w:r>
          </w:p>
        </w:tc>
        <w:tc>
          <w:tcPr>
            <w:tcW w:type="dxa" w:w="979"/>
            <w:vAlign w:val="top"/>
          </w:tcPr>
          <w:p>
            <w:pPr>
              <w:spacing w:after="40" w:before="0" w:line="259" w:lineRule="auto"/>
            </w:pPr>
            <w:r>
              <w:rPr>
                <w:rFonts w:ascii="Calibri" w:hAnsi="Calibri"/>
                <w:b w:val="0"/>
                <w:i w:val="0"/>
                <w:color w:val="212121"/>
                <w:sz w:val="16"/>
              </w:rPr>
              <w:t>Years, industry, take-home &amp; environmental exposure</w:t>
            </w:r>
          </w:p>
        </w:tc>
        <w:tc>
          <w:tcPr>
            <w:tcW w:type="dxa" w:w="950"/>
            <w:vAlign w:val="top"/>
          </w:tcPr>
          <w:p>
            <w:pPr>
              <w:spacing w:after="40" w:before="0" w:line="259" w:lineRule="auto"/>
            </w:pPr>
            <w:r>
              <w:rPr>
                <w:rFonts w:ascii="Calibri" w:hAnsi="Calibri"/>
                <w:b w:val="0"/>
                <w:i w:val="0"/>
                <w:color w:val="212121"/>
                <w:sz w:val="16"/>
              </w:rPr>
              <w:t>No/short asbestos exposure</w:t>
            </w:r>
          </w:p>
        </w:tc>
        <w:tc>
          <w:tcPr>
            <w:tcW w:type="dxa" w:w="950"/>
            <w:vAlign w:val="top"/>
          </w:tcPr>
          <w:p>
            <w:pPr>
              <w:spacing w:after="40" w:before="0" w:line="259" w:lineRule="auto"/>
            </w:pPr>
            <w:r>
              <w:rPr>
                <w:rFonts w:ascii="Calibri" w:hAnsi="Calibri"/>
                <w:b w:val="0"/>
                <w:i w:val="0"/>
                <w:color w:val="212121"/>
                <w:sz w:val="16"/>
              </w:rPr>
              <w:t>≥ 15–20 years' asbestos exposure with latency</w:t>
            </w:r>
          </w:p>
        </w:tc>
        <w:tc>
          <w:tcPr>
            <w:tcW w:type="dxa" w:w="1036"/>
            <w:vAlign w:val="top"/>
          </w:tcPr>
          <w:p>
            <w:pPr>
              <w:spacing w:after="40" w:before="0" w:line="259" w:lineRule="auto"/>
            </w:pPr>
            <w:r>
              <w:rPr>
                <w:rFonts w:ascii="Calibri" w:hAnsi="Calibri"/>
                <w:b w:val="0"/>
                <w:i w:val="0"/>
                <w:color w:val="212121"/>
                <w:sz w:val="16"/>
              </w:rPr>
              <w:t>Establishes exposure and latency — the cornerstone of diagnosis</w:t>
            </w:r>
          </w:p>
        </w:tc>
        <w:tc>
          <w:tcPr>
            <w:tcW w:type="dxa" w:w="1036"/>
            <w:vAlign w:val="top"/>
          </w:tcPr>
          <w:p>
            <w:pPr>
              <w:spacing w:after="40" w:before="0" w:line="259" w:lineRule="auto"/>
            </w:pPr>
            <w:r>
              <w:rPr>
                <w:rFonts w:ascii="Calibri" w:hAnsi="Calibri"/>
                <w:b w:val="0"/>
                <w:i w:val="0"/>
                <w:color w:val="212121"/>
                <w:sz w:val="16"/>
              </w:rPr>
              <w:t>All exposed workers &amp; ex-workers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 cornerstone</w:t>
            </w:r>
          </w:p>
        </w:tc>
        <w:tc>
          <w:tcPr>
            <w:tcW w:type="dxa" w:w="720"/>
            <w:vAlign w:val="top"/>
          </w:tcPr>
          <w:p>
            <w:pPr>
              <w:spacing w:after="40" w:before="0" w:line="259" w:lineRule="auto"/>
            </w:pPr>
            <w:r>
              <w:rPr>
                <w:rFonts w:ascii="Calibri" w:hAnsi="Calibri"/>
                <w:b w:val="0"/>
                <w:i w:val="0"/>
                <w:color w:val="212121"/>
                <w:sz w:val="16"/>
              </w:rPr>
              <w:t>Record industry, fibre type and PPE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Respiratory symptoms</w:t>
            </w:r>
          </w:p>
        </w:tc>
        <w:tc>
          <w:tcPr>
            <w:tcW w:type="dxa" w:w="979"/>
            <w:vAlign w:val="top"/>
          </w:tcPr>
          <w:p>
            <w:pPr>
              <w:spacing w:after="40" w:before="0" w:line="259" w:lineRule="auto"/>
            </w:pPr>
            <w:r>
              <w:rPr>
                <w:rFonts w:ascii="Calibri" w:hAnsi="Calibri"/>
                <w:b w:val="0"/>
                <w:i w:val="0"/>
                <w:color w:val="212121"/>
                <w:sz w:val="16"/>
              </w:rPr>
              <w:t>Dyspnoea (mMRC), dry cough, chest discomfort</w:t>
            </w:r>
          </w:p>
        </w:tc>
        <w:tc>
          <w:tcPr>
            <w:tcW w:type="dxa" w:w="950"/>
            <w:vAlign w:val="top"/>
          </w:tcPr>
          <w:p>
            <w:pPr>
              <w:spacing w:after="40" w:before="0" w:line="259" w:lineRule="auto"/>
            </w:pPr>
            <w:r>
              <w:rPr>
                <w:rFonts w:ascii="Calibri" w:hAnsi="Calibri"/>
                <w:b w:val="0"/>
                <w:i w:val="0"/>
                <w:color w:val="212121"/>
                <w:sz w:val="16"/>
              </w:rPr>
              <w:t>No respiratory symptoms</w:t>
            </w:r>
          </w:p>
        </w:tc>
        <w:tc>
          <w:tcPr>
            <w:tcW w:type="dxa" w:w="950"/>
            <w:vAlign w:val="top"/>
          </w:tcPr>
          <w:p>
            <w:pPr>
              <w:spacing w:after="40" w:before="0" w:line="259" w:lineRule="auto"/>
            </w:pPr>
            <w:r>
              <w:rPr>
                <w:rFonts w:ascii="Calibri" w:hAnsi="Calibri"/>
                <w:b w:val="0"/>
                <w:i w:val="0"/>
                <w:color w:val="212121"/>
                <w:sz w:val="16"/>
              </w:rPr>
              <w:t>Progressive exertional dyspnoea, dry cough</w:t>
            </w:r>
          </w:p>
        </w:tc>
        <w:tc>
          <w:tcPr>
            <w:tcW w:type="dxa" w:w="1036"/>
            <w:vAlign w:val="top"/>
          </w:tcPr>
          <w:p>
            <w:pPr>
              <w:spacing w:after="40" w:before="0" w:line="259" w:lineRule="auto"/>
            </w:pPr>
            <w:r>
              <w:rPr>
                <w:rFonts w:ascii="Calibri" w:hAnsi="Calibri"/>
                <w:b w:val="0"/>
                <w:i w:val="0"/>
                <w:color w:val="212121"/>
                <w:sz w:val="16"/>
              </w:rPr>
              <w:t>Graded breathlessness tracks functional impairment</w:t>
            </w:r>
          </w:p>
        </w:tc>
        <w:tc>
          <w:tcPr>
            <w:tcW w:type="dxa" w:w="1036"/>
            <w:vAlign w:val="top"/>
          </w:tcPr>
          <w:p>
            <w:pPr>
              <w:spacing w:after="40" w:before="0" w:line="259" w:lineRule="auto"/>
            </w:pPr>
            <w:r>
              <w:rPr>
                <w:rFonts w:ascii="Calibri" w:hAnsi="Calibri"/>
                <w:b w:val="0"/>
                <w:i w:val="0"/>
                <w:color w:val="212121"/>
                <w:sz w:val="16"/>
              </w:rPr>
              <w:t>Symptomatic workers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are insidious and slowly progressive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Pack-years / bidi use</w:t>
            </w:r>
          </w:p>
        </w:tc>
        <w:tc>
          <w:tcPr>
            <w:tcW w:type="dxa" w:w="950"/>
            <w:vAlign w:val="top"/>
          </w:tcPr>
          <w:p>
            <w:pPr>
              <w:spacing w:after="40" w:before="0" w:line="259" w:lineRule="auto"/>
            </w:pPr>
            <w:r>
              <w:rPr>
                <w:rFonts w:ascii="Calibri" w:hAnsi="Calibri"/>
                <w:b w:val="0"/>
                <w:i w:val="0"/>
                <w:color w:val="212121"/>
                <w:sz w:val="16"/>
              </w:rPr>
              <w:t>Never-smoker</w:t>
            </w:r>
          </w:p>
        </w:tc>
        <w:tc>
          <w:tcPr>
            <w:tcW w:type="dxa" w:w="950"/>
            <w:vAlign w:val="top"/>
          </w:tcPr>
          <w:p>
            <w:pPr>
              <w:spacing w:after="40" w:before="0" w:line="259" w:lineRule="auto"/>
            </w:pPr>
            <w:r>
              <w:rPr>
                <w:rFonts w:ascii="Calibri" w:hAnsi="Calibri"/>
                <w:b w:val="0"/>
                <w:i w:val="0"/>
                <w:color w:val="212121"/>
                <w:sz w:val="16"/>
              </w:rPr>
              <w:t>Current or heavy past smoking</w:t>
            </w:r>
          </w:p>
        </w:tc>
        <w:tc>
          <w:tcPr>
            <w:tcW w:type="dxa" w:w="1036"/>
            <w:vAlign w:val="top"/>
          </w:tcPr>
          <w:p>
            <w:pPr>
              <w:spacing w:after="40" w:before="0" w:line="259" w:lineRule="auto"/>
            </w:pPr>
            <w:r>
              <w:rPr>
                <w:rFonts w:ascii="Calibri" w:hAnsi="Calibri"/>
                <w:b w:val="0"/>
                <w:i w:val="0"/>
                <w:color w:val="212121"/>
                <w:sz w:val="16"/>
              </w:rPr>
              <w:t>Quantifies multiplicative lung-cancer and COPD risk</w:t>
            </w:r>
          </w:p>
        </w:tc>
        <w:tc>
          <w:tcPr>
            <w:tcW w:type="dxa" w:w="1036"/>
            <w:vAlign w:val="top"/>
          </w:tcPr>
          <w:p>
            <w:pPr>
              <w:spacing w:after="40" w:before="0" w:line="259" w:lineRule="auto"/>
            </w:pPr>
            <w:r>
              <w:rPr>
                <w:rFonts w:ascii="Calibri" w:hAnsi="Calibri"/>
                <w:b w:val="0"/>
                <w:i w:val="0"/>
                <w:color w:val="212121"/>
                <w:sz w:val="16"/>
              </w:rPr>
              <w:t>Workers who smoke</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Priority target for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 malignancy screen</w:t>
            </w:r>
          </w:p>
        </w:tc>
        <w:tc>
          <w:tcPr>
            <w:tcW w:type="dxa" w:w="979"/>
            <w:vAlign w:val="top"/>
          </w:tcPr>
          <w:p>
            <w:pPr>
              <w:spacing w:after="40" w:before="0" w:line="259" w:lineRule="auto"/>
            </w:pPr>
            <w:r>
              <w:rPr>
                <w:rFonts w:ascii="Calibri" w:hAnsi="Calibri"/>
                <w:b w:val="0"/>
                <w:i w:val="0"/>
                <w:color w:val="212121"/>
                <w:sz w:val="16"/>
              </w:rPr>
              <w:t>Weight loss, haemoptysis, chest-wall pain, fever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Flags lung cancer, mesothelioma or tuberculosis needing workup</w:t>
            </w:r>
          </w:p>
        </w:tc>
        <w:tc>
          <w:tcPr>
            <w:tcW w:type="dxa" w:w="1036"/>
            <w:vAlign w:val="top"/>
          </w:tcPr>
          <w:p>
            <w:pPr>
              <w:spacing w:after="40" w:before="0" w:line="259" w:lineRule="auto"/>
            </w:pPr>
            <w:r>
              <w:rPr>
                <w:rFonts w:ascii="Calibri" w:hAnsi="Calibri"/>
                <w:b w:val="0"/>
                <w:i w:val="0"/>
                <w:color w:val="212121"/>
                <w:sz w:val="16"/>
              </w:rPr>
              <w:t>Workers with new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screening</w:t>
            </w:r>
          </w:p>
        </w:tc>
        <w:tc>
          <w:tcPr>
            <w:tcW w:type="dxa" w:w="720"/>
            <w:vAlign w:val="top"/>
          </w:tcPr>
          <w:p>
            <w:pPr>
              <w:spacing w:after="40" w:before="0" w:line="259" w:lineRule="auto"/>
            </w:pPr>
            <w:r>
              <w:rPr>
                <w:rFonts w:ascii="Calibri" w:hAnsi="Calibri"/>
                <w:b w:val="0"/>
                <w:i w:val="0"/>
                <w:color w:val="212121"/>
                <w:sz w:val="16"/>
              </w:rPr>
              <w:t>Chest-wall pain suggests mesothelioma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Fine bibasilar end-inspiratory crackles, expansion</w:t>
            </w:r>
          </w:p>
        </w:tc>
        <w:tc>
          <w:tcPr>
            <w:tcW w:type="dxa" w:w="950"/>
            <w:vAlign w:val="top"/>
          </w:tcPr>
          <w:p>
            <w:pPr>
              <w:spacing w:after="40" w:before="0" w:line="259" w:lineRule="auto"/>
            </w:pPr>
            <w:r>
              <w:rPr>
                <w:rFonts w:ascii="Calibri" w:hAnsi="Calibri"/>
                <w:b w:val="0"/>
                <w:i w:val="0"/>
                <w:color w:val="212121"/>
                <w:sz w:val="16"/>
              </w:rPr>
              <w:t>Clear, normal expansion</w:t>
            </w:r>
          </w:p>
        </w:tc>
        <w:tc>
          <w:tcPr>
            <w:tcW w:type="dxa" w:w="950"/>
            <w:vAlign w:val="top"/>
          </w:tcPr>
          <w:p>
            <w:pPr>
              <w:spacing w:after="40" w:before="0" w:line="259" w:lineRule="auto"/>
            </w:pPr>
            <w:r>
              <w:rPr>
                <w:rFonts w:ascii="Calibri" w:hAnsi="Calibri"/>
                <w:b w:val="0"/>
                <w:i w:val="0"/>
                <w:color w:val="212121"/>
                <w:sz w:val="16"/>
              </w:rPr>
              <w:t>Fine “velcro” basal crackles, reduced expansion</w:t>
            </w:r>
          </w:p>
        </w:tc>
        <w:tc>
          <w:tcPr>
            <w:tcW w:type="dxa" w:w="1036"/>
            <w:vAlign w:val="top"/>
          </w:tcPr>
          <w:p>
            <w:pPr>
              <w:spacing w:after="40" w:before="0" w:line="259" w:lineRule="auto"/>
            </w:pPr>
            <w:r>
              <w:rPr>
                <w:rFonts w:ascii="Calibri" w:hAnsi="Calibri"/>
                <w:b w:val="0"/>
                <w:i w:val="0"/>
                <w:color w:val="212121"/>
                <w:sz w:val="16"/>
              </w:rPr>
              <w:t>Bibasilar crackles are an early auscultatory sign of interstitial fibrosis</w:t>
            </w:r>
          </w:p>
        </w:tc>
        <w:tc>
          <w:tcPr>
            <w:tcW w:type="dxa" w:w="1036"/>
            <w:vAlign w:val="top"/>
          </w:tcPr>
          <w:p>
            <w:pPr>
              <w:spacing w:after="40" w:before="0" w:line="259" w:lineRule="auto"/>
            </w:pPr>
            <w:r>
              <w:rPr>
                <w:rFonts w:ascii="Calibri" w:hAnsi="Calibri"/>
                <w:b w:val="0"/>
                <w:i w:val="0"/>
                <w:color w:val="212121"/>
                <w:sz w:val="16"/>
              </w:rPr>
              <w:t>Established asbestosis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Bedside assessment</w:t>
            </w:r>
          </w:p>
        </w:tc>
        <w:tc>
          <w:tcPr>
            <w:tcW w:type="dxa" w:w="720"/>
            <w:vAlign w:val="top"/>
          </w:tcPr>
          <w:p>
            <w:pPr>
              <w:spacing w:after="40" w:before="0" w:line="259" w:lineRule="auto"/>
            </w:pPr>
            <w:r>
              <w:rPr>
                <w:rFonts w:ascii="Calibri" w:hAnsi="Calibri"/>
                <w:b w:val="0"/>
                <w:i w:val="0"/>
                <w:color w:val="212121"/>
                <w:sz w:val="16"/>
              </w:rPr>
              <w:t>Basal crackles found in ~34% of the Mumbai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Digital clubbing</w:t>
            </w:r>
          </w:p>
        </w:tc>
        <w:tc>
          <w:tcPr>
            <w:tcW w:type="dxa" w:w="979"/>
            <w:vAlign w:val="top"/>
          </w:tcPr>
          <w:p>
            <w:pPr>
              <w:spacing w:after="40" w:before="0" w:line="259" w:lineRule="auto"/>
            </w:pPr>
            <w:r>
              <w:rPr>
                <w:rFonts w:ascii="Calibri" w:hAnsi="Calibri"/>
                <w:b w:val="0"/>
                <w:i w:val="0"/>
                <w:color w:val="212121"/>
                <w:sz w:val="16"/>
              </w:rPr>
              <w:t>Finger clubbing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Supports established fibrosis and correlates with severity</w:t>
            </w:r>
          </w:p>
        </w:tc>
        <w:tc>
          <w:tcPr>
            <w:tcW w:type="dxa" w:w="1036"/>
            <w:vAlign w:val="top"/>
          </w:tcPr>
          <w:p>
            <w:pPr>
              <w:spacing w:after="40" w:before="0" w:line="259" w:lineRule="auto"/>
            </w:pPr>
            <w:r>
              <w:rPr>
                <w:rFonts w:ascii="Calibri" w:hAnsi="Calibri"/>
                <w:b w:val="0"/>
                <w:i w:val="0"/>
                <w:color w:val="212121"/>
                <w:sz w:val="16"/>
              </w:rPr>
              <w:t>Moderate–advanced asbestosis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 sign</w:t>
            </w:r>
          </w:p>
        </w:tc>
        <w:tc>
          <w:tcPr>
            <w:tcW w:type="dxa" w:w="720"/>
            <w:vAlign w:val="top"/>
          </w:tcPr>
          <w:p>
            <w:pPr>
              <w:spacing w:after="40" w:before="0" w:line="259" w:lineRule="auto"/>
            </w:pPr>
            <w:r>
              <w:rPr>
                <w:rFonts w:ascii="Calibri" w:hAnsi="Calibri"/>
                <w:b w:val="0"/>
                <w:i w:val="0"/>
                <w:color w:val="212121"/>
                <w:sz w:val="16"/>
              </w:rPr>
              <w:t>Reported in ~32–42% of asbestosis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cor pulmonale &amp; oxygenation</w:t>
            </w:r>
          </w:p>
        </w:tc>
        <w:tc>
          <w:tcPr>
            <w:tcW w:type="dxa" w:w="979"/>
            <w:vAlign w:val="top"/>
          </w:tcPr>
          <w:p>
            <w:pPr>
              <w:spacing w:after="40" w:before="0" w:line="259" w:lineRule="auto"/>
            </w:pPr>
            <w:r>
              <w:rPr>
                <w:rFonts w:ascii="Calibri" w:hAnsi="Calibri"/>
                <w:b w:val="0"/>
                <w:i w:val="0"/>
                <w:color w:val="212121"/>
                <w:sz w:val="16"/>
              </w:rPr>
              <w:t>JVP, P2, pedal oedema, central cyanosis, SpO₂</w:t>
            </w:r>
          </w:p>
        </w:tc>
        <w:tc>
          <w:tcPr>
            <w:tcW w:type="dxa" w:w="950"/>
            <w:vAlign w:val="top"/>
          </w:tcPr>
          <w:p>
            <w:pPr>
              <w:spacing w:after="40" w:before="0" w:line="259" w:lineRule="auto"/>
            </w:pPr>
            <w:r>
              <w:rPr>
                <w:rFonts w:ascii="Calibri" w:hAnsi="Calibri"/>
                <w:b w:val="0"/>
                <w:i w:val="0"/>
                <w:color w:val="212121"/>
                <w:sz w:val="16"/>
              </w:rPr>
              <w:t>Absent; SpO₂ ≥ 95%</w:t>
            </w:r>
          </w:p>
        </w:tc>
        <w:tc>
          <w:tcPr>
            <w:tcW w:type="dxa" w:w="950"/>
            <w:vAlign w:val="top"/>
          </w:tcPr>
          <w:p>
            <w:pPr>
              <w:spacing w:after="40" w:before="0" w:line="259" w:lineRule="auto"/>
            </w:pPr>
            <w:r>
              <w:rPr>
                <w:rFonts w:ascii="Calibri" w:hAnsi="Calibri"/>
                <w:b w:val="0"/>
                <w:i w:val="0"/>
                <w:color w:val="212121"/>
                <w:sz w:val="16"/>
              </w:rPr>
              <w:t>Raised JVP, loud P2, oedema, cyanosis, SpO₂ &lt; 92%</w:t>
            </w:r>
          </w:p>
        </w:tc>
        <w:tc>
          <w:tcPr>
            <w:tcW w:type="dxa" w:w="1036"/>
            <w:vAlign w:val="top"/>
          </w:tcPr>
          <w:p>
            <w:pPr>
              <w:spacing w:after="40" w:before="0" w:line="259" w:lineRule="auto"/>
            </w:pPr>
            <w:r>
              <w:rPr>
                <w:rFonts w:ascii="Calibri" w:hAnsi="Calibri"/>
                <w:b w:val="0"/>
                <w:i w:val="0"/>
                <w:color w:val="212121"/>
                <w:sz w:val="16"/>
              </w:rPr>
              <w:t>Indicates pulmonary hypertension/right-heart failure and hypoxaemia</w:t>
            </w:r>
          </w:p>
        </w:tc>
        <w:tc>
          <w:tcPr>
            <w:tcW w:type="dxa" w:w="1036"/>
            <w:vAlign w:val="top"/>
          </w:tcPr>
          <w:p>
            <w:pPr>
              <w:spacing w:after="40" w:before="0" w:line="259" w:lineRule="auto"/>
            </w:pPr>
            <w:r>
              <w:rPr>
                <w:rFonts w:ascii="Calibri" w:hAnsi="Calibri"/>
                <w:b w:val="0"/>
                <w:i w:val="0"/>
                <w:color w:val="212121"/>
                <w:sz w:val="16"/>
              </w:rPr>
              <w:t>Advanced asbestosis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Late, serious findings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Exercise capacity</w:t>
            </w:r>
          </w:p>
        </w:tc>
        <w:tc>
          <w:tcPr>
            <w:tcW w:type="dxa" w:w="979"/>
            <w:vAlign w:val="top"/>
          </w:tcPr>
          <w:p>
            <w:pPr>
              <w:spacing w:after="40" w:before="0" w:line="259" w:lineRule="auto"/>
            </w:pPr>
            <w:r>
              <w:rPr>
                <w:rFonts w:ascii="Calibri" w:hAnsi="Calibri"/>
                <w:b w:val="0"/>
                <w:i w:val="0"/>
                <w:color w:val="212121"/>
                <w:sz w:val="16"/>
              </w:rPr>
              <w:t>mMRC dyspnoea, 6-minute walk distance</w:t>
            </w:r>
          </w:p>
        </w:tc>
        <w:tc>
          <w:tcPr>
            <w:tcW w:type="dxa" w:w="950"/>
            <w:vAlign w:val="top"/>
          </w:tcPr>
          <w:p>
            <w:pPr>
              <w:spacing w:after="40" w:before="0" w:line="259" w:lineRule="auto"/>
            </w:pPr>
            <w:r>
              <w:rPr>
                <w:rFonts w:ascii="Calibri" w:hAnsi="Calibri"/>
                <w:b w:val="0"/>
                <w:i w:val="0"/>
                <w:color w:val="212121"/>
                <w:sz w:val="16"/>
              </w:rPr>
              <w:t>mMRC 0–1; normal walk distance</w:t>
            </w:r>
          </w:p>
        </w:tc>
        <w:tc>
          <w:tcPr>
            <w:tcW w:type="dxa" w:w="950"/>
            <w:vAlign w:val="top"/>
          </w:tcPr>
          <w:p>
            <w:pPr>
              <w:spacing w:after="40" w:before="0" w:line="259" w:lineRule="auto"/>
            </w:pPr>
            <w:r>
              <w:rPr>
                <w:rFonts w:ascii="Calibri" w:hAnsi="Calibri"/>
                <w:b w:val="0"/>
                <w:i w:val="0"/>
                <w:color w:val="212121"/>
                <w:sz w:val="16"/>
              </w:rPr>
              <w:t>High mMRC; desaturation on 6MWT</w:t>
            </w:r>
          </w:p>
        </w:tc>
        <w:tc>
          <w:tcPr>
            <w:tcW w:type="dxa" w:w="1036"/>
            <w:vAlign w:val="top"/>
          </w:tcPr>
          <w:p>
            <w:pPr>
              <w:spacing w:after="40" w:before="0" w:line="259" w:lineRule="auto"/>
            </w:pPr>
            <w:r>
              <w:rPr>
                <w:rFonts w:ascii="Calibri" w:hAnsi="Calibri"/>
                <w:b w:val="0"/>
                <w:i w:val="0"/>
                <w:color w:val="212121"/>
                <w:sz w:val="16"/>
              </w:rPr>
              <w:t>Objective functional status for rehabilitation and disability assessment</w:t>
            </w:r>
          </w:p>
        </w:tc>
        <w:tc>
          <w:tcPr>
            <w:tcW w:type="dxa" w:w="1036"/>
            <w:vAlign w:val="top"/>
          </w:tcPr>
          <w:p>
            <w:pPr>
              <w:spacing w:after="40" w:before="0" w:line="259" w:lineRule="auto"/>
            </w:pPr>
            <w:r>
              <w:rPr>
                <w:rFonts w:ascii="Calibri" w:hAnsi="Calibri"/>
                <w:b w:val="0"/>
                <w:i w:val="0"/>
                <w:color w:val="212121"/>
                <w:sz w:val="16"/>
              </w:rPr>
              <w:t>Symptomatic / disability assessment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Rehab planning</w:t>
            </w:r>
          </w:p>
        </w:tc>
        <w:tc>
          <w:tcPr>
            <w:tcW w:type="dxa" w:w="720"/>
            <w:vAlign w:val="top"/>
          </w:tcPr>
          <w:p>
            <w:pPr>
              <w:spacing w:after="40" w:before="0" w:line="259" w:lineRule="auto"/>
            </w:pPr>
            <w:r>
              <w:rPr>
                <w:rFonts w:ascii="Calibri" w:hAnsi="Calibri"/>
                <w:b w:val="0"/>
                <w:i w:val="0"/>
                <w:color w:val="212121"/>
                <w:sz w:val="16"/>
              </w:rPr>
              <w:t>Guides pulmonary rehabilitation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insidiously worsening symptom as lower-zone fibrosis and restriction advance.</w:t>
            </w:r>
          </w:p>
        </w:tc>
      </w:tr>
      <w:tr>
        <w:trPr>
          <w:cantSplit/>
        </w:trPr>
        <w:tc>
          <w:tcPr>
            <w:tcW w:type="dxa" w:w="2304"/>
            <w:vAlign w:val="top"/>
          </w:tcPr>
          <w:p>
            <w:pPr>
              <w:spacing w:after="40" w:before="0" w:line="259" w:lineRule="auto"/>
            </w:pPr>
            <w:r>
              <w:rPr>
                <w:rFonts w:ascii="Calibri" w:hAnsi="Calibri"/>
                <w:b/>
                <w:i w:val="0"/>
                <w:color w:val="212121"/>
                <w:sz w:val="19"/>
              </w:rPr>
              <w:t>Dry, nonproductive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irritant cough from interstitial fibrosis and airway involvement.</w:t>
            </w:r>
          </w:p>
        </w:tc>
      </w:tr>
      <w:tr>
        <w:trPr>
          <w:cantSplit/>
        </w:trPr>
        <w:tc>
          <w:tcPr>
            <w:tcW w:type="dxa" w:w="2304"/>
            <w:vAlign w:val="top"/>
          </w:tcPr>
          <w:p>
            <w:pPr>
              <w:spacing w:after="40" w:before="0" w:line="259" w:lineRule="auto"/>
            </w:pPr>
            <w:r>
              <w:rPr>
                <w:rFonts w:ascii="Calibri" w:hAnsi="Calibri"/>
                <w:b/>
                <w:i w:val="0"/>
                <w:color w:val="212121"/>
                <w:sz w:val="19"/>
              </w:rPr>
              <w:t>Reduced exercise tolerance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gas transfer and ventilatory restriction limit effort capacity.</w:t>
            </w:r>
          </w:p>
        </w:tc>
      </w:tr>
      <w:tr>
        <w:trPr>
          <w:cantSplit/>
        </w:trPr>
        <w:tc>
          <w:tcPr>
            <w:tcW w:type="dxa" w:w="2304"/>
            <w:vAlign w:val="top"/>
          </w:tcPr>
          <w:p>
            <w:pPr>
              <w:spacing w:after="40" w:before="0" w:line="259" w:lineRule="auto"/>
            </w:pPr>
            <w:r>
              <w:rPr>
                <w:rFonts w:ascii="Calibri" w:hAnsi="Calibri"/>
                <w:b/>
                <w:i w:val="0"/>
                <w:color w:val="212121"/>
                <w:sz w:val="19"/>
              </w:rPr>
              <w:t>Chest tightness / vague chest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reduced compliance and, at times, pleural involvement.</w:t>
            </w:r>
          </w:p>
        </w:tc>
      </w:tr>
      <w:tr>
        <w:trPr>
          <w:cantSplit/>
        </w:trPr>
        <w:tc>
          <w:tcPr>
            <w:tcW w:type="dxa" w:w="2304"/>
            <w:vAlign w:val="top"/>
          </w:tcPr>
          <w:p>
            <w:pPr>
              <w:spacing w:after="40" w:before="0" w:line="259" w:lineRule="auto"/>
            </w:pPr>
            <w:r>
              <w:rPr>
                <w:rFonts w:ascii="Calibri" w:hAnsi="Calibri"/>
                <w:b/>
                <w:i w:val="0"/>
                <w:color w:val="212121"/>
                <w:sz w:val="19"/>
              </w:rPr>
              <w:t>Minimal or no symptoms early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asbestosis and pleural plaques are frequently detected only on surveillance imaging.</w:t>
            </w:r>
          </w:p>
        </w:tc>
      </w:tr>
      <w:tr>
        <w:trPr>
          <w:cantSplit/>
        </w:trPr>
        <w:tc>
          <w:tcPr>
            <w:tcW w:type="dxa" w:w="2304"/>
            <w:vAlign w:val="top"/>
          </w:tcPr>
          <w:p>
            <w:pPr>
              <w:spacing w:after="40" w:before="0" w:line="259" w:lineRule="auto"/>
            </w:pPr>
            <w:r>
              <w:rPr>
                <w:rFonts w:ascii="Calibri" w:hAnsi="Calibri"/>
                <w:b/>
                <w:i w:val="0"/>
                <w:color w:val="212121"/>
                <w:sz w:val="19"/>
              </w:rPr>
              <w:t>Wheeze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coexisting airflow obstruction from smoking-related COPD.</w:t>
            </w:r>
          </w:p>
        </w:tc>
      </w:tr>
      <w:tr>
        <w:trPr>
          <w:cantSplit/>
        </w:trPr>
        <w:tc>
          <w:tcPr>
            <w:tcW w:type="dxa" w:w="2304"/>
            <w:vAlign w:val="top"/>
          </w:tcPr>
          <w:p>
            <w:pPr>
              <w:spacing w:after="40" w:before="0" w:line="259" w:lineRule="auto"/>
            </w:pPr>
            <w:r>
              <w:rPr>
                <w:rFonts w:ascii="Calibri" w:hAnsi="Calibri"/>
                <w:b/>
                <w:i w:val="0"/>
                <w:color w:val="212121"/>
                <w:sz w:val="19"/>
              </w:rPr>
              <w:t>Pleuritic or chest-wall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pleural disease, effusion or, when persistent and severe, mesothelioma.</w:t>
            </w:r>
          </w:p>
        </w:tc>
      </w:tr>
      <w:tr>
        <w:trPr>
          <w:cantSplit/>
        </w:trPr>
        <w:tc>
          <w:tcPr>
            <w:tcW w:type="dxa" w:w="2304"/>
            <w:vAlign w:val="top"/>
          </w:tcPr>
          <w:p>
            <w:pPr>
              <w:spacing w:after="40" w:before="0" w:line="259" w:lineRule="auto"/>
            </w:pPr>
            <w:r>
              <w:rPr>
                <w:rFonts w:ascii="Calibri" w:hAnsi="Calibri"/>
                <w:b/>
                <w:i w:val="0"/>
                <w:color w:val="212121"/>
                <w:sz w:val="19"/>
              </w:rPr>
              <w:t>Weight loss / anorexia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Raises suspicion of superimposed tuberculosis, lung cancer or mesothelioma.</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Always prompts exclusion of lung cancer and tuberculosis.</w:t>
            </w:r>
          </w:p>
        </w:tc>
      </w:tr>
      <w:tr>
        <w:trPr>
          <w:cantSplit/>
        </w:trPr>
        <w:tc>
          <w:tcPr>
            <w:tcW w:type="dxa" w:w="2304"/>
            <w:vAlign w:val="top"/>
          </w:tcPr>
          <w:p>
            <w:pPr>
              <w:spacing w:after="40" w:before="0" w:line="259" w:lineRule="auto"/>
            </w:pPr>
            <w:r>
              <w:rPr>
                <w:rFonts w:ascii="Calibri" w:hAnsi="Calibri"/>
                <w:b/>
                <w:i w:val="0"/>
                <w:color w:val="212121"/>
                <w:sz w:val="19"/>
              </w:rPr>
              <w:t>Recurrent chest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clearance and structural lung damage predispose to repeated infection.</w:t>
            </w:r>
          </w:p>
        </w:tc>
      </w:tr>
      <w:tr>
        <w:trPr>
          <w:cantSplit/>
        </w:trPr>
        <w:tc>
          <w:tcPr>
            <w:tcW w:type="dxa" w:w="2304"/>
            <w:vAlign w:val="top"/>
          </w:tcPr>
          <w:p>
            <w:pPr>
              <w:spacing w:after="40" w:before="0" w:line="259" w:lineRule="auto"/>
            </w:pPr>
            <w:r>
              <w:rPr>
                <w:rFonts w:ascii="Calibri" w:hAnsi="Calibri"/>
                <w:b/>
                <w:i w:val="0"/>
                <w:color w:val="212121"/>
                <w:sz w:val="19"/>
              </w:rPr>
              <w:t>Ankle /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 of fluid retention from cor pulmonale in advanced disease.</w:t>
            </w:r>
          </w:p>
        </w:tc>
      </w:tr>
      <w:tr>
        <w:trPr>
          <w:cantSplit/>
        </w:trPr>
        <w:tc>
          <w:tcPr>
            <w:tcW w:type="dxa" w:w="2304"/>
            <w:vAlign w:val="top"/>
          </w:tcPr>
          <w:p>
            <w:pPr>
              <w:spacing w:after="40" w:before="0" w:line="259" w:lineRule="auto"/>
            </w:pPr>
            <w:r>
              <w:rPr>
                <w:rFonts w:ascii="Calibri" w:hAnsi="Calibri"/>
                <w:b/>
                <w:i w:val="0"/>
                <w:color w:val="212121"/>
                <w:sz w:val="19"/>
              </w:rPr>
              <w:t>Resting breathlessness / orthopnoea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only in end-stage disease with respiratory or right-heart failure.</w:t>
            </w:r>
          </w:p>
        </w:tc>
      </w:tr>
      <w:tr>
        <w:trPr>
          <w:cantSplit/>
        </w:trPr>
        <w:tc>
          <w:tcPr>
            <w:tcW w:type="dxa" w:w="2304"/>
            <w:vAlign w:val="top"/>
          </w:tcPr>
          <w:p>
            <w:pPr>
              <w:spacing w:after="40" w:before="0" w:line="259" w:lineRule="auto"/>
            </w:pPr>
            <w:r>
              <w:rPr>
                <w:rFonts w:ascii="Calibri" w:hAnsi="Calibri"/>
                <w:b/>
                <w:i w:val="0"/>
                <w:color w:val="212121"/>
                <w:sz w:val="19"/>
              </w:rPr>
              <w:t>Cyanosis at rest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chronic hypoxaemia in advanced fibrosis.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Fine bibasilar end-inspiratory (“velcro”)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early auscultatory sign of asbestos interstitial fibrosis, best heard at the lung bases.</w:t>
            </w:r>
          </w:p>
        </w:tc>
      </w:tr>
      <w:tr>
        <w:trPr>
          <w:cantSplit/>
        </w:trPr>
        <w:tc>
          <w:tcPr>
            <w:tcW w:type="dxa" w:w="3456"/>
            <w:vAlign w:val="top"/>
          </w:tcPr>
          <w:p>
            <w:pPr>
              <w:spacing w:after="40" w:before="0" w:line="259" w:lineRule="auto"/>
            </w:pPr>
            <w:r>
              <w:rPr>
                <w:rFonts w:ascii="Calibri" w:hAnsi="Calibri"/>
                <w:b/>
                <w:i w:val="0"/>
                <w:color w:val="212121"/>
                <w:sz w:val="19"/>
              </w:rPr>
              <w:t>Finger clubbing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roughly 32–42% of asbestosis cases; correlates with fibrosis severity.</w:t>
            </w:r>
          </w:p>
        </w:tc>
      </w:tr>
      <w:tr>
        <w:trPr>
          <w:cantSplit/>
        </w:trPr>
        <w:tc>
          <w:tcPr>
            <w:tcW w:type="dxa" w:w="3456"/>
            <w:vAlign w:val="top"/>
          </w:tcPr>
          <w:p>
            <w:pPr>
              <w:spacing w:after="40" w:before="0" w:line="259" w:lineRule="auto"/>
            </w:pPr>
            <w:r>
              <w:rPr>
                <w:rFonts w:ascii="Calibri" w:hAnsi="Calibri"/>
                <w:b/>
                <w:i w:val="0"/>
                <w:color w:val="212121"/>
                <w:sz w:val="19"/>
              </w:rPr>
              <w:t>Tachypnoea / reduced chest expansion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Restrictive physiology from stiff, fibrotic and pleurally-thickened lungs.</w:t>
            </w:r>
          </w:p>
        </w:tc>
      </w:tr>
      <w:tr>
        <w:trPr>
          <w:cantSplit/>
        </w:trPr>
        <w:tc>
          <w:tcPr>
            <w:tcW w:type="dxa" w:w="3456"/>
            <w:vAlign w:val="top"/>
          </w:tcPr>
          <w:p>
            <w:pPr>
              <w:spacing w:after="40" w:before="0" w:line="259" w:lineRule="auto"/>
            </w:pPr>
            <w:r>
              <w:rPr>
                <w:rFonts w:ascii="Calibri" w:hAnsi="Calibri"/>
                <w:b/>
                <w:i w:val="0"/>
                <w:color w:val="212121"/>
                <w:sz w:val="19"/>
              </w:rPr>
              <w:t>Low SpO₂ on pulse oximetry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hypoxaemia, especially on exertion, in significant disease.</w:t>
            </w:r>
          </w:p>
        </w:tc>
      </w:tr>
      <w:tr>
        <w:trPr>
          <w:cantSplit/>
        </w:trPr>
        <w:tc>
          <w:tcPr>
            <w:tcW w:type="dxa" w:w="3456"/>
            <w:vAlign w:val="top"/>
          </w:tcPr>
          <w:p>
            <w:pPr>
              <w:spacing w:after="40" w:before="0" w:line="259" w:lineRule="auto"/>
            </w:pPr>
            <w:r>
              <w:rPr>
                <w:rFonts w:ascii="Calibri" w:hAnsi="Calibri"/>
                <w:b/>
                <w:i w:val="0"/>
                <w:color w:val="212121"/>
                <w:sz w:val="19"/>
              </w:rPr>
              <w:t>Reduced breath sounds / pleural rub or dullness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diffuse pleural thickening, plaques or benign asbestos pleural effusion.</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lips/tongue from severe chronic hypoxaemia.</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loud P2, pedal oedema,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Right-heart failure secondary to pulmonary hypertension in advanced disease.</w:t>
            </w:r>
          </w:p>
        </w:tc>
      </w:tr>
      <w:tr>
        <w:trPr>
          <w:cantSplit/>
        </w:trPr>
        <w:tc>
          <w:tcPr>
            <w:tcW w:type="dxa" w:w="3456"/>
            <w:vAlign w:val="top"/>
          </w:tcPr>
          <w:p>
            <w:pPr>
              <w:spacing w:after="40" w:before="0" w:line="259" w:lineRule="auto"/>
            </w:pPr>
            <w:r>
              <w:rPr>
                <w:rFonts w:ascii="Calibri" w:hAnsi="Calibri"/>
                <w:b/>
                <w:i w:val="0"/>
                <w:color w:val="212121"/>
                <w:sz w:val="19"/>
              </w:rPr>
              <w:t>Weight loss / cachexia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advanced disease, tuberculosis or malignancy.</w:t>
            </w:r>
          </w:p>
        </w:tc>
      </w:tr>
      <w:tr>
        <w:trPr>
          <w:cantSplit/>
        </w:trPr>
        <w:tc>
          <w:tcPr>
            <w:tcW w:type="dxa" w:w="3456"/>
            <w:vAlign w:val="top"/>
          </w:tcPr>
          <w:p>
            <w:pPr>
              <w:spacing w:after="40" w:before="0" w:line="259" w:lineRule="auto"/>
            </w:pPr>
            <w:r>
              <w:rPr>
                <w:rFonts w:ascii="Calibri" w:hAnsi="Calibri"/>
                <w:b/>
                <w:i w:val="0"/>
                <w:color w:val="212121"/>
                <w:sz w:val="19"/>
              </w:rPr>
              <w:t>Reduced breath sounds with fixed dullness over a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indicate malignant mesothelioma or a bronchogenic carcinoma.</w:t>
            </w:r>
          </w:p>
        </w:tc>
      </w:tr>
      <w:tr>
        <w:trPr>
          <w:cantSplit/>
        </w:trPr>
        <w:tc>
          <w:tcPr>
            <w:tcW w:type="dxa" w:w="3456"/>
            <w:vAlign w:val="top"/>
          </w:tcPr>
          <w:p>
            <w:pPr>
              <w:spacing w:after="40" w:before="0" w:line="259" w:lineRule="auto"/>
            </w:pPr>
            <w:r>
              <w:rPr>
                <w:rFonts w:ascii="Calibri" w:hAnsi="Calibri"/>
                <w:b/>
                <w:i w:val="0"/>
                <w:color w:val="212121"/>
                <w:sz w:val="19"/>
              </w:rPr>
              <w:t>Rounded atelectasis mimicking a lung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Folded lung adjacent to thickened pleura — a benign lesion that can imitate tumour on imaging.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diffuse interstitial pulmonary fibrosis with irreversible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hypoxaemia and reduced diffusing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Pleural plaques and diffuse pleural thickening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Benign asbestos pleural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Rounded atelectasis (folded lung)</w:t>
            </w:r>
          </w:p>
        </w:tc>
        <w:tc>
          <w:tcPr>
            <w:tcW w:type="dxa" w:w="2980"/>
            <w:vAlign w:val="top"/>
          </w:tcPr>
          <w:p>
            <w:pPr>
              <w:spacing w:after="40" w:before="0" w:line="259" w:lineRule="auto"/>
            </w:pPr>
            <w:r>
              <w:rPr>
                <w:rFonts w:ascii="Calibri" w:hAnsi="Calibri"/>
                <w:b w:val="0"/>
                <w:i w:val="0"/>
                <w:color w:val="212121"/>
                <w:sz w:val="19"/>
              </w:rPr>
              <w:t>Direct fibrotic and pleural consequences of retained asbestos fibres; can progress after exposure stops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tuberculosis and recurrent lower-respiratory-tract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COPD / mixed ventilatory defect (with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dyspnoea and functional disability</w:t>
            </w:r>
          </w:p>
        </w:tc>
        <w:tc>
          <w:tcPr>
            <w:tcW w:type="dxa" w:w="2980"/>
            <w:vAlign w:val="top"/>
          </w:tcPr>
          <w:p>
            <w:pPr>
              <w:spacing w:after="40" w:before="0" w:line="259" w:lineRule="auto"/>
            </w:pPr>
            <w:r>
              <w:rPr>
                <w:rFonts w:ascii="Calibri" w:hAnsi="Calibri"/>
                <w:b w:val="0"/>
                <w:i w:val="0"/>
                <w:color w:val="212121"/>
                <w:sz w:val="19"/>
              </w:rPr>
              <w:t>Arise from impaired immune clearance, chronic hypoxaemia and structural/vascular lung damage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Bronchogenic lung carcinoma (multiplicative risk with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mesothelioma (pleural &gt; peritoneal; latency 20–40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requiring long-term oxygen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right-heart failure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loss of livelihood and premature death</w:t>
            </w:r>
          </w:p>
        </w:tc>
        <w:tc>
          <w:tcPr>
            <w:tcW w:type="dxa" w:w="2980"/>
            <w:vAlign w:val="top"/>
          </w:tcPr>
          <w:p>
            <w:pPr>
              <w:spacing w:after="40" w:before="0" w:line="259" w:lineRule="auto"/>
            </w:pPr>
            <w:r>
              <w:rPr>
                <w:rFonts w:ascii="Calibri" w:hAnsi="Calibri"/>
                <w:b w:val="0"/>
                <w:i w:val="0"/>
                <w:color w:val="212121"/>
                <w:sz w:val="19"/>
              </w:rPr>
              <w:t>Irreversible, often malignant end-stage outcomes of long-standing asbestos disease; no curative therapy exists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Malignant mesothelioma (pleural/peritoneal)</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signature malignancy of asbestos; over 80% of mesotheliomas are asbestos-related, with long 20–40-year latency and projections of up to 15% of the Alang workforce affected.</w:t>
            </w:r>
          </w:p>
        </w:tc>
      </w:tr>
      <w:tr>
        <w:trPr>
          <w:cantSplit/>
        </w:trPr>
        <w:tc>
          <w:tcPr>
            <w:tcW w:type="dxa" w:w="2232"/>
            <w:vAlign w:val="top"/>
          </w:tcPr>
          <w:p>
            <w:pPr>
              <w:spacing w:after="40" w:before="0" w:line="259" w:lineRule="auto"/>
            </w:pPr>
            <w:r>
              <w:rPr>
                <w:rFonts w:ascii="Calibri" w:hAnsi="Calibri"/>
                <w:b/>
                <w:i w:val="0"/>
                <w:color w:val="212121"/>
                <w:sz w:val="19"/>
              </w:rPr>
              <w:t>Bronchogenic lung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Asbestos is an independent lung carcinogen; risk is multiplicative with smoking (~50×), and ~25 fibre-years is estimated to double risk.</w:t>
            </w:r>
          </w:p>
        </w:tc>
      </w:tr>
      <w:tr>
        <w:trPr>
          <w:cantSplit/>
        </w:trPr>
        <w:tc>
          <w:tcPr>
            <w:tcW w:type="dxa" w:w="2232"/>
            <w:vAlign w:val="top"/>
          </w:tcPr>
          <w:p>
            <w:pPr>
              <w:spacing w:after="40" w:before="0" w:line="259" w:lineRule="auto"/>
            </w:pPr>
            <w:r>
              <w:rPr>
                <w:rFonts w:ascii="Calibri" w:hAnsi="Calibri"/>
                <w:b/>
                <w:i w:val="0"/>
                <w:color w:val="212121"/>
                <w:sz w:val="19"/>
              </w:rPr>
              <w:t>Pleural plaques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marker of asbestos exposure; benign but confirms significant exposure and mandates surveillance for fibrosis and malignancy.</w:t>
            </w:r>
          </w:p>
          <w:p>
            <w:pPr>
              <w:spacing w:after="40" w:before="0" w:line="259" w:lineRule="auto"/>
            </w:pPr>
            <w:r>
              <w:rPr>
                <w:rFonts w:ascii="Calibri" w:hAnsi="Calibri"/>
                <w:b/>
                <w:i w:val="0"/>
                <w:color w:val="212121"/>
                <w:sz w:val="19"/>
              </w:rPr>
              <w:t>~17% of asbestosis cases had pleural disease (Mumbai)</w:t>
            </w:r>
          </w:p>
        </w:tc>
      </w:tr>
      <w:tr>
        <w:trPr>
          <w:cantSplit/>
        </w:trPr>
        <w:tc>
          <w:tcPr>
            <w:tcW w:type="dxa" w:w="2232"/>
            <w:vAlign w:val="top"/>
          </w:tcPr>
          <w:p>
            <w:pPr>
              <w:spacing w:after="40" w:before="0" w:line="259" w:lineRule="auto"/>
            </w:pPr>
            <w:r>
              <w:rPr>
                <w:rFonts w:ascii="Calibri" w:hAnsi="Calibri"/>
                <w:b/>
                <w:i w:val="0"/>
                <w:color w:val="212121"/>
                <w:sz w:val="19"/>
              </w:rPr>
              <w:t>Diffuse pleural thickening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Extensive visceral-pleural fibrosis that adds a restrictive burden and reduced lung expansion.</w:t>
            </w:r>
          </w:p>
        </w:tc>
      </w:tr>
      <w:tr>
        <w:trPr>
          <w:cantSplit/>
        </w:trPr>
        <w:tc>
          <w:tcPr>
            <w:tcW w:type="dxa" w:w="2232"/>
            <w:vAlign w:val="top"/>
          </w:tcPr>
          <w:p>
            <w:pPr>
              <w:spacing w:after="40" w:before="0" w:line="259" w:lineRule="auto"/>
            </w:pPr>
            <w:r>
              <w:rPr>
                <w:rFonts w:ascii="Calibri" w:hAnsi="Calibri"/>
                <w:b/>
                <w:i w:val="0"/>
                <w:color w:val="212121"/>
                <w:sz w:val="19"/>
              </w:rPr>
              <w:t>Benign asbestos pleural effusion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Often the earliest asbestos manifestation and the only one that can appear within 10 years of exposure; a diagnosis of exclusion.</w:t>
            </w:r>
          </w:p>
        </w:tc>
      </w:tr>
      <w:tr>
        <w:trPr>
          <w:cantSplit/>
        </w:trPr>
        <w:tc>
          <w:tcPr>
            <w:tcW w:type="dxa" w:w="2232"/>
            <w:vAlign w:val="top"/>
          </w:tcPr>
          <w:p>
            <w:pPr>
              <w:spacing w:after="40" w:before="0" w:line="259" w:lineRule="auto"/>
            </w:pPr>
            <w:r>
              <w:rPr>
                <w:rFonts w:ascii="Calibri" w:hAnsi="Calibri"/>
                <w:b/>
                <w:i w:val="0"/>
                <w:color w:val="212121"/>
                <w:sz w:val="19"/>
              </w:rPr>
              <w:t>Rounded atelectasis (folded lung)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Benign collapse adjacent to thickened pleura that can mimic a tumour and complicate imaging interpretation.</w:t>
            </w:r>
          </w:p>
        </w:tc>
      </w:tr>
      <w:tr>
        <w:trPr>
          <w:cantSplit/>
        </w:trPr>
        <w:tc>
          <w:tcPr>
            <w:tcW w:type="dxa" w:w="2232"/>
            <w:vAlign w:val="top"/>
          </w:tcPr>
          <w:p>
            <w:pPr>
              <w:spacing w:after="40" w:before="0" w:line="259" w:lineRule="auto"/>
            </w:pPr>
            <w:r>
              <w:rPr>
                <w:rFonts w:ascii="Calibri" w:hAnsi="Calibri"/>
                <w:b/>
                <w:i w:val="0"/>
                <w:color w:val="212121"/>
                <w:sz w:val="19"/>
              </w:rPr>
              <w:t>Pulmonary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Fibre-impaired macrophage defence raises TB risk; TB can mimic or accelerate fibrotic and malignant change — a key issue in high-burden India.</w:t>
            </w:r>
          </w:p>
        </w:tc>
      </w:tr>
      <w:tr>
        <w:trPr>
          <w:cantSplit/>
        </w:trPr>
        <w:tc>
          <w:tcPr>
            <w:tcW w:type="dxa" w:w="2232"/>
            <w:vAlign w:val="top"/>
          </w:tcPr>
          <w:p>
            <w:pPr>
              <w:spacing w:after="40" w:before="0" w:line="259" w:lineRule="auto"/>
            </w:pPr>
            <w:r>
              <w:rPr>
                <w:rFonts w:ascii="Calibri" w:hAnsi="Calibri"/>
                <w:b/>
                <w:i w:val="0"/>
                <w:color w:val="212121"/>
                <w:sz w:val="19"/>
              </w:rPr>
              <w:t>COPD / chronic airflow obstruction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Concurrent smoking adds obstruction and emphysema to restrictive fibrosis, producing a mixed defect and greater disability.</w:t>
            </w:r>
          </w:p>
        </w:tc>
      </w:tr>
      <w:tr>
        <w:trPr>
          <w:cantSplit/>
        </w:trPr>
        <w:tc>
          <w:tcPr>
            <w:tcW w:type="dxa" w:w="2232"/>
            <w:vAlign w:val="top"/>
          </w:tcPr>
          <w:p>
            <w:pPr>
              <w:spacing w:after="40" w:before="0" w:line="259" w:lineRule="auto"/>
            </w:pPr>
            <w:r>
              <w:rPr>
                <w:rFonts w:ascii="Calibri" w:hAnsi="Calibri"/>
                <w:b/>
                <w:i w:val="0"/>
                <w:color w:val="212121"/>
                <w:sz w:val="19"/>
              </w:rPr>
              <w:t>Pulmonary hypertension / cor pulmonale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hypoxaemia and fibrotic/pleural restriction raise pulmonary pressures and cause right-heart failure.</w:t>
            </w:r>
          </w:p>
        </w:tc>
      </w:tr>
      <w:tr>
        <w:trPr>
          <w:cantSplit/>
        </w:trPr>
        <w:tc>
          <w:tcPr>
            <w:tcW w:type="dxa" w:w="2232"/>
            <w:vAlign w:val="top"/>
          </w:tcPr>
          <w:p>
            <w:pPr>
              <w:spacing w:after="40" w:before="0" w:line="259" w:lineRule="auto"/>
            </w:pPr>
            <w:r>
              <w:rPr>
                <w:rFonts w:ascii="Calibri" w:hAnsi="Calibri"/>
                <w:b/>
                <w:i w:val="0"/>
                <w:color w:val="212121"/>
                <w:sz w:val="19"/>
              </w:rPr>
              <w:t>Laryngeal &amp; ovarian cancer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WHO attributes cancers of the larynx and ovary to asbestos in addition to lung cancer and mesothelioma.</w:t>
            </w:r>
          </w:p>
        </w:tc>
      </w:tr>
      <w:tr>
        <w:trPr>
          <w:cantSplit/>
        </w:trPr>
        <w:tc>
          <w:tcPr>
            <w:tcW w:type="dxa" w:w="2232"/>
            <w:vAlign w:val="top"/>
          </w:tcPr>
          <w:p>
            <w:pPr>
              <w:spacing w:after="40" w:before="0" w:line="259" w:lineRule="auto"/>
            </w:pPr>
            <w:r>
              <w:rPr>
                <w:rFonts w:ascii="Calibri" w:hAnsi="Calibri"/>
                <w:b/>
                <w:i w:val="0"/>
                <w:color w:val="212121"/>
                <w:sz w:val="19"/>
              </w:rPr>
              <w:t>Anxiety /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Progressive breathlessness, disability and fear of mesothelioma or lung cancer raise psychological morbidity and reduce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Enforce India's occupational exposure limit (0.1 fibre/cc, 8-h TWA) with regular personal and area fibre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engineering controls — enclosure, local exhaust ventilation, wet cutting/mixing and dust suppression — as the primary defence; respirators are an adjunct only.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correctly fitted respirators, dust-free changing/rest areas and showering to prevent take-home fibres reaching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Deliver statutory pre-placement and periodic medical examinations with ILO-standard chest radiographs for early detection.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workers to recognise early symptoms (breathlessness, dry cough) and to attend surveillance and tuberculosis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substitution of asbestos with safer materials and adherence to Supreme Court directions and WHO's no-safe-level position.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asbestos &amp; ship-breaking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Asbestos-cement plant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Construction &amp; demolition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 informal-sector labour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Factory-adjacent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the worker from further asbestos exposure once disease is identified to limit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lifelong follow-up because fibrosis and malignancy can appear or progress decades after exposure ends.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promptly treat pulmonary tuberculosis, which is common and can accelerate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influenza, pneumococcal and COVID-19 vaccination and treat respiratory infections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Facilitate disability certification, compensation, and referral for suspected lung cancer or mesothelioma.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asbestosis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Ex-workers on surveillance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pleural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suspected malignancy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symptomatic patients in structured pulmonary rehabilitation to improve exercise capacity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techniques (pursed-lip, diaphragmatic breathing) and paced, energy-conserving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graded aerobic activity (e.g., regular walking) within symptom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supplemental oxygen during exertion where resting or exertional hypoxaemia is confirmed.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with mMRC and 6-minute-walk testing to track functional decline.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asbestosis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protein- and calorie-adequate diet to prevent undernutrition and lower tuberculosis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antioxidant-rich fruits, vegetables and whole grains to support pulmonary antioxidant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healthy body-mass index (18.5–24.9 kg/m²); avoid being underweight.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to aid mucociliary clearance and expectoration.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 undernourished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cough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advanced patients for nocturnal hypoxaemia and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head-of-bed elevation and, where indicated, nocturnal oxygen for desaturation.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treatment of cough, reflux and secretions that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hygiene to support daytime function and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asbestosis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fibrosis/OSA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cessation of cigarettes and bidis, as smoking multiplies asbestos lung-cancer risk roughly 50-fold.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counselling plus pharmacotherapy (nicotine replacement, bupropion or varenicline)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and minimise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cessation to workplace health programmes and periodic medical examinations.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Asbestos workers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Ex-workers with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dust-related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worsens nutrition and immunity and raises tuberculosis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can reduce adherence to TB and respiratory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interactions between alcohol and anti-tubercular / respiratory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TB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 communities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driven by progressive breathlessness, disability and fear of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peer/support groups and, where needed, pharmacological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compensation, livelihood and family-exposure concerns as part of holistic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psychological support within pulmonary rehabilitation programmes.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progressive/disabling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facing income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malignant disease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1476-069X-4-24" TargetMode="External"/><Relationship Id="rId10" Type="http://schemas.openxmlformats.org/officeDocument/2006/relationships/hyperlink" Target="https://www.merckmanuals.com/professional/pulmonary-disorders/environmental-and-occupational-pulmonary-diseases/asbestosis" TargetMode="External"/><Relationship Id="rId11" Type="http://schemas.openxmlformats.org/officeDocument/2006/relationships/hyperlink" Target="https://annalsofglobalhealth.org/articles/10.5334/aogh.4735" TargetMode="External"/><Relationship Id="rId12" Type="http://schemas.openxmlformats.org/officeDocument/2006/relationships/hyperlink" Target="https://theunion.org/news/analysis-of-the-indian-government%E2%80%99s-position-on-the-use-of-asbestos-and-its-health-effects" TargetMode="External"/><Relationship Id="rId13" Type="http://schemas.openxmlformats.org/officeDocument/2006/relationships/hyperlink" Target="https://www.mdpi.com/1660-4601/17/1/258" TargetMode="External"/><Relationship Id="rId14" Type="http://schemas.openxmlformats.org/officeDocument/2006/relationships/hyperlink" Target="https://www.ncbi.nlm.nih.gov/books/NBK555985/" TargetMode="External"/><Relationship Id="rId15" Type="http://schemas.openxmlformats.org/officeDocument/2006/relationships/hyperlink" Target="https://www.sjweh.fi/article/2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