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Tropical Pulmonary Eosinophilia</w:t>
      </w:r>
    </w:p>
    <w:p>
      <w:pPr>
        <w:spacing w:before="0" w:after="160"/>
      </w:pPr>
      <w:r>
        <w:rPr>
          <w:rFonts w:ascii="Calibri" w:hAnsi="Calibri"/>
          <w:b/>
          <w:i w:val="0"/>
          <w:color w:val="212121"/>
          <w:sz w:val="22"/>
        </w:rPr>
        <w:t xml:space="preserve">AKA </w:t>
      </w:r>
      <w:r>
        <w:rPr>
          <w:rFonts w:ascii="Calibri" w:hAnsi="Calibri"/>
          <w:b w:val="0"/>
          <w:i w:val="0"/>
          <w:color w:val="212121"/>
          <w:sz w:val="22"/>
        </w:rPr>
        <w:t>i.e., TPE, Weingarten's syndrome, Occult filariasis (pulmonary), Filarial lung, Eosinophilic lung disease (filarial)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Tropical pulmonary eosinophilia (TPE) is a distinct hypersensitivity syndrome of lymphatic filariasis caused by an intense immunological hyper-response to microfilariae of Wuchereria bancrofti or Brugia malayi that are trapped and destroyed in the pulmonary microvasculature. It is characterised by paroxysmal nocturnal cough and wheeze, extreme peripheral-blood eosinophilia (&gt; 3000/µL), very high total serum IgE and antifilarial antibody titres, with microfilariae characteristically absent from peripheral blood (“occult” filariasis). TPE responds dramatically to diethylcarbamazine (DEC); if untreated or treated late it can progress to chronic interstitial lung disease and pulmonary fibrosis.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Lymphatic filariasis (LF) remains a major public-health problem in India: about 650 million people across 257 endemic districts in 21 states/UTs are at risk (NCVBDC), and India carries roughly 40% of the global LF burden with over 23 million people living with LF-related disability. In India 99.4% of filariasis is caused by Wuchereria bancrofti (0.6% Brugia malayi), transmitted mainly by the Culex quinquefasciatus mosquito, and the country is targeting elimination by 2027. Tropical pulmonary eosinophilia develops in fewer than 1% of filarial infections; reported Indian prevalence ranges from about 0.5% among children in Tamil Nadu to 9.9% among jail inmates in Patna, with disease clustered along the endemic coastal belt from Maharashtra to Kerala and West Bengal to Tamil Nadu (plus Bihar, Odisha, Andhra Pradesh, Karnataka, Madhya Pradesh and Uttar Pradesh). TPE is 4–7 times more common in males and typically affects young adults aged 15–40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TPE is a clinical–laboratory diagnosis made in a person from (or exposed to) a filaria-endemic area with characteristic nocturnal respiratory symptoms plus marked eosinophilia and filarial serology, after excluding asthma, tuberculosis and other causes of pulmonary eosinophilia. The following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residence in, or travel to, a lymphatic-filariasis endemic region (nearly always the key exposure);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paroxysmal, predominantly nocturnal cough, wheeze and dyspnoea, often mistaken for bronchial asthma;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peripheral-blood absolute eosinophil count &gt; 3000/µL (frequently much higher, occasionally up to ~80,000/µL);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markedly elevated total serum IgE, typically &gt; 1000 IU/mL (often several thousand);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raised antifilarial antibody (IgG/IgE) titres, most sensitively detected by indirect ELISA;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microfilariae in peripheral blood (occult filariasis), distinguishing TPE from classic microfilaraemic filariasis;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pulmonary infiltrates / reticulonodular or miliary shadows on chest imaging (though ~20% have a normal chest radiograph); 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prompt, dramatic clinical and haematological response to a therapeutic trial of diethylcarbamazine (DEC).</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TPE is one of the “extrinsic” (known-cause, parasitic) pulmonary eosinophilias, distinct from Loffler syndrome (transient, Ascaris-related) and from intrinsic eosinophilic lung diseases such as idiopathic chronic eosinophilic pneumonia and eosinophilic granulomatosis with polyangiitis (Churg–Strauss). It can be classified clinically and histopathologically:</w:t>
      </w:r>
    </w:p>
    <w:p>
      <w:pPr>
        <w:spacing w:before="0" w:after="80"/>
      </w:pPr>
      <w:r>
        <w:rPr>
          <w:rFonts w:ascii="Calibri" w:hAnsi="Calibri"/>
          <w:b w:val="0"/>
          <w:i w:val="0"/>
          <w:color w:val="212121"/>
          <w:sz w:val="21"/>
        </w:rPr>
        <w:t>(1) Acute TPE — recent-onset (weeks) paroxysmal nocturnal cough, wheeze and constitutional symptoms with very high eosinophilia and IgE; typically shows a dramatic, near-complete response to diethylcarbamazine.</w:t>
      </w:r>
    </w:p>
    <w:p>
      <w:pPr>
        <w:spacing w:before="0" w:after="80"/>
      </w:pPr>
      <w:r>
        <w:rPr>
          <w:rFonts w:ascii="Calibri" w:hAnsi="Calibri"/>
          <w:b w:val="0"/>
          <w:i w:val="0"/>
          <w:color w:val="212121"/>
          <w:sz w:val="21"/>
        </w:rPr>
        <w:t>(2) Chronic TPE — symptoms persisting for months to years (often after misdiagnosis as asthma or tuberculosis), in which established interstitial fibrosis limits reversibility; DEC is reported to be ineffective in 20–40% of such long-standing cases and residual lung-function abnormalities are common.</w:t>
      </w:r>
    </w:p>
    <w:p>
      <w:pPr>
        <w:spacing w:before="0" w:after="80"/>
      </w:pPr>
      <w:r>
        <w:rPr>
          <w:rFonts w:ascii="Calibri" w:hAnsi="Calibri"/>
          <w:b w:val="0"/>
          <w:i w:val="0"/>
          <w:color w:val="212121"/>
          <w:sz w:val="21"/>
        </w:rPr>
        <w:t>(3) Histopathological stages of progression — an early acute eosinophilic-alveolitis phase, a mixed cellular / histiocytic phase (roughly 6 months to 2 years), and a fibrotic phase (beyond ~2 years) with pulmonary fibrosis.</w:t>
      </w:r>
    </w:p>
    <w:p>
      <w:pPr>
        <w:spacing w:before="0" w:after="80"/>
      </w:pPr>
      <w:r>
        <w:rPr>
          <w:rFonts w:ascii="Calibri" w:hAnsi="Calibri"/>
          <w:b w:val="0"/>
          <w:i w:val="0"/>
          <w:color w:val="212121"/>
          <w:sz w:val="21"/>
        </w:rPr>
        <w:t>(4) Occult filariasis concept — TPE represents a hyper-immune, amicrofilaraemic form of filarial disease in which an exaggerated Th2 response clears microfilariae from blood but drives eosinophilic lung injury.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Filarial infection: Infective larvae of Wuchereria bancrofti (99.4% of Indian filariasis) or Brugia malayi, inoculated by mosquito bite, mature and release microfilariae that trigger the syndrome.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Host immune hyper-responsiveness: An exaggerated Th2 response (IL-4, IL-5, IL-13) with filarial-specific IgE and IgG drives eosinophil recruitment and degranulation in the lung — explaining why &lt; 1% of infected people develop TPE.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Trapping of microfilariae in the lung: Antibody-dependent clearance of microfilariae in the pulmonary microvasculature releases eosinophil granule proteins that injure alveoli and airways.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Endemic exposure / vector contact: Living in or travelling to filaria-endemic areas with abundant Culex quinquefasciatus (which breeds in polluted, stagnant water) provides the necessary parasite exposure.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Non-immune status: Travellers and migrants newly exposed tend to mount more intense hypersensitivity and are more prone to TPE than lifelong endemic residents.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Delayed or inadequate treatment: Prolonged untreated eosinophilic inflammation leads to the histiocytic and fibrotic phases and irreversible chronic lung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(15–40 years)</w:t>
            </w:r>
          </w:p>
        </w:tc>
        <w:tc>
          <w:tcPr>
            <w:tcW w:type="dxa" w:w="4276"/>
            <w:vAlign w:val="top"/>
          </w:tcPr>
          <w:p>
            <w:pPr>
              <w:spacing w:after="60" w:line="259" w:lineRule="auto"/>
            </w:pPr>
            <w:r>
              <w:rPr>
                <w:rFonts w:ascii="Calibri" w:hAnsi="Calibri"/>
                <w:b w:val="0"/>
                <w:i w:val="0"/>
                <w:color w:val="212121"/>
                <w:sz w:val="19"/>
              </w:rPr>
              <w:t>TPE clusters in economically active young adults, who have the greatest cumulative mosquito exposure and mount vigorous Th2 hypersensitivity to microfilariae trapped in the lungs.</w:t>
            </w:r>
          </w:p>
          <w:p>
            <w:pPr>
              <w:spacing w:after="40" w:before="60" w:line="259" w:lineRule="auto"/>
            </w:pPr>
            <w:r>
              <w:rPr>
                <w:rFonts w:ascii="Calibri" w:hAnsi="Calibri"/>
                <w:b w:val="0"/>
                <w:i w:val="0"/>
                <w:color w:val="212121"/>
                <w:sz w:val="19"/>
              </w:rPr>
              <w:t>In India TPE most commonly affects the 15–40-year age group.</w:t>
            </w:r>
          </w:p>
          <w:p>
            <w:pPr>
              <w:spacing w:after="40" w:line="252" w:lineRule="auto"/>
            </w:pPr>
            <w:hyperlink r:id="rId9">
              <w:r>
                <w:rPr>
                  <w:rFonts w:ascii="Calibri" w:hAnsi="Calibri" w:cs="Calibri"/>
                  <w:sz w:val="18"/>
                  <w:color w:val="1155CC"/>
                  <w:u w:val="single"/>
                </w:rPr>
                <w:t xml:space="preserve">ijmr.org.in — tropical pulmonary eosinophilia review</w:t>
              </w:r>
            </w:hyperlink>
          </w:p>
          <w:p>
            <w:pPr>
              <w:spacing w:before="60" w:after="40"/>
            </w:pPr>
            <w:r>
              <w:rPr>
                <w:rFonts w:ascii="Calibri" w:hAnsi="Calibri"/>
                <w:b w:val="0"/>
                <w:i w:val="0"/>
                <w:color w:val="5A5A5A"/>
                <w:sz w:val="18"/>
              </w:rPr>
              <w:t>#filaria  #eosinophilia  #youngadults  #Th2  #microfilariae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Children in endemic areas can develop TPE and, because of occult filariasis, more often show extrapulmonary features such as lymphadenopathy and hepatosplenomegaly; overall prevalence is lower than in adults.</w:t>
            </w:r>
          </w:p>
          <w:p>
            <w:pPr>
              <w:spacing w:after="40" w:before="60" w:line="259" w:lineRule="auto"/>
            </w:pPr>
            <w:r>
              <w:rPr>
                <w:rFonts w:ascii="Calibri" w:hAnsi="Calibri"/>
                <w:b w:val="0"/>
                <w:i w:val="0"/>
                <w:color w:val="212121"/>
                <w:sz w:val="19"/>
              </w:rPr>
              <w:t>Reported TPE prevalence was about 0.5% among children screened in Tamil Nadu.</w:t>
            </w:r>
          </w:p>
          <w:p>
            <w:pPr>
              <w:spacing w:after="40" w:line="252" w:lineRule="auto"/>
            </w:pPr>
            <w:hyperlink r:id="rId9">
              <w:r>
                <w:rPr>
                  <w:rFonts w:ascii="Calibri" w:hAnsi="Calibri" w:cs="Calibri"/>
                  <w:sz w:val="18"/>
                  <w:color w:val="1155CC"/>
                  <w:u w:val="single"/>
                </w:rPr>
                <w:t xml:space="preserve">ijmr.org.in — TPE prevalence in children</w:t>
              </w:r>
            </w:hyperlink>
          </w:p>
          <w:p>
            <w:pPr>
              <w:spacing w:before="60" w:after="40"/>
            </w:pPr>
            <w:r>
              <w:rPr>
                <w:rFonts w:ascii="Calibri" w:hAnsi="Calibri"/>
                <w:b w:val="0"/>
                <w:i w:val="0"/>
                <w:color w:val="5A5A5A"/>
                <w:sz w:val="18"/>
              </w:rPr>
              <w:t>#children  #occultfilariasis  #organomegaly  #lymphadenopathy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Greater outdoor and night-time mosquito exposure plus possible hormonal/immune differences make TPE substantially commoner in men, with a marked male predominance in Indian series.</w:t>
            </w:r>
          </w:p>
          <w:p>
            <w:pPr>
              <w:spacing w:after="40" w:before="60" w:line="259" w:lineRule="auto"/>
            </w:pPr>
            <w:r>
              <w:rPr>
                <w:rFonts w:ascii="Calibri" w:hAnsi="Calibri"/>
                <w:b w:val="0"/>
                <w:i w:val="0"/>
                <w:color w:val="212121"/>
                <w:sz w:val="19"/>
              </w:rPr>
              <w:t>TPE is 4–7 times more common in males (Indian male:female ratio about 4:1).</w:t>
            </w:r>
          </w:p>
          <w:p>
            <w:pPr>
              <w:spacing w:after="40" w:line="252" w:lineRule="auto"/>
            </w:pPr>
            <w:hyperlink r:id="rId10">
              <w:r>
                <w:rPr>
                  <w:rFonts w:ascii="Calibri" w:hAnsi="Calibri" w:cs="Calibri"/>
                  <w:sz w:val="18"/>
                  <w:color w:val="1155CC"/>
                  <w:u w:val="single"/>
                </w:rPr>
                <w:t xml:space="preserve">ncbi.nlm.nih.gov — StatPearls, TPE</w:t>
              </w:r>
            </w:hyperlink>
          </w:p>
          <w:p>
            <w:pPr>
              <w:spacing w:before="60" w:after="40"/>
            </w:pPr>
            <w:r>
              <w:rPr>
                <w:rFonts w:ascii="Calibri" w:hAnsi="Calibri"/>
                <w:b w:val="0"/>
                <w:i w:val="0"/>
                <w:color w:val="5A5A5A"/>
                <w:sz w:val="18"/>
              </w:rPr>
              <w:t>#male  #exposure  #sexdifference  #filaria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communities</w:t>
            </w:r>
          </w:p>
        </w:tc>
        <w:tc>
          <w:tcPr>
            <w:tcW w:type="dxa" w:w="4276"/>
            <w:vAlign w:val="top"/>
          </w:tcPr>
          <w:p>
            <w:pPr>
              <w:spacing w:after="60" w:line="259" w:lineRule="auto"/>
            </w:pPr>
            <w:r>
              <w:rPr>
                <w:rFonts w:ascii="Calibri" w:hAnsi="Calibri"/>
                <w:b w:val="0"/>
                <w:i w:val="0"/>
                <w:color w:val="212121"/>
                <w:sz w:val="19"/>
              </w:rPr>
              <w:t>Poverty, poor housing, inadequate drainage and overcrowding increase Culex breeding and biting, and reduce access to prompt diagnosis, so filarial exposure and TPE risk are higher.</w:t>
            </w:r>
          </w:p>
          <w:p>
            <w:pPr>
              <w:spacing w:after="40" w:before="60" w:line="259" w:lineRule="auto"/>
            </w:pPr>
            <w:r>
              <w:rPr>
                <w:rFonts w:ascii="Calibri" w:hAnsi="Calibri"/>
                <w:b w:val="0"/>
                <w:i w:val="0"/>
                <w:color w:val="212121"/>
                <w:sz w:val="19"/>
              </w:rPr>
              <w:t>TPE prevalence reached 9.9% among jail inmates in Patna, reflecting crowding and intense exposure.</w:t>
            </w:r>
          </w:p>
          <w:p>
            <w:pPr>
              <w:spacing w:after="40" w:line="252" w:lineRule="auto"/>
            </w:pPr>
            <w:hyperlink r:id="rId9">
              <w:r>
                <w:rPr>
                  <w:rFonts w:ascii="Calibri" w:hAnsi="Calibri" w:cs="Calibri"/>
                  <w:sz w:val="18"/>
                  <w:color w:val="1155CC"/>
                  <w:u w:val="single"/>
                </w:rPr>
                <w:t xml:space="preserve">ijmr.org.in — TPE in high-exposure groups</w:t>
              </w:r>
            </w:hyperlink>
          </w:p>
          <w:p>
            <w:pPr>
              <w:spacing w:before="60" w:after="40"/>
            </w:pPr>
            <w:r>
              <w:rPr>
                <w:rFonts w:ascii="Calibri" w:hAnsi="Calibri"/>
                <w:b w:val="0"/>
                <w:i w:val="0"/>
                <w:color w:val="5A5A5A"/>
                <w:sz w:val="18"/>
              </w:rPr>
              <w:t>#poverty  #overcrowding  #sanitation  #exposure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endemic belt</w:t>
            </w:r>
          </w:p>
        </w:tc>
        <w:tc>
          <w:tcPr>
            <w:tcW w:type="dxa" w:w="2160"/>
            <w:vAlign w:val="top"/>
          </w:tcPr>
          <w:p>
            <w:pPr>
              <w:spacing w:after="40" w:before="0" w:line="259" w:lineRule="auto"/>
            </w:pPr>
            <w:r>
              <w:rPr>
                <w:rFonts w:ascii="Calibri" w:hAnsi="Calibri"/>
                <w:b w:val="0"/>
                <w:i w:val="0"/>
                <w:color w:val="212121"/>
                <w:sz w:val="19"/>
              </w:rPr>
              <w:t>Coastal &amp; eastern endemic states</w:t>
            </w:r>
          </w:p>
        </w:tc>
        <w:tc>
          <w:tcPr>
            <w:tcW w:type="dxa" w:w="4276"/>
            <w:vAlign w:val="top"/>
          </w:tcPr>
          <w:p>
            <w:pPr>
              <w:spacing w:after="60" w:line="259" w:lineRule="auto"/>
            </w:pPr>
            <w:r>
              <w:rPr>
                <w:rFonts w:ascii="Calibri" w:hAnsi="Calibri"/>
                <w:b w:val="0"/>
                <w:i w:val="0"/>
                <w:color w:val="212121"/>
                <w:sz w:val="19"/>
              </w:rPr>
              <w:t>TPE follows the distribution of bancroftian filariasis, concentrated along the humid coastal and riverine belt where Culex vectors thrive year-round.</w:t>
            </w:r>
          </w:p>
          <w:p>
            <w:pPr>
              <w:spacing w:after="40" w:before="60" w:line="259" w:lineRule="auto"/>
            </w:pPr>
            <w:r>
              <w:rPr>
                <w:rFonts w:ascii="Calibri" w:hAnsi="Calibri"/>
                <w:b w:val="0"/>
                <w:i w:val="0"/>
                <w:color w:val="212121"/>
                <w:sz w:val="19"/>
              </w:rPr>
              <w:t>Endemic along the coastal strip from Maharashtra to Kerala and West Bengal to Tamil Nadu, plus Bihar, Odisha, Andhra Pradesh, Karnataka, MP and UP.</w:t>
            </w:r>
          </w:p>
          <w:p>
            <w:pPr>
              <w:spacing w:after="40" w:line="252" w:lineRule="auto"/>
            </w:pPr>
            <w:hyperlink r:id="rId9">
              <w:r>
                <w:rPr>
                  <w:rFonts w:ascii="Calibri" w:hAnsi="Calibri" w:cs="Calibri"/>
                  <w:sz w:val="18"/>
                  <w:color w:val="1155CC"/>
                  <w:u w:val="single"/>
                </w:rPr>
                <w:t xml:space="preserve">ijmr.org.in — geographic distribution of TPE</w:t>
              </w:r>
            </w:hyperlink>
          </w:p>
          <w:p>
            <w:pPr>
              <w:spacing w:before="60" w:after="40"/>
            </w:pPr>
            <w:r>
              <w:rPr>
                <w:rFonts w:ascii="Calibri" w:hAnsi="Calibri"/>
                <w:b w:val="0"/>
                <w:i w:val="0"/>
                <w:color w:val="5A5A5A"/>
                <w:sz w:val="18"/>
              </w:rPr>
              <w:t>#coastalIndia  #endemicbelt  #Bihar  #TamilNadu  #Odisha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 in endemic district</w:t>
            </w:r>
          </w:p>
        </w:tc>
        <w:tc>
          <w:tcPr>
            <w:tcW w:type="dxa" w:w="2160"/>
            <w:vAlign w:val="top"/>
          </w:tcPr>
          <w:p>
            <w:pPr>
              <w:spacing w:after="40" w:before="0" w:line="259" w:lineRule="auto"/>
            </w:pPr>
            <w:r>
              <w:rPr>
                <w:rFonts w:ascii="Calibri" w:hAnsi="Calibri"/>
                <w:b w:val="0"/>
                <w:i w:val="0"/>
                <w:color w:val="212121"/>
                <w:sz w:val="19"/>
              </w:rPr>
              <w:t>Residents of LF-endemic districts</w:t>
            </w:r>
          </w:p>
        </w:tc>
        <w:tc>
          <w:tcPr>
            <w:tcW w:type="dxa" w:w="4276"/>
            <w:vAlign w:val="top"/>
          </w:tcPr>
          <w:p>
            <w:pPr>
              <w:spacing w:after="60" w:line="259" w:lineRule="auto"/>
            </w:pPr>
            <w:r>
              <w:rPr>
                <w:rFonts w:ascii="Calibri" w:hAnsi="Calibri"/>
                <w:b w:val="0"/>
                <w:i w:val="0"/>
                <w:color w:val="212121"/>
                <w:sz w:val="19"/>
              </w:rPr>
              <w:t>Simply living in a filariasis-endemic district provides the chronic microfilarial exposure required for sensitisation; the at-risk population in India is very large.</w:t>
            </w:r>
          </w:p>
          <w:p>
            <w:pPr>
              <w:spacing w:after="40" w:before="60" w:line="259" w:lineRule="auto"/>
            </w:pPr>
            <w:r>
              <w:rPr>
                <w:rFonts w:ascii="Calibri" w:hAnsi="Calibri"/>
                <w:b w:val="0"/>
                <w:i w:val="0"/>
                <w:color w:val="212121"/>
                <w:sz w:val="19"/>
              </w:rPr>
              <w:t>About 650 million Indians in 257 endemic districts across 21 states/UTs are at risk of lymphatic filariasis.</w:t>
            </w:r>
          </w:p>
          <w:p>
            <w:pPr>
              <w:spacing w:after="40" w:line="252" w:lineRule="auto"/>
            </w:pPr>
            <w:hyperlink r:id="rId11">
              <w:r>
                <w:rPr>
                  <w:rFonts w:ascii="Calibri" w:hAnsi="Calibri" w:cs="Calibri"/>
                  <w:sz w:val="18"/>
                  <w:color w:val="1155CC"/>
                  <w:u w:val="single"/>
                </w:rPr>
                <w:t xml:space="preserve">ncvbdc.mohfw.gov.in — LF elimination, India</w:t>
              </w:r>
            </w:hyperlink>
          </w:p>
          <w:p>
            <w:pPr>
              <w:spacing w:before="60" w:after="40"/>
            </w:pPr>
            <w:r>
              <w:rPr>
                <w:rFonts w:ascii="Calibri" w:hAnsi="Calibri"/>
                <w:b w:val="0"/>
                <w:i w:val="0"/>
                <w:color w:val="5A5A5A"/>
                <w:sz w:val="18"/>
              </w:rPr>
              <w:t>#endemic  #650million  #atrisk  #NCVBDC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 / travel</w:t>
            </w:r>
          </w:p>
        </w:tc>
        <w:tc>
          <w:tcPr>
            <w:tcW w:type="dxa" w:w="2160"/>
            <w:vAlign w:val="top"/>
          </w:tcPr>
          <w:p>
            <w:pPr>
              <w:spacing w:after="40" w:before="0" w:line="259" w:lineRule="auto"/>
            </w:pPr>
            <w:r>
              <w:rPr>
                <w:rFonts w:ascii="Calibri" w:hAnsi="Calibri"/>
                <w:b w:val="0"/>
                <w:i w:val="0"/>
                <w:color w:val="212121"/>
                <w:sz w:val="19"/>
              </w:rPr>
              <w:t>Non-immune travellers &amp; migrants</w:t>
            </w:r>
          </w:p>
        </w:tc>
        <w:tc>
          <w:tcPr>
            <w:tcW w:type="dxa" w:w="4276"/>
            <w:vAlign w:val="top"/>
          </w:tcPr>
          <w:p>
            <w:pPr>
              <w:spacing w:after="60" w:line="259" w:lineRule="auto"/>
            </w:pPr>
            <w:r>
              <w:rPr>
                <w:rFonts w:ascii="Calibri" w:hAnsi="Calibri"/>
                <w:b w:val="0"/>
                <w:i w:val="0"/>
                <w:color w:val="212121"/>
                <w:sz w:val="19"/>
              </w:rPr>
              <w:t>People newly exposed to endemic areas (travellers, soldiers, migrant workers) tend to mount a more intense hypersensitivity response and are relatively more prone to TPE than lifelong residents.</w:t>
            </w:r>
          </w:p>
          <w:p>
            <w:pPr>
              <w:spacing w:after="40" w:before="60" w:line="259" w:lineRule="auto"/>
            </w:pPr>
            <w:r>
              <w:rPr>
                <w:rFonts w:ascii="Calibri" w:hAnsi="Calibri"/>
                <w:b w:val="0"/>
                <w:i w:val="0"/>
                <w:color w:val="212121"/>
                <w:sz w:val="19"/>
              </w:rPr>
              <w:t>TPE is described as more prevalent in non-immune individuals (e.g., travellers) than in endemic natives.</w:t>
            </w:r>
          </w:p>
          <w:p>
            <w:pPr>
              <w:spacing w:after="40" w:line="252" w:lineRule="auto"/>
            </w:pPr>
            <w:hyperlink r:id="rId10">
              <w:r>
                <w:rPr>
                  <w:rFonts w:ascii="Calibri" w:hAnsi="Calibri" w:cs="Calibri"/>
                  <w:sz w:val="18"/>
                  <w:color w:val="1155CC"/>
                  <w:u w:val="single"/>
                </w:rPr>
                <w:t xml:space="preserve">ncbi.nlm.nih.gov — StatPearls, epidemiology</w:t>
              </w:r>
            </w:hyperlink>
          </w:p>
          <w:p>
            <w:pPr>
              <w:spacing w:before="60" w:after="40"/>
            </w:pPr>
            <w:r>
              <w:rPr>
                <w:rFonts w:ascii="Calibri" w:hAnsi="Calibri"/>
                <w:b w:val="0"/>
                <w:i w:val="0"/>
                <w:color w:val="5A5A5A"/>
                <w:sz w:val="18"/>
              </w:rPr>
              <w:t>#travellers  #migrants  #nonimmune  #hypersensitivity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Vector exposure</w:t>
            </w:r>
          </w:p>
        </w:tc>
        <w:tc>
          <w:tcPr>
            <w:tcW w:type="dxa" w:w="2160"/>
            <w:vAlign w:val="top"/>
          </w:tcPr>
          <w:p>
            <w:pPr>
              <w:spacing w:after="40" w:before="0" w:line="259" w:lineRule="auto"/>
            </w:pPr>
            <w:r>
              <w:rPr>
                <w:rFonts w:ascii="Calibri" w:hAnsi="Calibri"/>
                <w:b w:val="0"/>
                <w:i w:val="0"/>
                <w:color w:val="212121"/>
                <w:sz w:val="19"/>
              </w:rPr>
              <w:t>People with heavy night-time mosquito exposure</w:t>
            </w:r>
          </w:p>
        </w:tc>
        <w:tc>
          <w:tcPr>
            <w:tcW w:type="dxa" w:w="4276"/>
            <w:vAlign w:val="top"/>
          </w:tcPr>
          <w:p>
            <w:pPr>
              <w:spacing w:after="60" w:line="259" w:lineRule="auto"/>
            </w:pPr>
            <w:r>
              <w:rPr>
                <w:rFonts w:ascii="Calibri" w:hAnsi="Calibri"/>
                <w:b w:val="0"/>
                <w:i w:val="0"/>
                <w:color w:val="212121"/>
                <w:sz w:val="19"/>
              </w:rPr>
              <w:t>Wuchereria bancrofti microfilariae show nocturnal periodicity and are transmitted by night-biting Culex quinquefasciatus, so unprotected outdoor sleeping and no bed-net use increase infective exposure.</w:t>
            </w:r>
          </w:p>
          <w:p>
            <w:pPr>
              <w:spacing w:after="40" w:before="60" w:line="259" w:lineRule="auto"/>
            </w:pPr>
            <w:r>
              <w:rPr>
                <w:rFonts w:ascii="Calibri" w:hAnsi="Calibri"/>
                <w:b w:val="0"/>
                <w:i w:val="0"/>
                <w:color w:val="212121"/>
                <w:sz w:val="19"/>
              </w:rPr>
              <w:t>Culex quinquefasciatus (with Mansonia spp. for brugian filariasis) is the principal vector in India.</w:t>
            </w:r>
          </w:p>
          <w:p>
            <w:pPr>
              <w:spacing w:after="40" w:line="252" w:lineRule="auto"/>
            </w:pPr>
            <w:hyperlink r:id="rId12">
              <w:r>
                <w:rPr>
                  <w:rFonts w:ascii="Calibri" w:hAnsi="Calibri" w:cs="Calibri"/>
                  <w:sz w:val="18"/>
                  <w:color w:val="1155CC"/>
                  <w:u w:val="single"/>
                </w:rPr>
                <w:t xml:space="preserve">ncvbdc.mohfw.gov.in — filariasis vectors</w:t>
              </w:r>
            </w:hyperlink>
          </w:p>
          <w:p>
            <w:pPr>
              <w:spacing w:before="60" w:after="40"/>
            </w:pPr>
            <w:r>
              <w:rPr>
                <w:rFonts w:ascii="Calibri" w:hAnsi="Calibri"/>
                <w:b w:val="0"/>
                <w:i w:val="0"/>
                <w:color w:val="5A5A5A"/>
                <w:sz w:val="18"/>
              </w:rPr>
              <w:t>#Culex  #nocturnal  #bednets  #vectorexposure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Housing &amp; sanitation</w:t>
            </w:r>
          </w:p>
        </w:tc>
        <w:tc>
          <w:tcPr>
            <w:tcW w:type="dxa" w:w="2160"/>
            <w:vAlign w:val="top"/>
          </w:tcPr>
          <w:p>
            <w:pPr>
              <w:spacing w:after="40" w:before="0" w:line="259" w:lineRule="auto"/>
            </w:pPr>
            <w:r>
              <w:rPr>
                <w:rFonts w:ascii="Calibri" w:hAnsi="Calibri"/>
                <w:b w:val="0"/>
                <w:i w:val="0"/>
                <w:color w:val="212121"/>
                <w:sz w:val="19"/>
              </w:rPr>
              <w:t>Homes near stagnant polluted water / open drains</w:t>
            </w:r>
          </w:p>
        </w:tc>
        <w:tc>
          <w:tcPr>
            <w:tcW w:type="dxa" w:w="4276"/>
            <w:vAlign w:val="top"/>
          </w:tcPr>
          <w:p>
            <w:pPr>
              <w:spacing w:after="60" w:line="259" w:lineRule="auto"/>
            </w:pPr>
            <w:r>
              <w:rPr>
                <w:rFonts w:ascii="Calibri" w:hAnsi="Calibri"/>
                <w:b w:val="0"/>
                <w:i w:val="0"/>
                <w:color w:val="212121"/>
                <w:sz w:val="19"/>
              </w:rPr>
              <w:t>Culex quinquefasciatus breeds prolifically in polluted, stagnant water — open drains, soakage pits and cesspools — so poor peridomestic sanitation sustains transmission and raises exposure.</w:t>
            </w:r>
          </w:p>
          <w:p>
            <w:pPr>
              <w:spacing w:before="60" w:after="40"/>
            </w:pPr>
            <w:r>
              <w:rPr>
                <w:rFonts w:ascii="Calibri" w:hAnsi="Calibri"/>
                <w:b w:val="0"/>
                <w:i w:val="0"/>
                <w:color w:val="5A5A5A"/>
                <w:sz w:val="18"/>
              </w:rPr>
              <w:t>#stagnantwater  #opendrains  #Culexbreeding  #sanitation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 bidi users with TPE</w:t>
            </w:r>
          </w:p>
        </w:tc>
        <w:tc>
          <w:tcPr>
            <w:tcW w:type="dxa" w:w="4276"/>
            <w:vAlign w:val="top"/>
          </w:tcPr>
          <w:p>
            <w:pPr>
              <w:spacing w:after="60" w:line="259" w:lineRule="auto"/>
            </w:pPr>
            <w:r>
              <w:rPr>
                <w:rFonts w:ascii="Calibri" w:hAnsi="Calibri"/>
                <w:b w:val="0"/>
                <w:i w:val="0"/>
                <w:color w:val="212121"/>
                <w:sz w:val="19"/>
              </w:rPr>
              <w:t>Tobacco smoke does not cause TPE but adds to airway inflammation and bronchial hyper-reactivity, worsening cough and wheeze and accelerating any chronic bronchitis or airflow obstruction.</w:t>
            </w:r>
          </w:p>
          <w:p>
            <w:pPr>
              <w:spacing w:before="60" w:after="40"/>
            </w:pPr>
            <w:r>
              <w:rPr>
                <w:rFonts w:ascii="Calibri" w:hAnsi="Calibri"/>
                <w:b w:val="0"/>
                <w:i w:val="0"/>
                <w:color w:val="5A5A5A"/>
                <w:sz w:val="18"/>
              </w:rPr>
              <w:t>#smoking  #bidi  #airwayinflammation  #bronchialhyperreactivity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 low BMI</w:t>
            </w:r>
          </w:p>
        </w:tc>
        <w:tc>
          <w:tcPr>
            <w:tcW w:type="dxa" w:w="2160"/>
            <w:vAlign w:val="top"/>
          </w:tcPr>
          <w:p>
            <w:pPr>
              <w:spacing w:after="40" w:before="0" w:line="259" w:lineRule="auto"/>
            </w:pPr>
            <w:r>
              <w:rPr>
                <w:rFonts w:ascii="Calibri" w:hAnsi="Calibri"/>
                <w:b w:val="0"/>
                <w:i w:val="0"/>
                <w:color w:val="212121"/>
                <w:sz w:val="19"/>
              </w:rPr>
              <w:t>Undernourished endemic-area residents</w:t>
            </w:r>
          </w:p>
        </w:tc>
        <w:tc>
          <w:tcPr>
            <w:tcW w:type="dxa" w:w="4276"/>
            <w:vAlign w:val="top"/>
          </w:tcPr>
          <w:p>
            <w:pPr>
              <w:spacing w:after="60" w:line="259" w:lineRule="auto"/>
            </w:pPr>
            <w:r>
              <w:rPr>
                <w:rFonts w:ascii="Calibri" w:hAnsi="Calibri"/>
                <w:b w:val="0"/>
                <w:i w:val="0"/>
                <w:color w:val="212121"/>
                <w:sz w:val="19"/>
              </w:rPr>
              <w:t>Under-nutrition, common in poorer endemic communities, impairs immune regulation and general respiratory reserve, though it is not a direct cause of the filarial hypersensitivity itself.</w:t>
            </w:r>
          </w:p>
          <w:p>
            <w:pPr>
              <w:spacing w:before="60" w:after="40"/>
            </w:pPr>
            <w:r>
              <w:rPr>
                <w:rFonts w:ascii="Calibri" w:hAnsi="Calibri"/>
                <w:b w:val="0"/>
                <w:i w:val="0"/>
                <w:color w:val="5A5A5A"/>
                <w:sz w:val="18"/>
              </w:rPr>
              <w:t>#undernutrition  #lowBMI  #immunity  #endemicpoverty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Antioxidant intake</w:t>
            </w:r>
          </w:p>
        </w:tc>
        <w:tc>
          <w:tcPr>
            <w:tcW w:type="dxa" w:w="2160"/>
            <w:vAlign w:val="top"/>
          </w:tcPr>
          <w:p>
            <w:pPr>
              <w:spacing w:after="40" w:before="0" w:line="259" w:lineRule="auto"/>
            </w:pPr>
            <w:r>
              <w:rPr>
                <w:rFonts w:ascii="Calibri" w:hAnsi="Calibri"/>
                <w:b w:val="0"/>
                <w:i w:val="0"/>
                <w:color w:val="212121"/>
                <w:sz w:val="19"/>
              </w:rPr>
              <w:t>Diets low in fruit &amp; vegetables</w:t>
            </w:r>
          </w:p>
        </w:tc>
        <w:tc>
          <w:tcPr>
            <w:tcW w:type="dxa" w:w="4276"/>
            <w:vAlign w:val="top"/>
          </w:tcPr>
          <w:p>
            <w:pPr>
              <w:spacing w:after="60" w:line="259" w:lineRule="auto"/>
            </w:pPr>
            <w:r>
              <w:rPr>
                <w:rFonts w:ascii="Calibri" w:hAnsi="Calibri"/>
                <w:b w:val="0"/>
                <w:i w:val="0"/>
                <w:color w:val="212121"/>
                <w:sz w:val="19"/>
              </w:rPr>
              <w:t>Eosinophil degranulation injures the lung partly through reactive oxygen species; a diet poor in antioxidant micronutrients is hypothesised to offer less protection, though direct human evidence is limited.</w:t>
            </w:r>
          </w:p>
          <w:p>
            <w:pPr>
              <w:spacing w:before="60" w:after="40"/>
            </w:pPr>
            <w:r>
              <w:rPr>
                <w:rFonts w:ascii="Calibri" w:hAnsi="Calibri"/>
                <w:b w:val="0"/>
                <w:i w:val="0"/>
                <w:color w:val="5A5A5A"/>
                <w:sz w:val="18"/>
              </w:rPr>
              <w:t>#antioxidants  #oxidativestress  #diet  #micronutrients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Immunogenetic hyper-responsiveness</w:t>
            </w:r>
          </w:p>
        </w:tc>
        <w:tc>
          <w:tcPr>
            <w:tcW w:type="dxa" w:w="2160"/>
            <w:vAlign w:val="top"/>
          </w:tcPr>
          <w:p>
            <w:pPr>
              <w:spacing w:after="40" w:before="0" w:line="259" w:lineRule="auto"/>
            </w:pPr>
            <w:r>
              <w:rPr>
                <w:rFonts w:ascii="Calibri" w:hAnsi="Calibri"/>
                <w:b w:val="0"/>
                <w:i w:val="0"/>
                <w:color w:val="212121"/>
                <w:sz w:val="19"/>
              </w:rPr>
              <w:t>Individuals with exaggerated Th2/IgE response</w:t>
            </w:r>
          </w:p>
        </w:tc>
        <w:tc>
          <w:tcPr>
            <w:tcW w:type="dxa" w:w="4276"/>
            <w:vAlign w:val="top"/>
          </w:tcPr>
          <w:p>
            <w:pPr>
              <w:spacing w:after="60" w:line="259" w:lineRule="auto"/>
            </w:pPr>
            <w:r>
              <w:rPr>
                <w:rFonts w:ascii="Calibri" w:hAnsi="Calibri"/>
                <w:b w:val="0"/>
                <w:i w:val="0"/>
                <w:color w:val="212121"/>
                <w:sz w:val="19"/>
              </w:rPr>
              <w:t>Because only a small minority of infected people develop TPE, an inherited tendency to an exaggerated Th2, high-IgE hypersensitivity response is thought to determine who becomes symptomatic.</w:t>
            </w:r>
          </w:p>
          <w:p>
            <w:pPr>
              <w:spacing w:after="40" w:before="60" w:line="259" w:lineRule="auto"/>
            </w:pPr>
            <w:r>
              <w:rPr>
                <w:rFonts w:ascii="Calibri" w:hAnsi="Calibri"/>
                <w:b w:val="0"/>
                <w:i w:val="0"/>
                <w:color w:val="212121"/>
                <w:sz w:val="19"/>
              </w:rPr>
              <w:t>TPE occurs in fewer than 1% of lymphatic-filariasis infections, implicating host immune susceptibility.</w:t>
            </w:r>
          </w:p>
          <w:p>
            <w:pPr>
              <w:spacing w:after="40" w:line="252" w:lineRule="auto"/>
            </w:pPr>
            <w:hyperlink r:id="rId10">
              <w:r>
                <w:rPr>
                  <w:rFonts w:ascii="Calibri" w:hAnsi="Calibri" w:cs="Calibri"/>
                  <w:sz w:val="18"/>
                  <w:color w:val="1155CC"/>
                  <w:u w:val="single"/>
                </w:rPr>
                <w:t xml:space="preserve">ncbi.nlm.nih.gov — StatPearls, pathophysiology</w:t>
              </w:r>
            </w:hyperlink>
          </w:p>
          <w:p>
            <w:pPr>
              <w:spacing w:before="60" w:after="40"/>
            </w:pPr>
            <w:r>
              <w:rPr>
                <w:rFonts w:ascii="Calibri" w:hAnsi="Calibri"/>
                <w:b w:val="0"/>
                <w:i w:val="0"/>
                <w:color w:val="5A5A5A"/>
                <w:sz w:val="18"/>
              </w:rPr>
              <w:t>#Th2  #IgE  #immunogenetics  #hyperresponsive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Lymphatic filariasis</w:t>
            </w:r>
          </w:p>
        </w:tc>
        <w:tc>
          <w:tcPr>
            <w:tcW w:type="dxa" w:w="2160"/>
            <w:vAlign w:val="top"/>
          </w:tcPr>
          <w:p>
            <w:pPr>
              <w:spacing w:after="40" w:before="0" w:line="259" w:lineRule="auto"/>
            </w:pPr>
            <w:r>
              <w:rPr>
                <w:rFonts w:ascii="Calibri" w:hAnsi="Calibri"/>
                <w:b w:val="0"/>
                <w:i w:val="0"/>
                <w:color w:val="212121"/>
                <w:sz w:val="19"/>
              </w:rPr>
              <w:t>Patients with bancroftian/brugian filariasis</w:t>
            </w:r>
          </w:p>
        </w:tc>
        <w:tc>
          <w:tcPr>
            <w:tcW w:type="dxa" w:w="4276"/>
            <w:vAlign w:val="top"/>
          </w:tcPr>
          <w:p>
            <w:pPr>
              <w:spacing w:after="60" w:line="259" w:lineRule="auto"/>
            </w:pPr>
            <w:r>
              <w:rPr>
                <w:rFonts w:ascii="Calibri" w:hAnsi="Calibri"/>
                <w:b w:val="0"/>
                <w:i w:val="0"/>
                <w:color w:val="212121"/>
                <w:sz w:val="19"/>
              </w:rPr>
              <w:t>TPE is a manifestation within the same infection spectrum; people with (or exposed to) lymphatic filariasis share the causative parasite and vector, and TPE is a hyper-immune, amicrofilaraemic form.</w:t>
            </w:r>
          </w:p>
          <w:p>
            <w:pPr>
              <w:spacing w:after="40" w:before="60" w:line="259" w:lineRule="auto"/>
            </w:pPr>
            <w:r>
              <w:rPr>
                <w:rFonts w:ascii="Calibri" w:hAnsi="Calibri"/>
                <w:b w:val="0"/>
                <w:i w:val="0"/>
                <w:color w:val="212121"/>
                <w:sz w:val="19"/>
              </w:rPr>
              <w:t>Wuchereria bancrofti causes 99.4% of Indian filariasis and Brugia malayi 0.6%.</w:t>
            </w:r>
          </w:p>
          <w:p>
            <w:pPr>
              <w:spacing w:after="40" w:line="252" w:lineRule="auto"/>
            </w:pPr>
            <w:hyperlink r:id="rId12">
              <w:r>
                <w:rPr>
                  <w:rFonts w:ascii="Calibri" w:hAnsi="Calibri" w:cs="Calibri"/>
                  <w:sz w:val="18"/>
                  <w:color w:val="1155CC"/>
                  <w:u w:val="single"/>
                </w:rPr>
                <w:t xml:space="preserve">ncvbdc.mohfw.gov.in — filariasis in India</w:t>
              </w:r>
            </w:hyperlink>
          </w:p>
          <w:p>
            <w:pPr>
              <w:spacing w:before="60" w:after="40"/>
            </w:pPr>
            <w:r>
              <w:rPr>
                <w:rFonts w:ascii="Calibri" w:hAnsi="Calibri"/>
                <w:b w:val="0"/>
                <w:i w:val="0"/>
                <w:color w:val="5A5A5A"/>
                <w:sz w:val="18"/>
              </w:rPr>
              <w:t>#filariasis  #Wbancrofti  #Bmalayi  #occult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Bronchial asthma</w:t>
            </w:r>
          </w:p>
        </w:tc>
        <w:tc>
          <w:tcPr>
            <w:tcW w:type="dxa" w:w="2160"/>
            <w:vAlign w:val="top"/>
          </w:tcPr>
          <w:p>
            <w:pPr>
              <w:spacing w:after="40" w:before="0" w:line="259" w:lineRule="auto"/>
            </w:pPr>
            <w:r>
              <w:rPr>
                <w:rFonts w:ascii="Calibri" w:hAnsi="Calibri"/>
                <w:b w:val="0"/>
                <w:i w:val="0"/>
                <w:color w:val="212121"/>
                <w:sz w:val="19"/>
              </w:rPr>
              <w:t>Patients with asthma-like airway disease</w:t>
            </w:r>
          </w:p>
        </w:tc>
        <w:tc>
          <w:tcPr>
            <w:tcW w:type="dxa" w:w="4276"/>
            <w:vAlign w:val="top"/>
          </w:tcPr>
          <w:p>
            <w:pPr>
              <w:spacing w:after="60" w:line="259" w:lineRule="auto"/>
            </w:pPr>
            <w:r>
              <w:rPr>
                <w:rFonts w:ascii="Calibri" w:hAnsi="Calibri"/>
                <w:b w:val="0"/>
                <w:i w:val="0"/>
                <w:color w:val="212121"/>
                <w:sz w:val="19"/>
              </w:rPr>
              <w:t>TPE closely mimics asthma (nocturnal wheeze, bronchial hyper-reactivity) and is frequently misdiagnosed as asthma; coexisting airway hyper-reactivity worsens symptoms and delays correct treatment.</w:t>
            </w:r>
          </w:p>
          <w:p>
            <w:pPr>
              <w:spacing w:before="60" w:after="40"/>
            </w:pPr>
            <w:r>
              <w:rPr>
                <w:rFonts w:ascii="Calibri" w:hAnsi="Calibri"/>
                <w:b w:val="0"/>
                <w:i w:val="0"/>
                <w:color w:val="5A5A5A"/>
                <w:sz w:val="18"/>
              </w:rPr>
              <w:t>#asthmamimic  #wheeze  #misdiagnosis  #bronchialhyperreactivity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bronchitis / COPD</w:t>
            </w:r>
          </w:p>
        </w:tc>
        <w:tc>
          <w:tcPr>
            <w:tcW w:type="dxa" w:w="2160"/>
            <w:vAlign w:val="top"/>
          </w:tcPr>
          <w:p>
            <w:pPr>
              <w:spacing w:after="40" w:before="0" w:line="259" w:lineRule="auto"/>
            </w:pPr>
            <w:r>
              <w:rPr>
                <w:rFonts w:ascii="Calibri" w:hAnsi="Calibri"/>
                <w:b w:val="0"/>
                <w:i w:val="0"/>
                <w:color w:val="212121"/>
                <w:sz w:val="19"/>
              </w:rPr>
              <w:t>Chronic TPE with airflow obstruction</w:t>
            </w:r>
          </w:p>
        </w:tc>
        <w:tc>
          <w:tcPr>
            <w:tcW w:type="dxa" w:w="4276"/>
            <w:vAlign w:val="top"/>
          </w:tcPr>
          <w:p>
            <w:pPr>
              <w:spacing w:after="60" w:line="259" w:lineRule="auto"/>
            </w:pPr>
            <w:r>
              <w:rPr>
                <w:rFonts w:ascii="Calibri" w:hAnsi="Calibri"/>
                <w:b w:val="0"/>
                <w:i w:val="0"/>
                <w:color w:val="212121"/>
                <w:sz w:val="19"/>
              </w:rPr>
              <w:t>Long-standing TPE can produce a mixed restrictive–obstructive defect with chronic bronchitis; about 30% of patients show a mixed pattern on spirometry.</w:t>
            </w:r>
          </w:p>
          <w:p>
            <w:pPr>
              <w:spacing w:after="40" w:before="60" w:line="259" w:lineRule="auto"/>
            </w:pPr>
            <w:r>
              <w:rPr>
                <w:rFonts w:ascii="Calibri" w:hAnsi="Calibri"/>
                <w:b w:val="0"/>
                <w:i w:val="0"/>
                <w:color w:val="212121"/>
                <w:sz w:val="19"/>
              </w:rPr>
              <w:t>Around 70% of TPE patients have a pure restrictive pattern and ~30% a mixed restrictive–obstructive defect.</w:t>
            </w:r>
          </w:p>
          <w:p>
            <w:pPr>
              <w:spacing w:after="40" w:line="252" w:lineRule="auto"/>
            </w:pPr>
            <w:hyperlink r:id="rId9">
              <w:r>
                <w:rPr>
                  <w:rFonts w:ascii="Calibri" w:hAnsi="Calibri" w:cs="Calibri"/>
                  <w:sz w:val="18"/>
                  <w:color w:val="1155CC"/>
                  <w:u w:val="single"/>
                </w:rPr>
                <w:t xml:space="preserve">ijmr.org.in — pulmonary function in TPE</w:t>
              </w:r>
            </w:hyperlink>
          </w:p>
          <w:p>
            <w:pPr>
              <w:spacing w:before="60" w:after="40"/>
            </w:pPr>
            <w:r>
              <w:rPr>
                <w:rFonts w:ascii="Calibri" w:hAnsi="Calibri"/>
                <w:b w:val="0"/>
                <w:i w:val="0"/>
                <w:color w:val="5A5A5A"/>
                <w:sz w:val="18"/>
              </w:rPr>
              <w:t>#chronicbronchitis  #COPD  #mixeddefect  #spirometry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Interstitial fibrosis / ILD</w:t>
            </w:r>
          </w:p>
        </w:tc>
        <w:tc>
          <w:tcPr>
            <w:tcW w:type="dxa" w:w="2160"/>
            <w:vAlign w:val="top"/>
          </w:tcPr>
          <w:p>
            <w:pPr>
              <w:spacing w:after="40" w:before="0" w:line="259" w:lineRule="auto"/>
            </w:pPr>
            <w:r>
              <w:rPr>
                <w:rFonts w:ascii="Calibri" w:hAnsi="Calibri"/>
                <w:b w:val="0"/>
                <w:i w:val="0"/>
                <w:color w:val="212121"/>
                <w:sz w:val="19"/>
              </w:rPr>
              <w:t>Chronic untreated / late-treated TPE</w:t>
            </w:r>
          </w:p>
        </w:tc>
        <w:tc>
          <w:tcPr>
            <w:tcW w:type="dxa" w:w="4276"/>
            <w:vAlign w:val="top"/>
          </w:tcPr>
          <w:p>
            <w:pPr>
              <w:spacing w:after="60" w:line="259" w:lineRule="auto"/>
            </w:pPr>
            <w:r>
              <w:rPr>
                <w:rFonts w:ascii="Calibri" w:hAnsi="Calibri"/>
                <w:b w:val="0"/>
                <w:i w:val="0"/>
                <w:color w:val="212121"/>
                <w:sz w:val="19"/>
              </w:rPr>
              <w:t>Persistent eosinophilic inflammation evolves through histiocytic infiltration to pulmonary fibrosis, leaving a fixed restrictive defect and reduced diffusion despite treatment.</w:t>
            </w:r>
          </w:p>
          <w:p>
            <w:pPr>
              <w:spacing w:after="40" w:before="60" w:line="259" w:lineRule="auto"/>
            </w:pPr>
            <w:r>
              <w:rPr>
                <w:rFonts w:ascii="Calibri" w:hAnsi="Calibri"/>
                <w:b w:val="0"/>
                <w:i w:val="0"/>
                <w:color w:val="212121"/>
                <w:sz w:val="19"/>
              </w:rPr>
              <w:t>In chronic long-duration cases DEC is ineffective in 20–40%, largely because of established fibrosis.</w:t>
            </w:r>
          </w:p>
          <w:p>
            <w:pPr>
              <w:spacing w:after="40" w:line="252" w:lineRule="auto"/>
            </w:pPr>
            <w:hyperlink r:id="rId9">
              <w:r>
                <w:rPr>
                  <w:rFonts w:ascii="Calibri" w:hAnsi="Calibri" w:cs="Calibri"/>
                  <w:sz w:val="18"/>
                  <w:color w:val="1155CC"/>
                  <w:u w:val="single"/>
                </w:rPr>
                <w:t xml:space="preserve">ijmr.org.in — chronic TPE &amp; fibrosis</w:t>
              </w:r>
            </w:hyperlink>
          </w:p>
          <w:p>
            <w:pPr>
              <w:spacing w:before="60" w:after="40"/>
            </w:pPr>
            <w:r>
              <w:rPr>
                <w:rFonts w:ascii="Calibri" w:hAnsi="Calibri"/>
                <w:b w:val="0"/>
                <w:i w:val="0"/>
                <w:color w:val="5A5A5A"/>
                <w:sz w:val="18"/>
              </w:rPr>
              <w:t>#fibrosis  #ILD  #restrictive  #irreversible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Pulmonary tuberculosis</w:t>
            </w:r>
          </w:p>
        </w:tc>
        <w:tc>
          <w:tcPr>
            <w:tcW w:type="dxa" w:w="2160"/>
            <w:vAlign w:val="top"/>
          </w:tcPr>
          <w:p>
            <w:pPr>
              <w:spacing w:after="40" w:before="0" w:line="259" w:lineRule="auto"/>
            </w:pPr>
            <w:r>
              <w:rPr>
                <w:rFonts w:ascii="Calibri" w:hAnsi="Calibri"/>
                <w:b w:val="0"/>
                <w:i w:val="0"/>
                <w:color w:val="212121"/>
                <w:sz w:val="19"/>
              </w:rPr>
              <w:t>Patients where TB is a differential</w:t>
            </w:r>
          </w:p>
        </w:tc>
        <w:tc>
          <w:tcPr>
            <w:tcW w:type="dxa" w:w="4276"/>
            <w:vAlign w:val="top"/>
          </w:tcPr>
          <w:p>
            <w:pPr>
              <w:spacing w:after="60" w:line="259" w:lineRule="auto"/>
            </w:pPr>
            <w:r>
              <w:rPr>
                <w:rFonts w:ascii="Calibri" w:hAnsi="Calibri"/>
                <w:b w:val="0"/>
                <w:i w:val="0"/>
                <w:color w:val="212121"/>
                <w:sz w:val="19"/>
              </w:rPr>
              <w:t>In India TPE is commonly confused with pulmonary tuberculosis (cough, weight loss, miliary shadows); the two can coexist and TB must be actively excluded before or alongside treatment.</w:t>
            </w:r>
          </w:p>
          <w:p>
            <w:pPr>
              <w:spacing w:before="60" w:after="40"/>
            </w:pPr>
            <w:r>
              <w:rPr>
                <w:rFonts w:ascii="Calibri" w:hAnsi="Calibri"/>
                <w:b w:val="0"/>
                <w:i w:val="0"/>
                <w:color w:val="5A5A5A"/>
                <w:sz w:val="18"/>
              </w:rPr>
              <w:t>#tuberculosis  #differential  #miliary  #India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Activity has no role in causing TPE, but deconditioning and exertional dyspnoea occur with residual restrictive disease; graded activity and pulmonary rehabilitation help chronic cases.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is not causal. Adequate nutrition supports immune regulation and respiratory reserve, and antioxidant-rich intake is hypothesised (weakly) to mitigate eosinophil-mediated oxidative lung injury.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Symptoms are characteristically nocturnal — paroxysmal night cough, wheeze and breathlessness — mirroring the nocturnal periodicity of microfilariae, so sleep is markedly disturbed until treatment.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does not cause TPE but adds to airway inflammation and bronchial hyper-reactivity, aggravating cough and wheeze and worsening chronic bronchitis / airflow obstruction in chronic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causal role in TPE; heavy use may worsen nutrition and reduce adherence to diethylcarbamazine and follow-up.</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breathlessness, sleep loss and repeated misdiagnosis (as asthma or TB) can cause anxiety and reduce treatment adherence, but there is no direct causal link to the filarial process.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Environmental water is central to transmission: Culex quinquefasciatus breeds in polluted, stagnant water (drains, cesspits), so water/drainage management reduces vector density. Hydration also aids sputum clearance.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tropical pulmonary eosinophilia.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Environmental and domestic hygiene — source reduction of mosquito breeding sites, drainage, larviciding, bed nets and personal protection — is the central preventable determinant of filarial exposure and thus TPE.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Night-biting Culex mosquitoes transmitting W. bancrofti/B. malayi, residence in an endemic area and a high microfilarial exposure provoke the hypersensitivity; non-immune (newly exposed) status intensifies it.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does not influence the risk or course of tropical pulmonary eosinophilia.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Absolute eosinophil count (/µL)</w:t>
            </w:r>
          </w:p>
        </w:tc>
        <w:tc>
          <w:tcPr>
            <w:tcW w:type="dxa" w:w="1655"/>
            <w:vAlign w:val="top"/>
          </w:tcPr>
          <w:p>
            <w:pPr>
              <w:spacing w:after="40" w:before="0" w:line="259" w:lineRule="auto"/>
            </w:pPr>
            <w:r>
              <w:rPr>
                <w:rFonts w:ascii="Calibri" w:hAnsi="Calibri"/>
                <w:b w:val="0"/>
                <w:i w:val="0"/>
                <w:color w:val="212121"/>
                <w:sz w:val="19"/>
              </w:rPr>
              <w:t>Symptomatic endemic-area residents</w:t>
            </w:r>
          </w:p>
        </w:tc>
        <w:tc>
          <w:tcPr>
            <w:tcW w:type="dxa" w:w="1512"/>
            <w:vAlign w:val="top"/>
          </w:tcPr>
          <w:p>
            <w:pPr>
              <w:spacing w:after="40" w:before="0" w:line="259" w:lineRule="auto"/>
            </w:pPr>
            <w:r>
              <w:rPr>
                <w:rFonts w:ascii="Calibri" w:hAnsi="Calibri"/>
                <w:b w:val="0"/>
                <w:i w:val="0"/>
                <w:color w:val="212121"/>
                <w:sz w:val="19"/>
              </w:rPr>
              <w:t>&lt; 500/µL</w:t>
            </w:r>
          </w:p>
        </w:tc>
        <w:tc>
          <w:tcPr>
            <w:tcW w:type="dxa" w:w="1512"/>
            <w:vAlign w:val="top"/>
          </w:tcPr>
          <w:p>
            <w:pPr>
              <w:spacing w:after="40" w:before="0" w:line="259" w:lineRule="auto"/>
            </w:pPr>
            <w:r>
              <w:rPr>
                <w:rFonts w:ascii="Calibri" w:hAnsi="Calibri"/>
                <w:b w:val="0"/>
                <w:i w:val="0"/>
                <w:color w:val="212121"/>
                <w:sz w:val="19"/>
              </w:rPr>
              <w:t>&gt; 3000/µL (often much higher)</w:t>
            </w:r>
          </w:p>
        </w:tc>
        <w:tc>
          <w:tcPr>
            <w:tcW w:type="dxa" w:w="1468"/>
            <w:vAlign w:val="top"/>
          </w:tcPr>
          <w:p>
            <w:pPr>
              <w:spacing w:after="60" w:line="259" w:lineRule="auto"/>
            </w:pPr>
            <w:r>
              <w:rPr>
                <w:rFonts w:ascii="Calibri" w:hAnsi="Calibri"/>
                <w:b w:val="0"/>
                <w:i w:val="0"/>
                <w:color w:val="212121"/>
                <w:sz w:val="19"/>
              </w:rPr>
              <w:t>Cardinal finding; may reach ~80,000/µL in TPE</w:t>
            </w:r>
          </w:p>
          <w:p>
            <w:pPr>
              <w:spacing w:after="40" w:line="252" w:lineRule="auto"/>
            </w:pPr>
            <w:hyperlink r:id="rId9">
              <w:r>
                <w:rPr>
                  <w:rFonts w:ascii="Calibri" w:hAnsi="Calibri" w:cs="Calibri"/>
                  <w:sz w:val="18"/>
                  <w:color w:val="1155CC"/>
                  <w:u w:val="single"/>
                </w:rPr>
                <w:t xml:space="preserve">https://ijmr.org.in/tropical-pulmonary-eosinophilia-a-review/</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serum IgE (IU/mL)</w:t>
            </w:r>
          </w:p>
        </w:tc>
        <w:tc>
          <w:tcPr>
            <w:tcW w:type="dxa" w:w="1655"/>
            <w:vAlign w:val="top"/>
          </w:tcPr>
          <w:p>
            <w:pPr>
              <w:spacing w:after="40" w:before="0" w:line="259" w:lineRule="auto"/>
            </w:pPr>
            <w:r>
              <w:rPr>
                <w:rFonts w:ascii="Calibri" w:hAnsi="Calibri"/>
                <w:b w:val="0"/>
                <w:i w:val="0"/>
                <w:color w:val="212121"/>
                <w:sz w:val="19"/>
              </w:rPr>
              <w:t>Suspected TPE</w:t>
            </w:r>
          </w:p>
        </w:tc>
        <w:tc>
          <w:tcPr>
            <w:tcW w:type="dxa" w:w="1512"/>
            <w:vAlign w:val="top"/>
          </w:tcPr>
          <w:p>
            <w:pPr>
              <w:spacing w:after="40" w:before="0" w:line="259" w:lineRule="auto"/>
            </w:pPr>
            <w:r>
              <w:rPr>
                <w:rFonts w:ascii="Calibri" w:hAnsi="Calibri"/>
                <w:b w:val="0"/>
                <w:i w:val="0"/>
                <w:color w:val="212121"/>
                <w:sz w:val="19"/>
              </w:rPr>
              <w:t>&lt; 150 IU/mL</w:t>
            </w:r>
          </w:p>
        </w:tc>
        <w:tc>
          <w:tcPr>
            <w:tcW w:type="dxa" w:w="1512"/>
            <w:vAlign w:val="top"/>
          </w:tcPr>
          <w:p>
            <w:pPr>
              <w:spacing w:after="40" w:before="0" w:line="259" w:lineRule="auto"/>
            </w:pPr>
            <w:r>
              <w:rPr>
                <w:rFonts w:ascii="Calibri" w:hAnsi="Calibri"/>
                <w:b w:val="0"/>
                <w:i w:val="0"/>
                <w:color w:val="212121"/>
                <w:sz w:val="19"/>
              </w:rPr>
              <w:t>&gt; 1000 IU/mL (often several thousand)</w:t>
            </w:r>
          </w:p>
        </w:tc>
        <w:tc>
          <w:tcPr>
            <w:tcW w:type="dxa" w:w="1468"/>
            <w:vAlign w:val="top"/>
          </w:tcPr>
          <w:p>
            <w:pPr>
              <w:spacing w:after="60" w:line="259" w:lineRule="auto"/>
            </w:pPr>
            <w:r>
              <w:rPr>
                <w:rFonts w:ascii="Calibri" w:hAnsi="Calibri"/>
                <w:b w:val="0"/>
                <w:i w:val="0"/>
                <w:color w:val="212121"/>
                <w:sz w:val="19"/>
              </w:rPr>
              <w:t>Very high IgE supports filarial hypersensitivity</w:t>
            </w:r>
          </w:p>
          <w:p>
            <w:pPr>
              <w:spacing w:after="40" w:line="252" w:lineRule="auto"/>
            </w:pPr>
            <w:hyperlink r:id="rId10">
              <w:r>
                <w:rPr>
                  <w:rFonts w:ascii="Calibri" w:hAnsi="Calibri" w:cs="Calibri"/>
                  <w:sz w:val="18"/>
                  <w:color w:val="1155CC"/>
                  <w:u w:val="single"/>
                </w:rPr>
                <w:t xml:space="preserve">https://www.ncbi.nlm.nih.gov/books/NBK557524/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Antifilarial antibody (IgG/IgE, ELISA)</w:t>
            </w:r>
          </w:p>
        </w:tc>
        <w:tc>
          <w:tcPr>
            <w:tcW w:type="dxa" w:w="1655"/>
            <w:vAlign w:val="top"/>
          </w:tcPr>
          <w:p>
            <w:pPr>
              <w:spacing w:after="40" w:before="0" w:line="259" w:lineRule="auto"/>
            </w:pPr>
            <w:r>
              <w:rPr>
                <w:rFonts w:ascii="Calibri" w:hAnsi="Calibri"/>
                <w:b w:val="0"/>
                <w:i w:val="0"/>
                <w:color w:val="212121"/>
                <w:sz w:val="19"/>
              </w:rPr>
              <w:t>Suspected TPE</w:t>
            </w:r>
          </w:p>
        </w:tc>
        <w:tc>
          <w:tcPr>
            <w:tcW w:type="dxa" w:w="1512"/>
            <w:vAlign w:val="top"/>
          </w:tcPr>
          <w:p>
            <w:pPr>
              <w:spacing w:after="40" w:before="0" w:line="259" w:lineRule="auto"/>
            </w:pPr>
            <w:r>
              <w:rPr>
                <w:rFonts w:ascii="Calibri" w:hAnsi="Calibri"/>
                <w:b w:val="0"/>
                <w:i w:val="0"/>
                <w:color w:val="212121"/>
                <w:sz w:val="19"/>
              </w:rPr>
              <w:t>Negative / low titre</w:t>
            </w:r>
          </w:p>
        </w:tc>
        <w:tc>
          <w:tcPr>
            <w:tcW w:type="dxa" w:w="1512"/>
            <w:vAlign w:val="top"/>
          </w:tcPr>
          <w:p>
            <w:pPr>
              <w:spacing w:after="40" w:before="0" w:line="259" w:lineRule="auto"/>
            </w:pPr>
            <w:r>
              <w:rPr>
                <w:rFonts w:ascii="Calibri" w:hAnsi="Calibri"/>
                <w:b w:val="0"/>
                <w:i w:val="0"/>
                <w:color w:val="212121"/>
                <w:sz w:val="19"/>
              </w:rPr>
              <w:t>Raised titre</w:t>
            </w:r>
          </w:p>
        </w:tc>
        <w:tc>
          <w:tcPr>
            <w:tcW w:type="dxa" w:w="1468"/>
            <w:vAlign w:val="top"/>
          </w:tcPr>
          <w:p>
            <w:pPr>
              <w:spacing w:after="40" w:before="0" w:line="259" w:lineRule="auto"/>
            </w:pPr>
            <w:r>
              <w:rPr>
                <w:rFonts w:ascii="Calibri" w:hAnsi="Calibri"/>
                <w:b w:val="0"/>
                <w:i w:val="0"/>
                <w:color w:val="212121"/>
                <w:sz w:val="19"/>
              </w:rPr>
              <w:t>Supports filarial aetiology; absent microfilaraemia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ESR (mm/hr)</w:t>
            </w:r>
          </w:p>
        </w:tc>
        <w:tc>
          <w:tcPr>
            <w:tcW w:type="dxa" w:w="1655"/>
            <w:vAlign w:val="top"/>
          </w:tcPr>
          <w:p>
            <w:pPr>
              <w:spacing w:after="40" w:before="0" w:line="259" w:lineRule="auto"/>
            </w:pPr>
            <w:r>
              <w:rPr>
                <w:rFonts w:ascii="Calibri" w:hAnsi="Calibri"/>
                <w:b w:val="0"/>
                <w:i w:val="0"/>
                <w:color w:val="212121"/>
                <w:sz w:val="19"/>
              </w:rPr>
              <w:t>Active TPE</w:t>
            </w:r>
          </w:p>
        </w:tc>
        <w:tc>
          <w:tcPr>
            <w:tcW w:type="dxa" w:w="1512"/>
            <w:vAlign w:val="top"/>
          </w:tcPr>
          <w:p>
            <w:pPr>
              <w:spacing w:after="40" w:before="0" w:line="259" w:lineRule="auto"/>
            </w:pPr>
            <w:r>
              <w:rPr>
                <w:rFonts w:ascii="Calibri" w:hAnsi="Calibri"/>
                <w:b w:val="0"/>
                <w:i w:val="0"/>
                <w:color w:val="212121"/>
                <w:sz w:val="19"/>
              </w:rPr>
              <w:t>&lt; 20 mm/hr</w:t>
            </w:r>
          </w:p>
        </w:tc>
        <w:tc>
          <w:tcPr>
            <w:tcW w:type="dxa" w:w="1512"/>
            <w:vAlign w:val="top"/>
          </w:tcPr>
          <w:p>
            <w:pPr>
              <w:spacing w:after="40" w:before="0" w:line="259" w:lineRule="auto"/>
            </w:pPr>
            <w:r>
              <w:rPr>
                <w:rFonts w:ascii="Calibri" w:hAnsi="Calibri"/>
                <w:b w:val="0"/>
                <w:i w:val="0"/>
                <w:color w:val="212121"/>
                <w:sz w:val="19"/>
              </w:rPr>
              <w:t>Elevated</w:t>
            </w:r>
          </w:p>
        </w:tc>
        <w:tc>
          <w:tcPr>
            <w:tcW w:type="dxa" w:w="1468"/>
            <w:vAlign w:val="top"/>
          </w:tcPr>
          <w:p>
            <w:pPr>
              <w:spacing w:after="60" w:line="259" w:lineRule="auto"/>
            </w:pPr>
            <w:r>
              <w:rPr>
                <w:rFonts w:ascii="Calibri" w:hAnsi="Calibri"/>
                <w:b w:val="0"/>
                <w:i w:val="0"/>
                <w:color w:val="212121"/>
                <w:sz w:val="19"/>
              </w:rPr>
              <w:t>Raised in about 90% of TPE cases</w:t>
            </w:r>
          </w:p>
          <w:p>
            <w:pPr>
              <w:spacing w:after="40" w:line="252" w:lineRule="auto"/>
            </w:pPr>
            <w:hyperlink r:id="rId9">
              <w:r>
                <w:rPr>
                  <w:rFonts w:ascii="Calibri" w:hAnsi="Calibri" w:cs="Calibri"/>
                  <w:sz w:val="18"/>
                  <w:color w:val="1155CC"/>
                  <w:u w:val="single"/>
                </w:rPr>
                <w:t xml:space="preserve">https://ijmr.org.in/tropical-pulmonary-eosinophilia-a-review/</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Insecticide-treated bed-net (LLIN) use</w:t>
            </w:r>
          </w:p>
        </w:tc>
        <w:tc>
          <w:tcPr>
            <w:tcW w:type="dxa" w:w="1655"/>
            <w:vAlign w:val="top"/>
          </w:tcPr>
          <w:p>
            <w:pPr>
              <w:spacing w:after="40" w:before="0" w:line="259" w:lineRule="auto"/>
            </w:pPr>
            <w:r>
              <w:rPr>
                <w:rFonts w:ascii="Calibri" w:hAnsi="Calibri"/>
                <w:b w:val="0"/>
                <w:i w:val="0"/>
                <w:color w:val="212121"/>
                <w:sz w:val="19"/>
              </w:rPr>
              <w:t>Endemic-area households</w:t>
            </w:r>
          </w:p>
        </w:tc>
        <w:tc>
          <w:tcPr>
            <w:tcW w:type="dxa" w:w="1512"/>
            <w:vAlign w:val="top"/>
          </w:tcPr>
          <w:p>
            <w:pPr>
              <w:spacing w:after="40" w:before="0" w:line="259" w:lineRule="auto"/>
            </w:pPr>
            <w:r>
              <w:rPr>
                <w:rFonts w:ascii="Calibri" w:hAnsi="Calibri"/>
                <w:b w:val="0"/>
                <w:i w:val="0"/>
                <w:color w:val="212121"/>
                <w:sz w:val="19"/>
              </w:rPr>
              <w:t>Consistent nightly use</w:t>
            </w:r>
          </w:p>
        </w:tc>
        <w:tc>
          <w:tcPr>
            <w:tcW w:type="dxa" w:w="1512"/>
            <w:vAlign w:val="top"/>
          </w:tcPr>
          <w:p>
            <w:pPr>
              <w:spacing w:after="40" w:before="0" w:line="259" w:lineRule="auto"/>
            </w:pPr>
            <w:r>
              <w:rPr>
                <w:rFonts w:ascii="Calibri" w:hAnsi="Calibri"/>
                <w:b w:val="0"/>
                <w:i w:val="0"/>
                <w:color w:val="212121"/>
                <w:sz w:val="19"/>
              </w:rPr>
              <w:t>Absent / intermittent use</w:t>
            </w:r>
          </w:p>
        </w:tc>
        <w:tc>
          <w:tcPr>
            <w:tcW w:type="dxa" w:w="1468"/>
            <w:vAlign w:val="top"/>
          </w:tcPr>
          <w:p>
            <w:pPr>
              <w:spacing w:after="40" w:before="0" w:line="259" w:lineRule="auto"/>
            </w:pPr>
            <w:r>
              <w:rPr>
                <w:rFonts w:ascii="Calibri" w:hAnsi="Calibri"/>
                <w:b w:val="0"/>
                <w:i w:val="0"/>
                <w:color w:val="212121"/>
                <w:sz w:val="19"/>
              </w:rPr>
              <w:t>Reduces night-time Culex bites and transmission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Peridomestic mosquito breeding sites</w:t>
            </w:r>
          </w:p>
        </w:tc>
        <w:tc>
          <w:tcPr>
            <w:tcW w:type="dxa" w:w="1655"/>
            <w:vAlign w:val="top"/>
          </w:tcPr>
          <w:p>
            <w:pPr>
              <w:spacing w:after="40" w:before="0" w:line="259" w:lineRule="auto"/>
            </w:pPr>
            <w:r>
              <w:rPr>
                <w:rFonts w:ascii="Calibri" w:hAnsi="Calibri"/>
                <w:b w:val="0"/>
                <w:i w:val="0"/>
                <w:color w:val="212121"/>
                <w:sz w:val="19"/>
              </w:rPr>
              <w:t>Households in endemic areas</w:t>
            </w:r>
          </w:p>
        </w:tc>
        <w:tc>
          <w:tcPr>
            <w:tcW w:type="dxa" w:w="1512"/>
            <w:vAlign w:val="top"/>
          </w:tcPr>
          <w:p>
            <w:pPr>
              <w:spacing w:after="40" w:before="0" w:line="259" w:lineRule="auto"/>
            </w:pPr>
            <w:r>
              <w:rPr>
                <w:rFonts w:ascii="Calibri" w:hAnsi="Calibri"/>
                <w:b w:val="0"/>
                <w:i w:val="0"/>
                <w:color w:val="212121"/>
                <w:sz w:val="19"/>
              </w:rPr>
              <w:t>None (source reduction, drainage)</w:t>
            </w:r>
          </w:p>
        </w:tc>
        <w:tc>
          <w:tcPr>
            <w:tcW w:type="dxa" w:w="1512"/>
            <w:vAlign w:val="top"/>
          </w:tcPr>
          <w:p>
            <w:pPr>
              <w:spacing w:after="40" w:before="0" w:line="259" w:lineRule="auto"/>
            </w:pPr>
            <w:r>
              <w:rPr>
                <w:rFonts w:ascii="Calibri" w:hAnsi="Calibri"/>
                <w:b w:val="0"/>
                <w:i w:val="0"/>
                <w:color w:val="212121"/>
                <w:sz w:val="19"/>
              </w:rPr>
              <w:t>Stagnant polluted water / open drains</w:t>
            </w:r>
          </w:p>
        </w:tc>
        <w:tc>
          <w:tcPr>
            <w:tcW w:type="dxa" w:w="1468"/>
            <w:vAlign w:val="top"/>
          </w:tcPr>
          <w:p>
            <w:pPr>
              <w:spacing w:after="60" w:line="259" w:lineRule="auto"/>
            </w:pPr>
            <w:r>
              <w:rPr>
                <w:rFonts w:ascii="Calibri" w:hAnsi="Calibri"/>
                <w:b w:val="0"/>
                <w:i w:val="0"/>
                <w:color w:val="212121"/>
                <w:sz w:val="19"/>
              </w:rPr>
              <w:t>Culex quinquefasciatus breeds in polluted water</w:t>
            </w:r>
          </w:p>
          <w:p>
            <w:pPr>
              <w:spacing w:after="40" w:line="252" w:lineRule="auto"/>
            </w:pPr>
            <w:hyperlink r:id="rId12">
              <w:r>
                <w:rPr>
                  <w:rFonts w:ascii="Calibri" w:hAnsi="Calibri" w:cs="Calibri"/>
                  <w:sz w:val="18"/>
                  <w:color w:val="1155CC"/>
                  <w:u w:val="single"/>
                </w:rPr>
                <w:t xml:space="preserve">https://ncvbdc.mohfw.gov.in/index4.php?lang=1&amp;level=0&amp;linkid=450&amp;lid=3727</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FVC (% predicted, restrictive pattern)</w:t>
            </w:r>
          </w:p>
        </w:tc>
        <w:tc>
          <w:tcPr>
            <w:tcW w:type="dxa" w:w="1655"/>
            <w:vAlign w:val="top"/>
          </w:tcPr>
          <w:p>
            <w:pPr>
              <w:spacing w:after="40" w:before="0" w:line="259" w:lineRule="auto"/>
            </w:pPr>
            <w:r>
              <w:rPr>
                <w:rFonts w:ascii="Calibri" w:hAnsi="Calibri"/>
                <w:b w:val="0"/>
                <w:i w:val="0"/>
                <w:color w:val="212121"/>
                <w:sz w:val="19"/>
              </w:rPr>
              <w:t>TPE with lung involvement</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predicted (restrictive)</w:t>
            </w:r>
          </w:p>
        </w:tc>
        <w:tc>
          <w:tcPr>
            <w:tcW w:type="dxa" w:w="1468"/>
            <w:vAlign w:val="top"/>
          </w:tcPr>
          <w:p>
            <w:pPr>
              <w:spacing w:after="60" w:line="259" w:lineRule="auto"/>
            </w:pPr>
            <w:r>
              <w:rPr>
                <w:rFonts w:ascii="Calibri" w:hAnsi="Calibri"/>
                <w:b w:val="0"/>
                <w:i w:val="0"/>
                <w:color w:val="212121"/>
                <w:sz w:val="19"/>
              </w:rPr>
              <w:t>~70% of TPE show a restrictive defect</w:t>
            </w:r>
          </w:p>
          <w:p>
            <w:pPr>
              <w:spacing w:after="40" w:line="252" w:lineRule="auto"/>
            </w:pPr>
            <w:hyperlink r:id="rId9">
              <w:r>
                <w:rPr>
                  <w:rFonts w:ascii="Calibri" w:hAnsi="Calibri" w:cs="Calibri"/>
                  <w:sz w:val="18"/>
                  <w:color w:val="1155CC"/>
                  <w:u w:val="single"/>
                </w:rPr>
                <w:t xml:space="preserve">https://ijmr.org.in/tropical-pulmonary-eosinophilia-a-review/</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DLCO / TLCO (% predicted)</w:t>
            </w:r>
          </w:p>
        </w:tc>
        <w:tc>
          <w:tcPr>
            <w:tcW w:type="dxa" w:w="1655"/>
            <w:vAlign w:val="top"/>
          </w:tcPr>
          <w:p>
            <w:pPr>
              <w:spacing w:after="40" w:before="0" w:line="259" w:lineRule="auto"/>
            </w:pPr>
            <w:r>
              <w:rPr>
                <w:rFonts w:ascii="Calibri" w:hAnsi="Calibri"/>
                <w:b w:val="0"/>
                <w:i w:val="0"/>
                <w:color w:val="212121"/>
                <w:sz w:val="19"/>
              </w:rPr>
              <w:t>TPE, chronic disease</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predicted</w:t>
            </w:r>
          </w:p>
        </w:tc>
        <w:tc>
          <w:tcPr>
            <w:tcW w:type="dxa" w:w="1468"/>
            <w:vAlign w:val="top"/>
          </w:tcPr>
          <w:p>
            <w:pPr>
              <w:spacing w:after="40" w:before="0" w:line="259" w:lineRule="auto"/>
            </w:pPr>
            <w:r>
              <w:rPr>
                <w:rFonts w:ascii="Calibri" w:hAnsi="Calibri"/>
                <w:b w:val="0"/>
                <w:i w:val="0"/>
                <w:color w:val="212121"/>
                <w:sz w:val="19"/>
              </w:rPr>
              <w:t>Reduced transfer factor; correlates with BAL eosinophilia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SpO₂ / arterial oxygenation</w:t>
            </w:r>
          </w:p>
        </w:tc>
        <w:tc>
          <w:tcPr>
            <w:tcW w:type="dxa" w:w="1655"/>
            <w:vAlign w:val="top"/>
          </w:tcPr>
          <w:p>
            <w:pPr>
              <w:spacing w:after="40" w:before="0" w:line="259" w:lineRule="auto"/>
            </w:pPr>
            <w:r>
              <w:rPr>
                <w:rFonts w:ascii="Calibri" w:hAnsi="Calibri"/>
                <w:b w:val="0"/>
                <w:i w:val="0"/>
                <w:color w:val="212121"/>
                <w:sz w:val="19"/>
              </w:rPr>
              <w:t>Symptomatic TPE</w:t>
            </w:r>
          </w:p>
        </w:tc>
        <w:tc>
          <w:tcPr>
            <w:tcW w:type="dxa" w:w="1512"/>
            <w:vAlign w:val="top"/>
          </w:tcPr>
          <w:p>
            <w:pPr>
              <w:spacing w:after="40" w:before="0" w:line="259" w:lineRule="auto"/>
            </w:pPr>
            <w:r>
              <w:rPr>
                <w:rFonts w:ascii="Calibri" w:hAnsi="Calibri"/>
                <w:b w:val="0"/>
                <w:i w:val="0"/>
                <w:color w:val="212121"/>
                <w:sz w:val="19"/>
              </w:rPr>
              <w:t>≥ 95%</w:t>
            </w:r>
          </w:p>
        </w:tc>
        <w:tc>
          <w:tcPr>
            <w:tcW w:type="dxa" w:w="1512"/>
            <w:vAlign w:val="top"/>
          </w:tcPr>
          <w:p>
            <w:pPr>
              <w:spacing w:after="40" w:before="0" w:line="259" w:lineRule="auto"/>
            </w:pPr>
            <w:r>
              <w:rPr>
                <w:rFonts w:ascii="Calibri" w:hAnsi="Calibri"/>
                <w:b w:val="0"/>
                <w:i w:val="0"/>
                <w:color w:val="212121"/>
                <w:sz w:val="19"/>
              </w:rPr>
              <w:t>&lt; 92% (hypoxaemia)</w:t>
            </w:r>
          </w:p>
        </w:tc>
        <w:tc>
          <w:tcPr>
            <w:tcW w:type="dxa" w:w="1468"/>
            <w:vAlign w:val="top"/>
          </w:tcPr>
          <w:p>
            <w:pPr>
              <w:spacing w:after="60" w:line="259" w:lineRule="auto"/>
            </w:pPr>
            <w:r>
              <w:rPr>
                <w:rFonts w:ascii="Calibri" w:hAnsi="Calibri"/>
                <w:b w:val="0"/>
                <w:i w:val="0"/>
                <w:color w:val="212121"/>
                <w:sz w:val="19"/>
              </w:rPr>
              <w:t>Mild arterial hypoxaemia in ~41% of untreated TPE</w:t>
            </w:r>
          </w:p>
          <w:p>
            <w:pPr>
              <w:spacing w:after="40" w:line="252" w:lineRule="auto"/>
            </w:pPr>
            <w:hyperlink r:id="rId9">
              <w:r>
                <w:rPr>
                  <w:rFonts w:ascii="Calibri" w:hAnsi="Calibri" w:cs="Calibri"/>
                  <w:sz w:val="18"/>
                  <w:color w:val="1155CC"/>
                  <w:u w:val="single"/>
                </w:rPr>
                <w:t xml:space="preserve">https://ijmr.org.in/tropical-pulmonary-eosinophilia-a-review/</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TPE patients who smoke</w:t>
            </w:r>
          </w:p>
        </w:tc>
        <w:tc>
          <w:tcPr>
            <w:tcW w:type="dxa" w:w="1512"/>
            <w:vAlign w:val="top"/>
          </w:tcPr>
          <w:p>
            <w:pPr>
              <w:spacing w:after="40" w:before="0" w:line="259" w:lineRule="auto"/>
            </w:pPr>
            <w:r>
              <w:rPr>
                <w:rFonts w:ascii="Calibri" w:hAnsi="Calibri"/>
                <w:b w:val="0"/>
                <w:i w:val="0"/>
                <w:color w:val="212121"/>
                <w:sz w:val="19"/>
              </w:rPr>
              <w:t>0 / day</w:t>
            </w:r>
          </w:p>
        </w:tc>
        <w:tc>
          <w:tcPr>
            <w:tcW w:type="dxa" w:w="1512"/>
            <w:vAlign w:val="top"/>
          </w:tcPr>
          <w:p>
            <w:pPr>
              <w:spacing w:after="40" w:before="0" w:line="259" w:lineRule="auto"/>
            </w:pPr>
            <w:r>
              <w:rPr>
                <w:rFonts w:ascii="Calibri" w:hAnsi="Calibri"/>
                <w:b w:val="0"/>
                <w:i w:val="0"/>
                <w:color w:val="212121"/>
                <w:sz w:val="19"/>
              </w:rPr>
              <w:t>≥ 1 / day</w:t>
            </w:r>
          </w:p>
        </w:tc>
        <w:tc>
          <w:tcPr>
            <w:tcW w:type="dxa" w:w="1468"/>
            <w:vAlign w:val="top"/>
          </w:tcPr>
          <w:p>
            <w:pPr>
              <w:spacing w:after="40" w:before="0" w:line="259" w:lineRule="auto"/>
            </w:pPr>
            <w:r>
              <w:rPr>
                <w:rFonts w:ascii="Calibri" w:hAnsi="Calibri"/>
                <w:b w:val="0"/>
                <w:i w:val="0"/>
                <w:color w:val="212121"/>
                <w:sz w:val="19"/>
              </w:rPr>
              <w:t>Additive airway inflammation and bronchial hyper-reactivity</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Endemic-area 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40" w:before="0" w:line="259" w:lineRule="auto"/>
            </w:pPr>
            <w:r>
              <w:rPr>
                <w:rFonts w:ascii="Calibri" w:hAnsi="Calibri"/>
                <w:b w:val="0"/>
                <w:i w:val="0"/>
                <w:color w:val="212121"/>
                <w:sz w:val="19"/>
              </w:rPr>
              <w:t>Under-nutrition impairs immunity and respiratory reserve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Absolute eosinophil count</w:t>
            </w:r>
          </w:p>
        </w:tc>
        <w:tc>
          <w:tcPr>
            <w:tcW w:type="dxa" w:w="892"/>
            <w:vAlign w:val="top"/>
          </w:tcPr>
          <w:p>
            <w:pPr>
              <w:spacing w:after="40" w:before="0" w:line="259" w:lineRule="auto"/>
            </w:pPr>
            <w:r>
              <w:rPr>
                <w:rFonts w:ascii="Calibri" w:hAnsi="Calibri"/>
                <w:b w:val="0"/>
                <w:i w:val="0"/>
                <w:color w:val="212121"/>
                <w:sz w:val="16"/>
              </w:rPr>
              <w:t>Complete blood count with differential</w:t>
            </w:r>
          </w:p>
        </w:tc>
        <w:tc>
          <w:tcPr>
            <w:tcW w:type="dxa" w:w="950"/>
            <w:vAlign w:val="top"/>
          </w:tcPr>
          <w:p>
            <w:pPr>
              <w:spacing w:after="40" w:before="0" w:line="259" w:lineRule="auto"/>
            </w:pPr>
            <w:r>
              <w:rPr>
                <w:rFonts w:ascii="Calibri" w:hAnsi="Calibri"/>
                <w:b w:val="0"/>
                <w:i w:val="0"/>
                <w:color w:val="212121"/>
                <w:sz w:val="16"/>
              </w:rPr>
              <w:t>&lt; 500/µL</w:t>
            </w:r>
          </w:p>
        </w:tc>
        <w:tc>
          <w:tcPr>
            <w:tcW w:type="dxa" w:w="950"/>
            <w:vAlign w:val="top"/>
          </w:tcPr>
          <w:p>
            <w:pPr>
              <w:spacing w:after="40" w:before="0" w:line="259" w:lineRule="auto"/>
            </w:pPr>
            <w:r>
              <w:rPr>
                <w:rFonts w:ascii="Calibri" w:hAnsi="Calibri"/>
                <w:b w:val="0"/>
                <w:i w:val="0"/>
                <w:color w:val="212121"/>
                <w:sz w:val="16"/>
              </w:rPr>
              <w:t>&gt; 3000/µL (often far higher)</w:t>
            </w:r>
          </w:p>
        </w:tc>
        <w:tc>
          <w:tcPr>
            <w:tcW w:type="dxa" w:w="1036"/>
            <w:vAlign w:val="top"/>
          </w:tcPr>
          <w:p>
            <w:pPr>
              <w:spacing w:after="40" w:before="0" w:line="259" w:lineRule="auto"/>
            </w:pPr>
            <w:r>
              <w:rPr>
                <w:rFonts w:ascii="Calibri" w:hAnsi="Calibri"/>
                <w:b w:val="0"/>
                <w:i w:val="0"/>
                <w:color w:val="212121"/>
                <w:sz w:val="16"/>
              </w:rPr>
              <w:t>Cardinal marker of TPE; degree tracks disease activity</w:t>
            </w:r>
          </w:p>
        </w:tc>
        <w:tc>
          <w:tcPr>
            <w:tcW w:type="dxa" w:w="1036"/>
            <w:vAlign w:val="top"/>
          </w:tcPr>
          <w:p>
            <w:pPr>
              <w:spacing w:after="40" w:before="0" w:line="259" w:lineRule="auto"/>
            </w:pPr>
            <w:r>
              <w:rPr>
                <w:rFonts w:ascii="Calibri" w:hAnsi="Calibri"/>
                <w:b w:val="0"/>
                <w:i w:val="0"/>
                <w:color w:val="212121"/>
                <w:sz w:val="16"/>
              </w:rPr>
              <w:t>Endemic-area patients with nocturnal cough/wheeze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Cardinal / screening</w:t>
            </w:r>
          </w:p>
        </w:tc>
        <w:tc>
          <w:tcPr>
            <w:tcW w:type="dxa" w:w="720"/>
            <w:vAlign w:val="top"/>
          </w:tcPr>
          <w:p>
            <w:pPr>
              <w:spacing w:after="40" w:before="0" w:line="259" w:lineRule="auto"/>
            </w:pPr>
            <w:r>
              <w:rPr>
                <w:rFonts w:ascii="Calibri" w:hAnsi="Calibri"/>
                <w:b w:val="0"/>
                <w:i w:val="0"/>
                <w:color w:val="212121"/>
                <w:sz w:val="16"/>
              </w:rPr>
              <w:t>May reach ~80,000/µL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Total serum IgE</w:t>
            </w:r>
          </w:p>
        </w:tc>
        <w:tc>
          <w:tcPr>
            <w:tcW w:type="dxa" w:w="892"/>
            <w:vAlign w:val="top"/>
          </w:tcPr>
          <w:p>
            <w:pPr>
              <w:spacing w:after="40" w:before="0" w:line="259" w:lineRule="auto"/>
            </w:pPr>
            <w:r>
              <w:rPr>
                <w:rFonts w:ascii="Calibri" w:hAnsi="Calibri"/>
                <w:b w:val="0"/>
                <w:i w:val="0"/>
                <w:color w:val="212121"/>
                <w:sz w:val="16"/>
              </w:rPr>
              <w:t>Serum IgE assay</w:t>
            </w:r>
          </w:p>
        </w:tc>
        <w:tc>
          <w:tcPr>
            <w:tcW w:type="dxa" w:w="950"/>
            <w:vAlign w:val="top"/>
          </w:tcPr>
          <w:p>
            <w:pPr>
              <w:spacing w:after="40" w:before="0" w:line="259" w:lineRule="auto"/>
            </w:pPr>
            <w:r>
              <w:rPr>
                <w:rFonts w:ascii="Calibri" w:hAnsi="Calibri"/>
                <w:b w:val="0"/>
                <w:i w:val="0"/>
                <w:color w:val="212121"/>
                <w:sz w:val="16"/>
              </w:rPr>
              <w:t>&lt; 150 IU/mL</w:t>
            </w:r>
          </w:p>
        </w:tc>
        <w:tc>
          <w:tcPr>
            <w:tcW w:type="dxa" w:w="950"/>
            <w:vAlign w:val="top"/>
          </w:tcPr>
          <w:p>
            <w:pPr>
              <w:spacing w:after="40" w:before="0" w:line="259" w:lineRule="auto"/>
            </w:pPr>
            <w:r>
              <w:rPr>
                <w:rFonts w:ascii="Calibri" w:hAnsi="Calibri"/>
                <w:b w:val="0"/>
                <w:i w:val="0"/>
                <w:color w:val="212121"/>
                <w:sz w:val="16"/>
              </w:rPr>
              <w:t>&gt; 1000 IU/mL (often several thousand)</w:t>
            </w:r>
          </w:p>
        </w:tc>
        <w:tc>
          <w:tcPr>
            <w:tcW w:type="dxa" w:w="1036"/>
            <w:vAlign w:val="top"/>
          </w:tcPr>
          <w:p>
            <w:pPr>
              <w:spacing w:after="40" w:before="0" w:line="259" w:lineRule="auto"/>
            </w:pPr>
            <w:r>
              <w:rPr>
                <w:rFonts w:ascii="Calibri" w:hAnsi="Calibri"/>
                <w:b w:val="0"/>
                <w:i w:val="0"/>
                <w:color w:val="212121"/>
                <w:sz w:val="16"/>
              </w:rPr>
              <w:t>Very high IgE supports filarial hypersensitivity</w:t>
            </w:r>
          </w:p>
        </w:tc>
        <w:tc>
          <w:tcPr>
            <w:tcW w:type="dxa" w:w="1036"/>
            <w:vAlign w:val="top"/>
          </w:tcPr>
          <w:p>
            <w:pPr>
              <w:spacing w:after="40" w:before="0" w:line="259" w:lineRule="auto"/>
            </w:pPr>
            <w:r>
              <w:rPr>
                <w:rFonts w:ascii="Calibri" w:hAnsi="Calibri"/>
                <w:b w:val="0"/>
                <w:i w:val="0"/>
                <w:color w:val="212121"/>
                <w:sz w:val="16"/>
              </w:rPr>
              <w:t>Suspected TPE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supportive test</w:t>
            </w:r>
          </w:p>
        </w:tc>
        <w:tc>
          <w:tcPr>
            <w:tcW w:type="dxa" w:w="720"/>
            <w:vAlign w:val="top"/>
          </w:tcPr>
          <w:p>
            <w:pPr>
              <w:spacing w:after="40" w:before="0" w:line="259" w:lineRule="auto"/>
            </w:pPr>
            <w:r>
              <w:rPr>
                <w:rFonts w:ascii="Calibri" w:hAnsi="Calibri"/>
                <w:b w:val="0"/>
                <w:i w:val="0"/>
                <w:color w:val="212121"/>
                <w:sz w:val="16"/>
              </w:rPr>
              <w:t>Falls with DEC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Antifilarial antibody (IgG/IgE)</w:t>
            </w:r>
          </w:p>
        </w:tc>
        <w:tc>
          <w:tcPr>
            <w:tcW w:type="dxa" w:w="892"/>
            <w:vAlign w:val="top"/>
          </w:tcPr>
          <w:p>
            <w:pPr>
              <w:spacing w:after="40" w:before="0" w:line="259" w:lineRule="auto"/>
            </w:pPr>
            <w:r>
              <w:rPr>
                <w:rFonts w:ascii="Calibri" w:hAnsi="Calibri"/>
                <w:b w:val="0"/>
                <w:i w:val="0"/>
                <w:color w:val="212121"/>
                <w:sz w:val="16"/>
              </w:rPr>
              <w:t>Indirect ELISA / serology</w:t>
            </w:r>
          </w:p>
        </w:tc>
        <w:tc>
          <w:tcPr>
            <w:tcW w:type="dxa" w:w="950"/>
            <w:vAlign w:val="top"/>
          </w:tcPr>
          <w:p>
            <w:pPr>
              <w:spacing w:after="40" w:before="0" w:line="259" w:lineRule="auto"/>
            </w:pPr>
            <w:r>
              <w:rPr>
                <w:rFonts w:ascii="Calibri" w:hAnsi="Calibri"/>
                <w:b w:val="0"/>
                <w:i w:val="0"/>
                <w:color w:val="212121"/>
                <w:sz w:val="16"/>
              </w:rPr>
              <w:t>Negative / low titre</w:t>
            </w:r>
          </w:p>
        </w:tc>
        <w:tc>
          <w:tcPr>
            <w:tcW w:type="dxa" w:w="950"/>
            <w:vAlign w:val="top"/>
          </w:tcPr>
          <w:p>
            <w:pPr>
              <w:spacing w:after="40" w:before="0" w:line="259" w:lineRule="auto"/>
            </w:pPr>
            <w:r>
              <w:rPr>
                <w:rFonts w:ascii="Calibri" w:hAnsi="Calibri"/>
                <w:b w:val="0"/>
                <w:i w:val="0"/>
                <w:color w:val="212121"/>
                <w:sz w:val="16"/>
              </w:rPr>
              <w:t>Raised antifilarial titre</w:t>
            </w:r>
          </w:p>
        </w:tc>
        <w:tc>
          <w:tcPr>
            <w:tcW w:type="dxa" w:w="1036"/>
            <w:vAlign w:val="top"/>
          </w:tcPr>
          <w:p>
            <w:pPr>
              <w:spacing w:after="40" w:before="0" w:line="259" w:lineRule="auto"/>
            </w:pPr>
            <w:r>
              <w:rPr>
                <w:rFonts w:ascii="Calibri" w:hAnsi="Calibri"/>
                <w:b w:val="0"/>
                <w:i w:val="0"/>
                <w:color w:val="212121"/>
                <w:sz w:val="16"/>
              </w:rPr>
              <w:t>Supports filarial aetiology in occult (amicrofilaraemic) disease</w:t>
            </w:r>
          </w:p>
        </w:tc>
        <w:tc>
          <w:tcPr>
            <w:tcW w:type="dxa" w:w="1036"/>
            <w:vAlign w:val="top"/>
          </w:tcPr>
          <w:p>
            <w:pPr>
              <w:spacing w:after="40" w:before="0" w:line="259" w:lineRule="auto"/>
            </w:pPr>
            <w:r>
              <w:rPr>
                <w:rFonts w:ascii="Calibri" w:hAnsi="Calibri"/>
                <w:b w:val="0"/>
                <w:i w:val="0"/>
                <w:color w:val="212121"/>
                <w:sz w:val="16"/>
              </w:rPr>
              <w:t>Suspected TPE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support</w:t>
            </w:r>
          </w:p>
        </w:tc>
        <w:tc>
          <w:tcPr>
            <w:tcW w:type="dxa" w:w="720"/>
            <w:vAlign w:val="top"/>
          </w:tcPr>
          <w:p>
            <w:pPr>
              <w:spacing w:after="40" w:before="0" w:line="259" w:lineRule="auto"/>
            </w:pPr>
            <w:r>
              <w:rPr>
                <w:rFonts w:ascii="Calibri" w:hAnsi="Calibri"/>
                <w:b w:val="0"/>
                <w:i w:val="0"/>
                <w:color w:val="212121"/>
                <w:sz w:val="16"/>
              </w:rPr>
              <w:t>Most sensitive by ELISA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Microfilariae / filarial antigen</w:t>
            </w:r>
          </w:p>
        </w:tc>
        <w:tc>
          <w:tcPr>
            <w:tcW w:type="dxa" w:w="892"/>
            <w:vAlign w:val="top"/>
          </w:tcPr>
          <w:p>
            <w:pPr>
              <w:spacing w:after="40" w:before="0" w:line="259" w:lineRule="auto"/>
            </w:pPr>
            <w:r>
              <w:rPr>
                <w:rFonts w:ascii="Calibri" w:hAnsi="Calibri"/>
                <w:b w:val="0"/>
                <w:i w:val="0"/>
                <w:color w:val="212121"/>
                <w:sz w:val="16"/>
              </w:rPr>
              <w:t>Night peripheral-blood smear ± circulating filarial antigen</w:t>
            </w:r>
          </w:p>
        </w:tc>
        <w:tc>
          <w:tcPr>
            <w:tcW w:type="dxa" w:w="950"/>
            <w:vAlign w:val="top"/>
          </w:tcPr>
          <w:p>
            <w:pPr>
              <w:spacing w:after="40" w:before="0" w:line="259" w:lineRule="auto"/>
            </w:pPr>
            <w:r>
              <w:rPr>
                <w:rFonts w:ascii="Calibri" w:hAnsi="Calibri"/>
                <w:b w:val="0"/>
                <w:i w:val="0"/>
                <w:color w:val="212121"/>
                <w:sz w:val="16"/>
              </w:rPr>
              <w:t>No microfilariae</w:t>
            </w:r>
          </w:p>
        </w:tc>
        <w:tc>
          <w:tcPr>
            <w:tcW w:type="dxa" w:w="950"/>
            <w:vAlign w:val="top"/>
          </w:tcPr>
          <w:p>
            <w:pPr>
              <w:spacing w:after="40" w:before="0" w:line="259" w:lineRule="auto"/>
            </w:pPr>
            <w:r>
              <w:rPr>
                <w:rFonts w:ascii="Calibri" w:hAnsi="Calibri"/>
                <w:b w:val="0"/>
                <w:i w:val="0"/>
                <w:color w:val="212121"/>
                <w:sz w:val="16"/>
              </w:rPr>
              <w:t>Characteristically negative in TPE</w:t>
            </w:r>
          </w:p>
        </w:tc>
        <w:tc>
          <w:tcPr>
            <w:tcW w:type="dxa" w:w="1036"/>
            <w:vAlign w:val="top"/>
          </w:tcPr>
          <w:p>
            <w:pPr>
              <w:spacing w:after="40" w:before="0" w:line="259" w:lineRule="auto"/>
            </w:pPr>
            <w:r>
              <w:rPr>
                <w:rFonts w:ascii="Calibri" w:hAnsi="Calibri"/>
                <w:b w:val="0"/>
                <w:i w:val="0"/>
                <w:color w:val="212121"/>
                <w:sz w:val="16"/>
              </w:rPr>
              <w:t>Absence of blood microfilariae defines occult filariasis and helps exclude classic filariasis</w:t>
            </w:r>
          </w:p>
        </w:tc>
        <w:tc>
          <w:tcPr>
            <w:tcW w:type="dxa" w:w="1036"/>
            <w:vAlign w:val="top"/>
          </w:tcPr>
          <w:p>
            <w:pPr>
              <w:spacing w:after="40" w:before="0" w:line="259" w:lineRule="auto"/>
            </w:pPr>
            <w:r>
              <w:rPr>
                <w:rFonts w:ascii="Calibri" w:hAnsi="Calibri"/>
                <w:b w:val="0"/>
                <w:i w:val="0"/>
                <w:color w:val="212121"/>
                <w:sz w:val="16"/>
              </w:rPr>
              <w:t>Suspected TPE vs microfilaraemic filariasis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Differentiating</w:t>
            </w:r>
          </w:p>
        </w:tc>
        <w:tc>
          <w:tcPr>
            <w:tcW w:type="dxa" w:w="720"/>
            <w:vAlign w:val="top"/>
          </w:tcPr>
          <w:p>
            <w:pPr>
              <w:spacing w:after="40" w:before="0" w:line="259" w:lineRule="auto"/>
            </w:pPr>
            <w:r>
              <w:rPr>
                <w:rFonts w:ascii="Calibri" w:hAnsi="Calibri"/>
                <w:b w:val="0"/>
                <w:i w:val="0"/>
                <w:color w:val="212121"/>
                <w:sz w:val="16"/>
              </w:rPr>
              <w:t>Sample at night (nocturnal periodicity)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Reticulonodular / miliary infiltrates</w:t>
            </w:r>
          </w:p>
        </w:tc>
        <w:tc>
          <w:tcPr>
            <w:tcW w:type="dxa" w:w="892"/>
            <w:vAlign w:val="top"/>
          </w:tcPr>
          <w:p>
            <w:pPr>
              <w:spacing w:after="40" w:before="0" w:line="259" w:lineRule="auto"/>
            </w:pPr>
            <w:r>
              <w:rPr>
                <w:rFonts w:ascii="Calibri" w:hAnsi="Calibri"/>
                <w:b w:val="0"/>
                <w:i w:val="0"/>
                <w:color w:val="212121"/>
                <w:sz w:val="16"/>
              </w:rPr>
              <w:t>Chest radiograph (PA)</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Mid/lower-zone reticulonodular or miliary mottling</w:t>
            </w:r>
          </w:p>
        </w:tc>
        <w:tc>
          <w:tcPr>
            <w:tcW w:type="dxa" w:w="1036"/>
            <w:vAlign w:val="top"/>
          </w:tcPr>
          <w:p>
            <w:pPr>
              <w:spacing w:after="40" w:before="0" w:line="259" w:lineRule="auto"/>
            </w:pPr>
            <w:r>
              <w:rPr>
                <w:rFonts w:ascii="Calibri" w:hAnsi="Calibri"/>
                <w:b w:val="0"/>
                <w:i w:val="0"/>
                <w:color w:val="212121"/>
                <w:sz w:val="16"/>
              </w:rPr>
              <w:t>Supports diagnosis; ~20% of TPE have a normal film</w:t>
            </w:r>
          </w:p>
        </w:tc>
        <w:tc>
          <w:tcPr>
            <w:tcW w:type="dxa" w:w="1036"/>
            <w:vAlign w:val="top"/>
          </w:tcPr>
          <w:p>
            <w:pPr>
              <w:spacing w:after="40" w:before="0" w:line="259" w:lineRule="auto"/>
            </w:pPr>
            <w:r>
              <w:rPr>
                <w:rFonts w:ascii="Calibri" w:hAnsi="Calibri"/>
                <w:b w:val="0"/>
                <w:i w:val="0"/>
                <w:color w:val="212121"/>
                <w:sz w:val="16"/>
              </w:rPr>
              <w:t>All suspected TPE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Regresses with DEC, may leave residue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Micronodules, bronchiectasis, adenopathy</w:t>
            </w:r>
          </w:p>
        </w:tc>
        <w:tc>
          <w:tcPr>
            <w:tcW w:type="dxa" w:w="892"/>
            <w:vAlign w:val="top"/>
          </w:tcPr>
          <w:p>
            <w:pPr>
              <w:spacing w:after="40" w:before="0" w:line="259" w:lineRule="auto"/>
            </w:pPr>
            <w:r>
              <w:rPr>
                <w:rFonts w:ascii="Calibri" w:hAnsi="Calibri"/>
                <w:b w:val="0"/>
                <w:i w:val="0"/>
                <w:color w:val="212121"/>
                <w:sz w:val="16"/>
              </w:rPr>
              <w:t>HRCT chest</w:t>
            </w:r>
          </w:p>
        </w:tc>
        <w:tc>
          <w:tcPr>
            <w:tcW w:type="dxa" w:w="950"/>
            <w:vAlign w:val="top"/>
          </w:tcPr>
          <w:p>
            <w:pPr>
              <w:spacing w:after="40" w:before="0" w:line="259" w:lineRule="auto"/>
            </w:pPr>
            <w:r>
              <w:rPr>
                <w:rFonts w:ascii="Calibri" w:hAnsi="Calibri"/>
                <w:b w:val="0"/>
                <w:i w:val="0"/>
                <w:color w:val="212121"/>
                <w:sz w:val="16"/>
              </w:rPr>
              <w:t>No parenchymal abnormality</w:t>
            </w:r>
          </w:p>
        </w:tc>
        <w:tc>
          <w:tcPr>
            <w:tcW w:type="dxa" w:w="950"/>
            <w:vAlign w:val="top"/>
          </w:tcPr>
          <w:p>
            <w:pPr>
              <w:spacing w:after="40" w:before="0" w:line="259" w:lineRule="auto"/>
            </w:pPr>
            <w:r>
              <w:rPr>
                <w:rFonts w:ascii="Calibri" w:hAnsi="Calibri"/>
                <w:b w:val="0"/>
                <w:i w:val="0"/>
                <w:color w:val="212121"/>
                <w:sz w:val="16"/>
              </w:rPr>
              <w:t>Micronodules, air-trapping, mediastinal nodes, occasionally cavitation/effusion</w:t>
            </w:r>
          </w:p>
        </w:tc>
        <w:tc>
          <w:tcPr>
            <w:tcW w:type="dxa" w:w="1036"/>
            <w:vAlign w:val="top"/>
          </w:tcPr>
          <w:p>
            <w:pPr>
              <w:spacing w:after="40" w:before="0" w:line="259" w:lineRule="auto"/>
            </w:pPr>
            <w:r>
              <w:rPr>
                <w:rFonts w:ascii="Calibri" w:hAnsi="Calibri"/>
                <w:b w:val="0"/>
                <w:i w:val="0"/>
                <w:color w:val="212121"/>
                <w:sz w:val="16"/>
              </w:rPr>
              <w:t>More sensitive than radiography; assesses fibrosis and complications</w:t>
            </w:r>
          </w:p>
        </w:tc>
        <w:tc>
          <w:tcPr>
            <w:tcW w:type="dxa" w:w="1036"/>
            <w:vAlign w:val="top"/>
          </w:tcPr>
          <w:p>
            <w:pPr>
              <w:spacing w:after="40" w:before="0" w:line="259" w:lineRule="auto"/>
            </w:pPr>
            <w:r>
              <w:rPr>
                <w:rFonts w:ascii="Calibri" w:hAnsi="Calibri"/>
                <w:b w:val="0"/>
                <w:i w:val="0"/>
                <w:color w:val="212121"/>
                <w:sz w:val="16"/>
              </w:rPr>
              <w:t>Atypical or chronic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Characterises chronic changes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FVC, FEV1, FEV1/FVC</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FVC ≥ 80%; ratio ≥ 0.70</w:t>
            </w:r>
          </w:p>
        </w:tc>
        <w:tc>
          <w:tcPr>
            <w:tcW w:type="dxa" w:w="950"/>
            <w:vAlign w:val="top"/>
          </w:tcPr>
          <w:p>
            <w:pPr>
              <w:spacing w:after="40" w:before="0" w:line="259" w:lineRule="auto"/>
            </w:pPr>
            <w:r>
              <w:rPr>
                <w:rFonts w:ascii="Calibri" w:hAnsi="Calibri"/>
                <w:b w:val="0"/>
                <w:i w:val="0"/>
                <w:color w:val="212121"/>
                <w:sz w:val="16"/>
              </w:rPr>
              <w:t>Restrictive (≈70%) or mixed restrictive–obstructive (≈30%)</w:t>
            </w:r>
          </w:p>
        </w:tc>
        <w:tc>
          <w:tcPr>
            <w:tcW w:type="dxa" w:w="1036"/>
            <w:vAlign w:val="top"/>
          </w:tcPr>
          <w:p>
            <w:pPr>
              <w:spacing w:after="40" w:before="0" w:line="259" w:lineRule="auto"/>
            </w:pPr>
            <w:r>
              <w:rPr>
                <w:rFonts w:ascii="Calibri" w:hAnsi="Calibri"/>
                <w:b w:val="0"/>
                <w:i w:val="0"/>
                <w:color w:val="212121"/>
                <w:sz w:val="16"/>
              </w:rPr>
              <w:t>Quantifies functional impairment and pattern</w:t>
            </w:r>
          </w:p>
        </w:tc>
        <w:tc>
          <w:tcPr>
            <w:tcW w:type="dxa" w:w="1036"/>
            <w:vAlign w:val="top"/>
          </w:tcPr>
          <w:p>
            <w:pPr>
              <w:spacing w:after="40" w:before="0" w:line="259" w:lineRule="auto"/>
            </w:pPr>
            <w:r>
              <w:rPr>
                <w:rFonts w:ascii="Calibri" w:hAnsi="Calibri"/>
                <w:b w:val="0"/>
                <w:i w:val="0"/>
                <w:color w:val="212121"/>
                <w:sz w:val="16"/>
              </w:rPr>
              <w:t>TPE with lung involvement</w:t>
            </w:r>
          </w:p>
        </w:tc>
        <w:tc>
          <w:tcPr>
            <w:tcW w:type="dxa" w:w="720"/>
            <w:vAlign w:val="top"/>
          </w:tcPr>
          <w:p>
            <w:pPr>
              <w:spacing w:after="40" w:before="0" w:line="259" w:lineRule="auto"/>
            </w:pPr>
            <w:r>
              <w:rPr>
                <w:rFonts w:ascii="Calibri" w:hAnsi="Calibri"/>
                <w:b w:val="0"/>
                <w:i w:val="0"/>
                <w:color w:val="212121"/>
                <w:sz w:val="16"/>
              </w:rPr>
              <w:t>Physical activity; Smoking</w:t>
            </w:r>
          </w:p>
        </w:tc>
        <w:tc>
          <w:tcPr>
            <w:tcW w:type="dxa" w:w="720"/>
            <w:vAlign w:val="top"/>
          </w:tcPr>
          <w:p>
            <w:pPr>
              <w:spacing w:after="40" w:before="0" w:line="259" w:lineRule="auto"/>
            </w:pPr>
            <w:r>
              <w:rPr>
                <w:rFonts w:ascii="Calibri" w:hAnsi="Calibri"/>
                <w:b w:val="0"/>
                <w:i w:val="0"/>
                <w:color w:val="212121"/>
                <w:sz w:val="16"/>
              </w:rPr>
              <w:t>Functional staging</w:t>
            </w:r>
          </w:p>
        </w:tc>
        <w:tc>
          <w:tcPr>
            <w:tcW w:type="dxa" w:w="720"/>
            <w:vAlign w:val="top"/>
          </w:tcPr>
          <w:p>
            <w:pPr>
              <w:spacing w:after="40" w:before="0" w:line="259" w:lineRule="auto"/>
            </w:pPr>
            <w:r>
              <w:rPr>
                <w:rFonts w:ascii="Calibri" w:hAnsi="Calibri"/>
                <w:b w:val="0"/>
                <w:i w:val="0"/>
                <w:color w:val="212121"/>
                <w:sz w:val="16"/>
              </w:rPr>
              <w:t>Restrictive pattern predominates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Diffusing capacity</w:t>
            </w:r>
          </w:p>
        </w:tc>
        <w:tc>
          <w:tcPr>
            <w:tcW w:type="dxa" w:w="892"/>
            <w:vAlign w:val="top"/>
          </w:tcPr>
          <w:p>
            <w:pPr>
              <w:spacing w:after="40" w:before="0" w:line="259" w:lineRule="auto"/>
            </w:pPr>
            <w:r>
              <w:rPr>
                <w:rFonts w:ascii="Calibri" w:hAnsi="Calibri"/>
                <w:b w:val="0"/>
                <w:i w:val="0"/>
                <w:color w:val="212121"/>
                <w:sz w:val="16"/>
              </w:rPr>
              <w:t>DLCO / TLCO</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predicted</w:t>
            </w:r>
          </w:p>
        </w:tc>
        <w:tc>
          <w:tcPr>
            <w:tcW w:type="dxa" w:w="1036"/>
            <w:vAlign w:val="top"/>
          </w:tcPr>
          <w:p>
            <w:pPr>
              <w:spacing w:after="40" w:before="0" w:line="259" w:lineRule="auto"/>
            </w:pPr>
            <w:r>
              <w:rPr>
                <w:rFonts w:ascii="Calibri" w:hAnsi="Calibri"/>
                <w:b w:val="0"/>
                <w:i w:val="0"/>
                <w:color w:val="212121"/>
                <w:sz w:val="16"/>
              </w:rPr>
              <w:t>Reduced gas transfer; correlates inversely with BAL eosinophilia</w:t>
            </w:r>
          </w:p>
        </w:tc>
        <w:tc>
          <w:tcPr>
            <w:tcW w:type="dxa" w:w="1036"/>
            <w:vAlign w:val="top"/>
          </w:tcPr>
          <w:p>
            <w:pPr>
              <w:spacing w:after="40" w:before="0" w:line="259" w:lineRule="auto"/>
            </w:pPr>
            <w:r>
              <w:rPr>
                <w:rFonts w:ascii="Calibri" w:hAnsi="Calibri"/>
                <w:b w:val="0"/>
                <w:i w:val="0"/>
                <w:color w:val="212121"/>
                <w:sz w:val="16"/>
              </w:rPr>
              <w:t>Symptomatic / chronic TPE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Early detection</w:t>
            </w:r>
          </w:p>
        </w:tc>
        <w:tc>
          <w:tcPr>
            <w:tcW w:type="dxa" w:w="720"/>
            <w:vAlign w:val="top"/>
          </w:tcPr>
          <w:p>
            <w:pPr>
              <w:spacing w:after="40" w:before="0" w:line="259" w:lineRule="auto"/>
            </w:pPr>
            <w:r>
              <w:rPr>
                <w:rFonts w:ascii="Calibri" w:hAnsi="Calibri"/>
                <w:b w:val="0"/>
                <w:i w:val="0"/>
                <w:color w:val="212121"/>
                <w:sz w:val="16"/>
              </w:rPr>
              <w:t>Marker of parenchymal involvement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 / oximetry</w:t>
            </w:r>
          </w:p>
        </w:tc>
        <w:tc>
          <w:tcPr>
            <w:tcW w:type="dxa" w:w="1036"/>
            <w:vAlign w:val="top"/>
          </w:tcPr>
          <w:p>
            <w:pPr>
              <w:spacing w:after="40" w:before="0" w:line="259" w:lineRule="auto"/>
            </w:pPr>
            <w:r>
              <w:rPr>
                <w:rFonts w:ascii="Calibri" w:hAnsi="Calibri"/>
                <w:b w:val="0"/>
                <w:i w:val="0"/>
                <w:color w:val="212121"/>
                <w:sz w:val="16"/>
              </w:rPr>
              <w:t>SpO₂, PaO₂</w:t>
            </w:r>
          </w:p>
        </w:tc>
        <w:tc>
          <w:tcPr>
            <w:tcW w:type="dxa" w:w="892"/>
            <w:vAlign w:val="top"/>
          </w:tcPr>
          <w:p>
            <w:pPr>
              <w:spacing w:after="40" w:before="0" w:line="259" w:lineRule="auto"/>
            </w:pPr>
            <w:r>
              <w:rPr>
                <w:rFonts w:ascii="Calibri" w:hAnsi="Calibri"/>
                <w:b w:val="0"/>
                <w:i w:val="0"/>
                <w:color w:val="212121"/>
                <w:sz w:val="16"/>
              </w:rPr>
              <w:t>Pulse oximetry / ABG</w:t>
            </w:r>
          </w:p>
        </w:tc>
        <w:tc>
          <w:tcPr>
            <w:tcW w:type="dxa" w:w="950"/>
            <w:vAlign w:val="top"/>
          </w:tcPr>
          <w:p>
            <w:pPr>
              <w:spacing w:after="40" w:before="0" w:line="259" w:lineRule="auto"/>
            </w:pPr>
            <w:r>
              <w:rPr>
                <w:rFonts w:ascii="Calibri" w:hAnsi="Calibri"/>
                <w:b w:val="0"/>
                <w:i w:val="0"/>
                <w:color w:val="212121"/>
                <w:sz w:val="16"/>
              </w:rPr>
              <w:t>SpO₂ ≥ 95%</w:t>
            </w:r>
          </w:p>
        </w:tc>
        <w:tc>
          <w:tcPr>
            <w:tcW w:type="dxa" w:w="950"/>
            <w:vAlign w:val="top"/>
          </w:tcPr>
          <w:p>
            <w:pPr>
              <w:spacing w:after="40" w:before="0" w:line="259" w:lineRule="auto"/>
            </w:pPr>
            <w:r>
              <w:rPr>
                <w:rFonts w:ascii="Calibri" w:hAnsi="Calibri"/>
                <w:b w:val="0"/>
                <w:i w:val="0"/>
                <w:color w:val="212121"/>
                <w:sz w:val="16"/>
              </w:rPr>
              <w:t>Mild hypoxaemia (SpO₂ &lt; 92%)</w:t>
            </w:r>
          </w:p>
        </w:tc>
        <w:tc>
          <w:tcPr>
            <w:tcW w:type="dxa" w:w="1036"/>
            <w:vAlign w:val="top"/>
          </w:tcPr>
          <w:p>
            <w:pPr>
              <w:spacing w:after="40" w:before="0" w:line="259" w:lineRule="auto"/>
            </w:pPr>
            <w:r>
              <w:rPr>
                <w:rFonts w:ascii="Calibri" w:hAnsi="Calibri"/>
                <w:b w:val="0"/>
                <w:i w:val="0"/>
                <w:color w:val="212121"/>
                <w:sz w:val="16"/>
              </w:rPr>
              <w:t>Detects gas-exchange impairment</w:t>
            </w:r>
          </w:p>
        </w:tc>
        <w:tc>
          <w:tcPr>
            <w:tcW w:type="dxa" w:w="1036"/>
            <w:vAlign w:val="top"/>
          </w:tcPr>
          <w:p>
            <w:pPr>
              <w:spacing w:after="40" w:before="0" w:line="259" w:lineRule="auto"/>
            </w:pPr>
            <w:r>
              <w:rPr>
                <w:rFonts w:ascii="Calibri" w:hAnsi="Calibri"/>
                <w:b w:val="0"/>
                <w:i w:val="0"/>
                <w:color w:val="212121"/>
                <w:sz w:val="16"/>
              </w:rPr>
              <w:t>Untreated / symptomatic TPE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Severity assessment</w:t>
            </w:r>
          </w:p>
        </w:tc>
        <w:tc>
          <w:tcPr>
            <w:tcW w:type="dxa" w:w="720"/>
            <w:vAlign w:val="top"/>
          </w:tcPr>
          <w:p>
            <w:pPr>
              <w:spacing w:after="40" w:before="0" w:line="259" w:lineRule="auto"/>
            </w:pPr>
            <w:r>
              <w:rPr>
                <w:rFonts w:ascii="Calibri" w:hAnsi="Calibri"/>
                <w:b w:val="0"/>
                <w:i w:val="0"/>
                <w:color w:val="212121"/>
                <w:sz w:val="16"/>
              </w:rPr>
              <w:t>Hypoxaemia in ~41% of untreated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Therapeutic trial</w:t>
            </w:r>
          </w:p>
        </w:tc>
        <w:tc>
          <w:tcPr>
            <w:tcW w:type="dxa" w:w="1036"/>
            <w:vAlign w:val="top"/>
          </w:tcPr>
          <w:p>
            <w:pPr>
              <w:spacing w:after="40" w:before="0" w:line="259" w:lineRule="auto"/>
            </w:pPr>
            <w:r>
              <w:rPr>
                <w:rFonts w:ascii="Calibri" w:hAnsi="Calibri"/>
                <w:b w:val="0"/>
                <w:i w:val="0"/>
                <w:color w:val="212121"/>
                <w:sz w:val="16"/>
              </w:rPr>
              <w:t>Response to diethylcarbamazine</w:t>
            </w:r>
          </w:p>
        </w:tc>
        <w:tc>
          <w:tcPr>
            <w:tcW w:type="dxa" w:w="892"/>
            <w:vAlign w:val="top"/>
          </w:tcPr>
          <w:p>
            <w:pPr>
              <w:spacing w:after="40" w:before="0" w:line="259" w:lineRule="auto"/>
            </w:pPr>
            <w:r>
              <w:rPr>
                <w:rFonts w:ascii="Calibri" w:hAnsi="Calibri"/>
                <w:b w:val="0"/>
                <w:i w:val="0"/>
                <w:color w:val="212121"/>
                <w:sz w:val="16"/>
              </w:rPr>
              <w:t>DEC trial (clinical + eosinophil fall)</w:t>
            </w:r>
          </w:p>
        </w:tc>
        <w:tc>
          <w:tcPr>
            <w:tcW w:type="dxa" w:w="950"/>
            <w:vAlign w:val="top"/>
          </w:tcPr>
          <w:p>
            <w:pPr>
              <w:spacing w:after="40" w:before="0" w:line="259" w:lineRule="auto"/>
            </w:pPr>
            <w:r>
              <w:rPr>
                <w:rFonts w:ascii="Calibri" w:hAnsi="Calibri"/>
                <w:b w:val="0"/>
                <w:i w:val="0"/>
                <w:color w:val="212121"/>
                <w:sz w:val="16"/>
              </w:rPr>
              <w:t>N/A</w:t>
            </w:r>
          </w:p>
        </w:tc>
        <w:tc>
          <w:tcPr>
            <w:tcW w:type="dxa" w:w="950"/>
            <w:vAlign w:val="top"/>
          </w:tcPr>
          <w:p>
            <w:pPr>
              <w:spacing w:after="40" w:before="0" w:line="259" w:lineRule="auto"/>
            </w:pPr>
            <w:r>
              <w:rPr>
                <w:rFonts w:ascii="Calibri" w:hAnsi="Calibri"/>
                <w:b w:val="0"/>
                <w:i w:val="0"/>
                <w:color w:val="212121"/>
                <w:sz w:val="16"/>
              </w:rPr>
              <w:t>Dramatic symptomatic &amp; eosinophil response confirms TPE</w:t>
            </w:r>
          </w:p>
        </w:tc>
        <w:tc>
          <w:tcPr>
            <w:tcW w:type="dxa" w:w="1036"/>
            <w:vAlign w:val="top"/>
          </w:tcPr>
          <w:p>
            <w:pPr>
              <w:spacing w:after="40" w:before="0" w:line="259" w:lineRule="auto"/>
            </w:pPr>
            <w:r>
              <w:rPr>
                <w:rFonts w:ascii="Calibri" w:hAnsi="Calibri"/>
                <w:b w:val="0"/>
                <w:i w:val="0"/>
                <w:color w:val="212121"/>
                <w:sz w:val="16"/>
              </w:rPr>
              <w:t>Diagnostic confirmation; poor response suggests chronic fibrosis or alternative diagnosis</w:t>
            </w:r>
          </w:p>
        </w:tc>
        <w:tc>
          <w:tcPr>
            <w:tcW w:type="dxa" w:w="1036"/>
            <w:vAlign w:val="top"/>
          </w:tcPr>
          <w:p>
            <w:pPr>
              <w:spacing w:after="40" w:before="0" w:line="259" w:lineRule="auto"/>
            </w:pPr>
            <w:r>
              <w:rPr>
                <w:rFonts w:ascii="Calibri" w:hAnsi="Calibri"/>
                <w:b w:val="0"/>
                <w:i w:val="0"/>
                <w:color w:val="212121"/>
                <w:sz w:val="16"/>
              </w:rPr>
              <w:t>Clinically suspected TPE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confirmation</w:t>
            </w:r>
          </w:p>
        </w:tc>
        <w:tc>
          <w:tcPr>
            <w:tcW w:type="dxa" w:w="720"/>
            <w:vAlign w:val="top"/>
          </w:tcPr>
          <w:p>
            <w:pPr>
              <w:spacing w:after="40" w:before="0" w:line="259" w:lineRule="auto"/>
            </w:pPr>
            <w:r>
              <w:rPr>
                <w:rFonts w:ascii="Calibri" w:hAnsi="Calibri"/>
                <w:b w:val="0"/>
                <w:i w:val="0"/>
                <w:color w:val="212121"/>
                <w:sz w:val="16"/>
              </w:rPr>
              <w:t>~4–5% fail to respond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Residence/travel in filaria-endemic area</w:t>
            </w:r>
          </w:p>
        </w:tc>
        <w:tc>
          <w:tcPr>
            <w:tcW w:type="dxa" w:w="950"/>
            <w:vAlign w:val="top"/>
          </w:tcPr>
          <w:p>
            <w:pPr>
              <w:spacing w:after="40" w:before="0" w:line="259" w:lineRule="auto"/>
            </w:pPr>
            <w:r>
              <w:rPr>
                <w:rFonts w:ascii="Calibri" w:hAnsi="Calibri"/>
                <w:b w:val="0"/>
                <w:i w:val="0"/>
                <w:color w:val="212121"/>
                <w:sz w:val="16"/>
              </w:rPr>
              <w:t>No endemic exposure</w:t>
            </w:r>
          </w:p>
        </w:tc>
        <w:tc>
          <w:tcPr>
            <w:tcW w:type="dxa" w:w="950"/>
            <w:vAlign w:val="top"/>
          </w:tcPr>
          <w:p>
            <w:pPr>
              <w:spacing w:after="40" w:before="0" w:line="259" w:lineRule="auto"/>
            </w:pPr>
            <w:r>
              <w:rPr>
                <w:rFonts w:ascii="Calibri" w:hAnsi="Calibri"/>
                <w:b w:val="0"/>
                <w:i w:val="0"/>
                <w:color w:val="212121"/>
                <w:sz w:val="16"/>
              </w:rPr>
              <w:t>Lives in / visited endemic region</w:t>
            </w:r>
          </w:p>
        </w:tc>
        <w:tc>
          <w:tcPr>
            <w:tcW w:type="dxa" w:w="1036"/>
            <w:vAlign w:val="top"/>
          </w:tcPr>
          <w:p>
            <w:pPr>
              <w:spacing w:after="40" w:before="0" w:line="259" w:lineRule="auto"/>
            </w:pPr>
            <w:r>
              <w:rPr>
                <w:rFonts w:ascii="Calibri" w:hAnsi="Calibri"/>
                <w:b w:val="0"/>
                <w:i w:val="0"/>
                <w:color w:val="212121"/>
                <w:sz w:val="16"/>
              </w:rPr>
              <w:t>Establishes the essential filarial exposure</w:t>
            </w:r>
          </w:p>
        </w:tc>
        <w:tc>
          <w:tcPr>
            <w:tcW w:type="dxa" w:w="1036"/>
            <w:vAlign w:val="top"/>
          </w:tcPr>
          <w:p>
            <w:pPr>
              <w:spacing w:after="40" w:before="0" w:line="259" w:lineRule="auto"/>
            </w:pPr>
            <w:r>
              <w:rPr>
                <w:rFonts w:ascii="Calibri" w:hAnsi="Calibri"/>
                <w:b w:val="0"/>
                <w:i w:val="0"/>
                <w:color w:val="212121"/>
                <w:sz w:val="16"/>
              </w:rPr>
              <w:t>All suspected TPE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 cornerstone</w:t>
            </w:r>
          </w:p>
        </w:tc>
        <w:tc>
          <w:tcPr>
            <w:tcW w:type="dxa" w:w="720"/>
            <w:vAlign w:val="top"/>
          </w:tcPr>
          <w:p>
            <w:pPr>
              <w:spacing w:after="40" w:before="0" w:line="259" w:lineRule="auto"/>
            </w:pPr>
            <w:r>
              <w:rPr>
                <w:rFonts w:ascii="Calibri" w:hAnsi="Calibri"/>
                <w:b w:val="0"/>
                <w:i w:val="0"/>
                <w:color w:val="212121"/>
                <w:sz w:val="16"/>
              </w:rPr>
              <w:t>Record district and vector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Respiratory symptoms</w:t>
            </w:r>
          </w:p>
        </w:tc>
        <w:tc>
          <w:tcPr>
            <w:tcW w:type="dxa" w:w="979"/>
            <w:vAlign w:val="top"/>
          </w:tcPr>
          <w:p>
            <w:pPr>
              <w:spacing w:after="40" w:before="0" w:line="259" w:lineRule="auto"/>
            </w:pPr>
            <w:r>
              <w:rPr>
                <w:rFonts w:ascii="Calibri" w:hAnsi="Calibri"/>
                <w:b w:val="0"/>
                <w:i w:val="0"/>
                <w:color w:val="212121"/>
                <w:sz w:val="16"/>
              </w:rPr>
              <w:t>Paroxysmal nocturnal cough, wheeze, dyspnoea</w:t>
            </w:r>
          </w:p>
        </w:tc>
        <w:tc>
          <w:tcPr>
            <w:tcW w:type="dxa" w:w="950"/>
            <w:vAlign w:val="top"/>
          </w:tcPr>
          <w:p>
            <w:pPr>
              <w:spacing w:after="40" w:before="0" w:line="259" w:lineRule="auto"/>
            </w:pPr>
            <w:r>
              <w:rPr>
                <w:rFonts w:ascii="Calibri" w:hAnsi="Calibri"/>
                <w:b w:val="0"/>
                <w:i w:val="0"/>
                <w:color w:val="212121"/>
                <w:sz w:val="16"/>
              </w:rPr>
              <w:t>No nocturnal symptoms</w:t>
            </w:r>
          </w:p>
        </w:tc>
        <w:tc>
          <w:tcPr>
            <w:tcW w:type="dxa" w:w="950"/>
            <w:vAlign w:val="top"/>
          </w:tcPr>
          <w:p>
            <w:pPr>
              <w:spacing w:after="40" w:before="0" w:line="259" w:lineRule="auto"/>
            </w:pPr>
            <w:r>
              <w:rPr>
                <w:rFonts w:ascii="Calibri" w:hAnsi="Calibri"/>
                <w:b w:val="0"/>
                <w:i w:val="0"/>
                <w:color w:val="212121"/>
                <w:sz w:val="16"/>
              </w:rPr>
              <w:t>Night-time paroxysms of cough/wheeze</w:t>
            </w:r>
          </w:p>
        </w:tc>
        <w:tc>
          <w:tcPr>
            <w:tcW w:type="dxa" w:w="1036"/>
            <w:vAlign w:val="top"/>
          </w:tcPr>
          <w:p>
            <w:pPr>
              <w:spacing w:after="40" w:before="0" w:line="259" w:lineRule="auto"/>
            </w:pPr>
            <w:r>
              <w:rPr>
                <w:rFonts w:ascii="Calibri" w:hAnsi="Calibri"/>
                <w:b w:val="0"/>
                <w:i w:val="0"/>
                <w:color w:val="212121"/>
                <w:sz w:val="16"/>
              </w:rPr>
              <w:t>Characteristic nocturnal pattern, often mistaken for asthma</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Worse at night (microfilarial periodicity)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Constitutional / duration</w:t>
            </w:r>
          </w:p>
        </w:tc>
        <w:tc>
          <w:tcPr>
            <w:tcW w:type="dxa" w:w="979"/>
            <w:vAlign w:val="top"/>
          </w:tcPr>
          <w:p>
            <w:pPr>
              <w:spacing w:after="40" w:before="0" w:line="259" w:lineRule="auto"/>
            </w:pPr>
            <w:r>
              <w:rPr>
                <w:rFonts w:ascii="Calibri" w:hAnsi="Calibri"/>
                <w:b w:val="0"/>
                <w:i w:val="0"/>
                <w:color w:val="212121"/>
                <w:sz w:val="16"/>
              </w:rPr>
              <w:t>Fever, weight loss, fatigue; symptom duration</w:t>
            </w:r>
          </w:p>
        </w:tc>
        <w:tc>
          <w:tcPr>
            <w:tcW w:type="dxa" w:w="950"/>
            <w:vAlign w:val="top"/>
          </w:tcPr>
          <w:p>
            <w:pPr>
              <w:spacing w:after="40" w:before="0" w:line="259" w:lineRule="auto"/>
            </w:pPr>
            <w:r>
              <w:rPr>
                <w:rFonts w:ascii="Calibri" w:hAnsi="Calibri"/>
                <w:b w:val="0"/>
                <w:i w:val="0"/>
                <w:color w:val="212121"/>
                <w:sz w:val="16"/>
              </w:rPr>
              <w:t>Absent, short history</w:t>
            </w:r>
          </w:p>
        </w:tc>
        <w:tc>
          <w:tcPr>
            <w:tcW w:type="dxa" w:w="950"/>
            <w:vAlign w:val="top"/>
          </w:tcPr>
          <w:p>
            <w:pPr>
              <w:spacing w:after="40" w:before="0" w:line="259" w:lineRule="auto"/>
            </w:pPr>
            <w:r>
              <w:rPr>
                <w:rFonts w:ascii="Calibri" w:hAnsi="Calibri"/>
                <w:b w:val="0"/>
                <w:i w:val="0"/>
                <w:color w:val="212121"/>
                <w:sz w:val="16"/>
              </w:rPr>
              <w:t>Systemic symptoms; prolonged (chronic) history</w:t>
            </w:r>
          </w:p>
        </w:tc>
        <w:tc>
          <w:tcPr>
            <w:tcW w:type="dxa" w:w="1036"/>
            <w:vAlign w:val="top"/>
          </w:tcPr>
          <w:p>
            <w:pPr>
              <w:spacing w:after="40" w:before="0" w:line="259" w:lineRule="auto"/>
            </w:pPr>
            <w:r>
              <w:rPr>
                <w:rFonts w:ascii="Calibri" w:hAnsi="Calibri"/>
                <w:b w:val="0"/>
                <w:i w:val="0"/>
                <w:color w:val="212121"/>
                <w:sz w:val="16"/>
              </w:rPr>
              <w:t>Long duration signals chronic/fibrotic disease and poorer DEC response</w:t>
            </w:r>
          </w:p>
        </w:tc>
        <w:tc>
          <w:tcPr>
            <w:tcW w:type="dxa" w:w="1036"/>
            <w:vAlign w:val="top"/>
          </w:tcPr>
          <w:p>
            <w:pPr>
              <w:spacing w:after="40" w:before="0" w:line="259" w:lineRule="auto"/>
            </w:pPr>
            <w:r>
              <w:rPr>
                <w:rFonts w:ascii="Calibri" w:hAnsi="Calibri"/>
                <w:b w:val="0"/>
                <w:i w:val="0"/>
                <w:color w:val="212121"/>
                <w:sz w:val="16"/>
              </w:rPr>
              <w:t>Chronic or misdiagnosed cases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Often previously labelled asthma/TB</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history</w:t>
            </w:r>
          </w:p>
        </w:tc>
        <w:tc>
          <w:tcPr>
            <w:tcW w:type="dxa" w:w="979"/>
            <w:vAlign w:val="top"/>
          </w:tcPr>
          <w:p>
            <w:pPr>
              <w:spacing w:after="40" w:before="0" w:line="259" w:lineRule="auto"/>
            </w:pPr>
            <w:r>
              <w:rPr>
                <w:rFonts w:ascii="Calibri" w:hAnsi="Calibri"/>
                <w:b w:val="0"/>
                <w:i w:val="0"/>
                <w:color w:val="212121"/>
                <w:sz w:val="16"/>
              </w:rPr>
              <w:t>Cigarettes / bidis, pack-years</w:t>
            </w:r>
          </w:p>
        </w:tc>
        <w:tc>
          <w:tcPr>
            <w:tcW w:type="dxa" w:w="950"/>
            <w:vAlign w:val="top"/>
          </w:tcPr>
          <w:p>
            <w:pPr>
              <w:spacing w:after="40" w:before="0" w:line="259" w:lineRule="auto"/>
            </w:pPr>
            <w:r>
              <w:rPr>
                <w:rFonts w:ascii="Calibri" w:hAnsi="Calibri"/>
                <w:b w:val="0"/>
                <w:i w:val="0"/>
                <w:color w:val="212121"/>
                <w:sz w:val="16"/>
              </w:rPr>
              <w:t>Never-smoker</w:t>
            </w:r>
          </w:p>
        </w:tc>
        <w:tc>
          <w:tcPr>
            <w:tcW w:type="dxa" w:w="950"/>
            <w:vAlign w:val="top"/>
          </w:tcPr>
          <w:p>
            <w:pPr>
              <w:spacing w:after="40" w:before="0" w:line="259" w:lineRule="auto"/>
            </w:pPr>
            <w:r>
              <w:rPr>
                <w:rFonts w:ascii="Calibri" w:hAnsi="Calibri"/>
                <w:b w:val="0"/>
                <w:i w:val="0"/>
                <w:color w:val="212121"/>
                <w:sz w:val="16"/>
              </w:rPr>
              <w:t>Current / heavy smoking</w:t>
            </w:r>
          </w:p>
        </w:tc>
        <w:tc>
          <w:tcPr>
            <w:tcW w:type="dxa" w:w="1036"/>
            <w:vAlign w:val="top"/>
          </w:tcPr>
          <w:p>
            <w:pPr>
              <w:spacing w:after="40" w:before="0" w:line="259" w:lineRule="auto"/>
            </w:pPr>
            <w:r>
              <w:rPr>
                <w:rFonts w:ascii="Calibri" w:hAnsi="Calibri"/>
                <w:b w:val="0"/>
                <w:i w:val="0"/>
                <w:color w:val="212121"/>
                <w:sz w:val="16"/>
              </w:rPr>
              <w:t>Quantifies additive airway inflammation</w:t>
            </w:r>
          </w:p>
        </w:tc>
        <w:tc>
          <w:tcPr>
            <w:tcW w:type="dxa" w:w="1036"/>
            <w:vAlign w:val="top"/>
          </w:tcPr>
          <w:p>
            <w:pPr>
              <w:spacing w:after="40" w:before="0" w:line="259" w:lineRule="auto"/>
            </w:pPr>
            <w:r>
              <w:rPr>
                <w:rFonts w:ascii="Calibri" w:hAnsi="Calibri"/>
                <w:b w:val="0"/>
                <w:i w:val="0"/>
                <w:color w:val="212121"/>
                <w:sz w:val="16"/>
              </w:rPr>
              <w:t>TPE patients who smoke</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Target for cessation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Chest auscultation</w:t>
            </w:r>
          </w:p>
        </w:tc>
        <w:tc>
          <w:tcPr>
            <w:tcW w:type="dxa" w:w="979"/>
            <w:vAlign w:val="top"/>
          </w:tcPr>
          <w:p>
            <w:pPr>
              <w:spacing w:after="40" w:before="0" w:line="259" w:lineRule="auto"/>
            </w:pPr>
            <w:r>
              <w:rPr>
                <w:rFonts w:ascii="Calibri" w:hAnsi="Calibri"/>
                <w:b w:val="0"/>
                <w:i w:val="0"/>
                <w:color w:val="212121"/>
                <w:sz w:val="16"/>
              </w:rPr>
              <w:t>Wheeze, rhonchi, basal crepitations</w:t>
            </w:r>
          </w:p>
        </w:tc>
        <w:tc>
          <w:tcPr>
            <w:tcW w:type="dxa" w:w="950"/>
            <w:vAlign w:val="top"/>
          </w:tcPr>
          <w:p>
            <w:pPr>
              <w:spacing w:after="40" w:before="0" w:line="259" w:lineRule="auto"/>
            </w:pPr>
            <w:r>
              <w:rPr>
                <w:rFonts w:ascii="Calibri" w:hAnsi="Calibri"/>
                <w:b w:val="0"/>
                <w:i w:val="0"/>
                <w:color w:val="212121"/>
                <w:sz w:val="16"/>
              </w:rPr>
              <w:t>Clear breath sounds</w:t>
            </w:r>
          </w:p>
        </w:tc>
        <w:tc>
          <w:tcPr>
            <w:tcW w:type="dxa" w:w="950"/>
            <w:vAlign w:val="top"/>
          </w:tcPr>
          <w:p>
            <w:pPr>
              <w:spacing w:after="40" w:before="0" w:line="259" w:lineRule="auto"/>
            </w:pPr>
            <w:r>
              <w:rPr>
                <w:rFonts w:ascii="Calibri" w:hAnsi="Calibri"/>
                <w:b w:val="0"/>
                <w:i w:val="0"/>
                <w:color w:val="212121"/>
                <w:sz w:val="16"/>
              </w:rPr>
              <w:t>Bilateral wheeze/rhonchi, crackles</w:t>
            </w:r>
          </w:p>
        </w:tc>
        <w:tc>
          <w:tcPr>
            <w:tcW w:type="dxa" w:w="1036"/>
            <w:vAlign w:val="top"/>
          </w:tcPr>
          <w:p>
            <w:pPr>
              <w:spacing w:after="40" w:before="0" w:line="259" w:lineRule="auto"/>
            </w:pPr>
            <w:r>
              <w:rPr>
                <w:rFonts w:ascii="Calibri" w:hAnsi="Calibri"/>
                <w:b w:val="0"/>
                <w:i w:val="0"/>
                <w:color w:val="212121"/>
                <w:sz w:val="16"/>
              </w:rPr>
              <w:t>Reflects airway and parenchymal involvement</w:t>
            </w:r>
          </w:p>
        </w:tc>
        <w:tc>
          <w:tcPr>
            <w:tcW w:type="dxa" w:w="1036"/>
            <w:vAlign w:val="top"/>
          </w:tcPr>
          <w:p>
            <w:pPr>
              <w:spacing w:after="40" w:before="0" w:line="259" w:lineRule="auto"/>
            </w:pPr>
            <w:r>
              <w:rPr>
                <w:rFonts w:ascii="Calibri" w:hAnsi="Calibri"/>
                <w:b w:val="0"/>
                <w:i w:val="0"/>
                <w:color w:val="212121"/>
                <w:sz w:val="16"/>
              </w:rPr>
              <w:t>Established TPE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Bedside assessment</w:t>
            </w:r>
          </w:p>
        </w:tc>
        <w:tc>
          <w:tcPr>
            <w:tcW w:type="dxa" w:w="720"/>
            <w:vAlign w:val="top"/>
          </w:tcPr>
          <w:p>
            <w:pPr>
              <w:spacing w:after="40" w:before="0" w:line="259" w:lineRule="auto"/>
            </w:pPr>
            <w:r>
              <w:rPr>
                <w:rFonts w:ascii="Calibri" w:hAnsi="Calibri"/>
                <w:b w:val="0"/>
                <w:i w:val="0"/>
                <w:color w:val="212121"/>
                <w:sz w:val="16"/>
              </w:rPr>
              <w:t>May resemble asthma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Lymphoreticular exam</w:t>
            </w:r>
          </w:p>
        </w:tc>
        <w:tc>
          <w:tcPr>
            <w:tcW w:type="dxa" w:w="979"/>
            <w:vAlign w:val="top"/>
          </w:tcPr>
          <w:p>
            <w:pPr>
              <w:spacing w:after="40" w:before="0" w:line="259" w:lineRule="auto"/>
            </w:pPr>
            <w:r>
              <w:rPr>
                <w:rFonts w:ascii="Calibri" w:hAnsi="Calibri"/>
                <w:b w:val="0"/>
                <w:i w:val="0"/>
                <w:color w:val="212121"/>
                <w:sz w:val="16"/>
              </w:rPr>
              <w:t>Lymphadenopathy, hepatosplenomegaly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Nodes / organomegaly (especially in children)</w:t>
            </w:r>
          </w:p>
        </w:tc>
        <w:tc>
          <w:tcPr>
            <w:tcW w:type="dxa" w:w="1036"/>
            <w:vAlign w:val="top"/>
          </w:tcPr>
          <w:p>
            <w:pPr>
              <w:spacing w:after="40" w:before="0" w:line="259" w:lineRule="auto"/>
            </w:pPr>
            <w:r>
              <w:rPr>
                <w:rFonts w:ascii="Calibri" w:hAnsi="Calibri"/>
                <w:b w:val="0"/>
                <w:i w:val="0"/>
                <w:color w:val="212121"/>
                <w:sz w:val="16"/>
              </w:rPr>
              <w:t>Reflects systemic occult filarial response</w:t>
            </w:r>
          </w:p>
        </w:tc>
        <w:tc>
          <w:tcPr>
            <w:tcW w:type="dxa" w:w="1036"/>
            <w:vAlign w:val="top"/>
          </w:tcPr>
          <w:p>
            <w:pPr>
              <w:spacing w:after="40" w:before="0" w:line="259" w:lineRule="auto"/>
            </w:pPr>
            <w:r>
              <w:rPr>
                <w:rFonts w:ascii="Calibri" w:hAnsi="Calibri"/>
                <w:b w:val="0"/>
                <w:i w:val="0"/>
                <w:color w:val="212121"/>
                <w:sz w:val="16"/>
              </w:rPr>
              <w:t>Children, extrapulmonary TPE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Commoner in paediatric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Oxygenation &amp; work of breathing</w:t>
            </w:r>
          </w:p>
        </w:tc>
        <w:tc>
          <w:tcPr>
            <w:tcW w:type="dxa" w:w="979"/>
            <w:vAlign w:val="top"/>
          </w:tcPr>
          <w:p>
            <w:pPr>
              <w:spacing w:after="40" w:before="0" w:line="259" w:lineRule="auto"/>
            </w:pPr>
            <w:r>
              <w:rPr>
                <w:rFonts w:ascii="Calibri" w:hAnsi="Calibri"/>
                <w:b w:val="0"/>
                <w:i w:val="0"/>
                <w:color w:val="212121"/>
                <w:sz w:val="16"/>
              </w:rPr>
              <w:t>Tachypnoea, SpO₂, cyanosis</w:t>
            </w:r>
          </w:p>
        </w:tc>
        <w:tc>
          <w:tcPr>
            <w:tcW w:type="dxa" w:w="950"/>
            <w:vAlign w:val="top"/>
          </w:tcPr>
          <w:p>
            <w:pPr>
              <w:spacing w:after="40" w:before="0" w:line="259" w:lineRule="auto"/>
            </w:pPr>
            <w:r>
              <w:rPr>
                <w:rFonts w:ascii="Calibri" w:hAnsi="Calibri"/>
                <w:b w:val="0"/>
                <w:i w:val="0"/>
                <w:color w:val="212121"/>
                <w:sz w:val="16"/>
              </w:rPr>
              <w:t>Normal effort, SpO₂ ≥ 95%</w:t>
            </w:r>
          </w:p>
        </w:tc>
        <w:tc>
          <w:tcPr>
            <w:tcW w:type="dxa" w:w="950"/>
            <w:vAlign w:val="top"/>
          </w:tcPr>
          <w:p>
            <w:pPr>
              <w:spacing w:after="40" w:before="0" w:line="259" w:lineRule="auto"/>
            </w:pPr>
            <w:r>
              <w:rPr>
                <w:rFonts w:ascii="Calibri" w:hAnsi="Calibri"/>
                <w:b w:val="0"/>
                <w:i w:val="0"/>
                <w:color w:val="212121"/>
                <w:sz w:val="16"/>
              </w:rPr>
              <w:t>Tachypnoea, low SpO₂, cyanosis in advanced disease</w:t>
            </w:r>
          </w:p>
        </w:tc>
        <w:tc>
          <w:tcPr>
            <w:tcW w:type="dxa" w:w="1036"/>
            <w:vAlign w:val="top"/>
          </w:tcPr>
          <w:p>
            <w:pPr>
              <w:spacing w:after="40" w:before="0" w:line="259" w:lineRule="auto"/>
            </w:pPr>
            <w:r>
              <w:rPr>
                <w:rFonts w:ascii="Calibri" w:hAnsi="Calibri"/>
                <w:b w:val="0"/>
                <w:i w:val="0"/>
                <w:color w:val="212121"/>
                <w:sz w:val="16"/>
              </w:rPr>
              <w:t>Marks significant gas-exchange impairment</w:t>
            </w:r>
          </w:p>
        </w:tc>
        <w:tc>
          <w:tcPr>
            <w:tcW w:type="dxa" w:w="1036"/>
            <w:vAlign w:val="top"/>
          </w:tcPr>
          <w:p>
            <w:pPr>
              <w:spacing w:after="40" w:before="0" w:line="259" w:lineRule="auto"/>
            </w:pPr>
            <w:r>
              <w:rPr>
                <w:rFonts w:ascii="Calibri" w:hAnsi="Calibri"/>
                <w:b w:val="0"/>
                <w:i w:val="0"/>
                <w:color w:val="212121"/>
                <w:sz w:val="16"/>
              </w:rPr>
              <w:t>Severe / advanced TPE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Triage</w:t>
            </w:r>
          </w:p>
        </w:tc>
        <w:tc>
          <w:tcPr>
            <w:tcW w:type="dxa" w:w="720"/>
            <w:vAlign w:val="top"/>
          </w:tcPr>
          <w:p>
            <w:pPr>
              <w:spacing w:after="40" w:before="0" w:line="259" w:lineRule="auto"/>
            </w:pPr>
            <w:r>
              <w:rPr>
                <w:rFonts w:ascii="Calibri" w:hAnsi="Calibri"/>
                <w:b w:val="0"/>
                <w:i w:val="0"/>
                <w:color w:val="212121"/>
                <w:sz w:val="16"/>
              </w:rPr>
              <w:t>Confirm with oximetry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Paroxysmal nocturnal dry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bouts of dry, irritating cough that characteristically worsen at night.</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Episodic wheeze from eosinophilic airway inflammation and bronchial hyper-reactivity, often mimicking asthma.</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Exertional and nocturnal breathlessness due to airway inflammation and parenchymal involvement.</w:t>
            </w:r>
          </w:p>
        </w:tc>
      </w:tr>
      <w:tr>
        <w:trPr>
          <w:cantSplit/>
        </w:trPr>
        <w:tc>
          <w:tcPr>
            <w:tcW w:type="dxa" w:w="2304"/>
            <w:vAlign w:val="top"/>
          </w:tcPr>
          <w:p>
            <w:pPr>
              <w:spacing w:after="40" w:before="0" w:line="259" w:lineRule="auto"/>
            </w:pPr>
            <w:r>
              <w:rPr>
                <w:rFonts w:ascii="Calibri" w:hAnsi="Calibri"/>
                <w:b/>
                <w:i w:val="0"/>
                <w:color w:val="212121"/>
                <w:sz w:val="19"/>
              </w:rPr>
              <w:t>Nocturnal worsening / disturbed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Night-time paroxysms of cough and wheeze repeatedly disrupt sleep.</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fever accompanies the acute hypersensitivity phase.</w:t>
            </w:r>
          </w:p>
        </w:tc>
      </w:tr>
      <w:tr>
        <w:trPr>
          <w:cantSplit/>
        </w:trPr>
        <w:tc>
          <w:tcPr>
            <w:tcW w:type="dxa" w:w="2304"/>
            <w:vAlign w:val="top"/>
          </w:tcPr>
          <w:p>
            <w:pPr>
              <w:spacing w:after="40" w:before="0" w:line="259" w:lineRule="auto"/>
            </w:pPr>
            <w:r>
              <w:rPr>
                <w:rFonts w:ascii="Calibri" w:hAnsi="Calibri"/>
                <w:b/>
                <w:i w:val="0"/>
                <w:color w:val="212121"/>
                <w:sz w:val="19"/>
              </w:rPr>
              <w:t>Fatigue /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constitutional upset from chronic eosinophilic inflammation.</w:t>
            </w:r>
          </w:p>
        </w:tc>
      </w:tr>
      <w:tr>
        <w:trPr>
          <w:cantSplit/>
        </w:trPr>
        <w:tc>
          <w:tcPr>
            <w:tcW w:type="dxa" w:w="2304"/>
            <w:vAlign w:val="top"/>
          </w:tcPr>
          <w:p>
            <w:pPr>
              <w:spacing w:after="40" w:before="0" w:line="259" w:lineRule="auto"/>
            </w:pPr>
            <w:r>
              <w:rPr>
                <w:rFonts w:ascii="Calibri" w:hAnsi="Calibri"/>
                <w:b/>
                <w:i w:val="0"/>
                <w:color w:val="212121"/>
                <w:sz w:val="19"/>
              </w:rPr>
              <w:t>Scanty mucoid sputum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 amounts of viscid sputum; the cough is predominantly dry.</w:t>
            </w:r>
          </w:p>
        </w:tc>
      </w:tr>
      <w:tr>
        <w:trPr>
          <w:cantSplit/>
        </w:trPr>
        <w:tc>
          <w:tcPr>
            <w:tcW w:type="dxa" w:w="2304"/>
            <w:vAlign w:val="top"/>
          </w:tcPr>
          <w:p>
            <w:pPr>
              <w:spacing w:after="40" w:before="0" w:line="259" w:lineRule="auto"/>
            </w:pPr>
            <w:r>
              <w:rPr>
                <w:rFonts w:ascii="Calibri" w:hAnsi="Calibri"/>
                <w:b/>
                <w:i w:val="0"/>
                <w:color w:val="212121"/>
                <w:sz w:val="19"/>
              </w:rPr>
              <w:t>Anorexia /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Constitutional features that can mimic pulmonary tuberculosis.</w:t>
            </w:r>
          </w:p>
        </w:tc>
      </w:tr>
      <w:tr>
        <w:trPr>
          <w:cantSplit/>
        </w:trPr>
        <w:tc>
          <w:tcPr>
            <w:tcW w:type="dxa" w:w="2304"/>
            <w:vAlign w:val="top"/>
          </w:tcPr>
          <w:p>
            <w:pPr>
              <w:spacing w:after="40" w:before="0" w:line="259" w:lineRule="auto"/>
            </w:pPr>
            <w:r>
              <w:rPr>
                <w:rFonts w:ascii="Calibri" w:hAnsi="Calibri"/>
                <w:b/>
                <w:i w:val="0"/>
                <w:color w:val="212121"/>
                <w:sz w:val="19"/>
              </w:rPr>
              <w:t>Chest pain / tightness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Retrosternal discomfort or tightness accompanying bouts of coughing and wheeze.</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Occasional; should prompt exclusion of tuberculosis and other causes.</w:t>
            </w:r>
          </w:p>
        </w:tc>
      </w:tr>
      <w:tr>
        <w:trPr>
          <w:cantSplit/>
        </w:trPr>
        <w:tc>
          <w:tcPr>
            <w:tcW w:type="dxa" w:w="2304"/>
            <w:vAlign w:val="top"/>
          </w:tcPr>
          <w:p>
            <w:pPr>
              <w:spacing w:after="40" w:before="0" w:line="259" w:lineRule="auto"/>
            </w:pPr>
            <w:r>
              <w:rPr>
                <w:rFonts w:ascii="Calibri" w:hAnsi="Calibri"/>
                <w:b/>
                <w:i w:val="0"/>
                <w:color w:val="212121"/>
                <w:sz w:val="19"/>
              </w:rPr>
              <w:t>Extrapulmonary features (lymphadenopathy, organomegaly)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Enlarged nodes or hepatosplenomegaly, particularly in children with occult filariasis.</w:t>
            </w:r>
          </w:p>
        </w:tc>
      </w:tr>
      <w:tr>
        <w:trPr>
          <w:cantSplit/>
        </w:trPr>
        <w:tc>
          <w:tcPr>
            <w:tcW w:type="dxa" w:w="2304"/>
            <w:vAlign w:val="top"/>
          </w:tcPr>
          <w:p>
            <w:pPr>
              <w:spacing w:after="40" w:before="0" w:line="259" w:lineRule="auto"/>
            </w:pPr>
            <w:r>
              <w:rPr>
                <w:rFonts w:ascii="Calibri" w:hAnsi="Calibri"/>
                <w:b/>
                <w:i w:val="0"/>
                <w:color w:val="212121"/>
                <w:sz w:val="19"/>
              </w:rPr>
              <w:t>Resting breathlessness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only with advanced chronic disease and established pulmonary fibrosis.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Bilateral wheeze / rhonchi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Widespread expiratory wheeze from eosinophilic bronchial inflammation.</w:t>
            </w:r>
          </w:p>
        </w:tc>
      </w:tr>
      <w:tr>
        <w:trPr>
          <w:cantSplit/>
        </w:trPr>
        <w:tc>
          <w:tcPr>
            <w:tcW w:type="dxa" w:w="3456"/>
            <w:vAlign w:val="top"/>
          </w:tcPr>
          <w:p>
            <w:pPr>
              <w:spacing w:after="40" w:before="0" w:line="259" w:lineRule="auto"/>
            </w:pPr>
            <w:r>
              <w:rPr>
                <w:rFonts w:ascii="Calibri" w:hAnsi="Calibri"/>
                <w:b/>
                <w:i w:val="0"/>
                <w:color w:val="212121"/>
                <w:sz w:val="19"/>
              </w:rPr>
              <w:t>Basal inspiratory crepitations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Crackles reflecting alveolar/interstitial eosinophilic involvement.</w:t>
            </w:r>
          </w:p>
        </w:tc>
      </w:tr>
      <w:tr>
        <w:trPr>
          <w:cantSplit/>
        </w:trPr>
        <w:tc>
          <w:tcPr>
            <w:tcW w:type="dxa" w:w="3456"/>
            <w:vAlign w:val="top"/>
          </w:tcPr>
          <w:p>
            <w:pPr>
              <w:spacing w:after="40" w:before="0" w:line="259" w:lineRule="auto"/>
            </w:pPr>
            <w:r>
              <w:rPr>
                <w:rFonts w:ascii="Calibri" w:hAnsi="Calibri"/>
                <w:b/>
                <w:i w:val="0"/>
                <w:color w:val="212121"/>
                <w:sz w:val="19"/>
              </w:rPr>
              <w:t>Tachypnoea / increased work of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breathing in symptomatic or more advanced disease.</w:t>
            </w:r>
          </w:p>
        </w:tc>
      </w:tr>
      <w:tr>
        <w:trPr>
          <w:cantSplit/>
        </w:trPr>
        <w:tc>
          <w:tcPr>
            <w:tcW w:type="dxa" w:w="3456"/>
            <w:vAlign w:val="top"/>
          </w:tcPr>
          <w:p>
            <w:pPr>
              <w:spacing w:after="40" w:before="0" w:line="259" w:lineRule="auto"/>
            </w:pPr>
            <w:r>
              <w:rPr>
                <w:rFonts w:ascii="Calibri" w:hAnsi="Calibri"/>
                <w:b/>
                <w:i w:val="0"/>
                <w:color w:val="212121"/>
                <w:sz w:val="19"/>
              </w:rPr>
              <w:t>Prolonged expiration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coexisting airflow obstruction, especially in chronic/mixed-pattern disease.</w:t>
            </w:r>
          </w:p>
        </w:tc>
      </w:tr>
      <w:tr>
        <w:trPr>
          <w:cantSplit/>
        </w:trPr>
        <w:tc>
          <w:tcPr>
            <w:tcW w:type="dxa" w:w="3456"/>
            <w:vAlign w:val="top"/>
          </w:tcPr>
          <w:p>
            <w:pPr>
              <w:spacing w:after="40" w:before="0" w:line="259" w:lineRule="auto"/>
            </w:pPr>
            <w:r>
              <w:rPr>
                <w:rFonts w:ascii="Calibri" w:hAnsi="Calibri"/>
                <w:b/>
                <w:i w:val="0"/>
                <w:color w:val="212121"/>
                <w:sz w:val="19"/>
              </w:rPr>
              <w:t>Low SpO₂ on pulse oximetry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mild hypoxaemia, present in a substantial minority of untreated patients.</w:t>
            </w:r>
          </w:p>
        </w:tc>
      </w:tr>
      <w:tr>
        <w:trPr>
          <w:cantSplit/>
        </w:trPr>
        <w:tc>
          <w:tcPr>
            <w:tcW w:type="dxa" w:w="3456"/>
            <w:vAlign w:val="top"/>
          </w:tcPr>
          <w:p>
            <w:pPr>
              <w:spacing w:after="40" w:before="0" w:line="259" w:lineRule="auto"/>
            </w:pPr>
            <w:r>
              <w:rPr>
                <w:rFonts w:ascii="Calibri" w:hAnsi="Calibri"/>
                <w:b/>
                <w:i w:val="0"/>
                <w:color w:val="212121"/>
                <w:sz w:val="19"/>
              </w:rPr>
              <w:t>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nodes reflecting systemic filarial immune response, commoner in children.</w:t>
            </w:r>
          </w:p>
        </w:tc>
      </w:tr>
      <w:tr>
        <w:trPr>
          <w:cantSplit/>
        </w:trPr>
        <w:tc>
          <w:tcPr>
            <w:tcW w:type="dxa" w:w="3456"/>
            <w:vAlign w:val="top"/>
          </w:tcPr>
          <w:p>
            <w:pPr>
              <w:spacing w:after="40" w:before="0" w:line="259" w:lineRule="auto"/>
            </w:pPr>
            <w:r>
              <w:rPr>
                <w:rFonts w:ascii="Calibri" w:hAnsi="Calibri"/>
                <w:b/>
                <w:i w:val="0"/>
                <w:color w:val="212121"/>
                <w:sz w:val="19"/>
              </w:rPr>
              <w:t>Hepatosplenomegaly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Organomegaly seen mainly in paediatric / occult presentations.</w:t>
            </w:r>
          </w:p>
        </w:tc>
      </w:tr>
      <w:tr>
        <w:trPr>
          <w:cantSplit/>
        </w:trPr>
        <w:tc>
          <w:tcPr>
            <w:tcW w:type="dxa" w:w="3456"/>
            <w:vAlign w:val="top"/>
          </w:tcPr>
          <w:p>
            <w:pPr>
              <w:spacing w:after="40" w:before="0" w:line="259" w:lineRule="auto"/>
            </w:pPr>
            <w:r>
              <w:rPr>
                <w:rFonts w:ascii="Calibri" w:hAnsi="Calibri"/>
                <w:b/>
                <w:i w:val="0"/>
                <w:color w:val="212121"/>
                <w:sz w:val="19"/>
              </w:rPr>
              <w:t>Signs of chronic lung disease (reduced expansion)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Restrictive component from established fibrosis in chronic TPE.</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Bluish discolouration from severe hypoxaemia in advanced disease.</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pedal oedema, loud P2)</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Right-heart strain complicating long-standing fibrotic disease and pulmonary hypertension.</w:t>
            </w:r>
          </w:p>
        </w:tc>
      </w:tr>
      <w:tr>
        <w:trPr>
          <w:cantSplit/>
        </w:trPr>
        <w:tc>
          <w:tcPr>
            <w:tcW w:type="dxa" w:w="3456"/>
            <w:vAlign w:val="top"/>
          </w:tcPr>
          <w:p>
            <w:pPr>
              <w:spacing w:after="40" w:before="0" w:line="259" w:lineRule="auto"/>
            </w:pPr>
            <w:r>
              <w:rPr>
                <w:rFonts w:ascii="Calibri" w:hAnsi="Calibri"/>
                <w:b/>
                <w:i w:val="0"/>
                <w:color w:val="212121"/>
                <w:sz w:val="19"/>
              </w:rPr>
              <w:t>Finger clubbing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Uncommon; when present suggests advanced chronic fibrotic lung disease and warrants review of the diagnosis.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eosinophilic alveolitis and bronchospasm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Airway hyper-reactivity with paroxysmal nocturnal cough and wheeze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Mild arterial hypoxaemia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 of eosinophilia and symptoms (about 20% within 5 years)</w:t>
            </w:r>
          </w:p>
        </w:tc>
        <w:tc>
          <w:tcPr>
            <w:tcW w:type="dxa" w:w="2980"/>
            <w:vAlign w:val="top"/>
          </w:tcPr>
          <w:p>
            <w:pPr>
              <w:spacing w:after="40" w:before="0" w:line="259" w:lineRule="auto"/>
            </w:pPr>
            <w:r>
              <w:rPr>
                <w:rFonts w:ascii="Calibri" w:hAnsi="Calibri"/>
                <w:b w:val="0"/>
                <w:i w:val="0"/>
                <w:color w:val="212121"/>
                <w:sz w:val="19"/>
              </w:rPr>
              <w:t>Direct consequences of eosinophil-mediated hypersensitivity to trapped microfilariae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interstitial lung disease and pulmonary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bronchitis with mixed restrictive–obstructive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Bronchiectasis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diffusing capacity and fixed restrictive defect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Diethylcarbamazine-refractory disease in long-standing (chronic) cases</w:t>
            </w:r>
          </w:p>
        </w:tc>
        <w:tc>
          <w:tcPr>
            <w:tcW w:type="dxa" w:w="2980"/>
            <w:vAlign w:val="top"/>
          </w:tcPr>
          <w:p>
            <w:pPr>
              <w:spacing w:after="40" w:before="0" w:line="259" w:lineRule="auto"/>
            </w:pPr>
            <w:r>
              <w:rPr>
                <w:rFonts w:ascii="Calibri" w:hAnsi="Calibri"/>
                <w:b w:val="0"/>
                <w:i w:val="0"/>
                <w:color w:val="212121"/>
                <w:sz w:val="19"/>
              </w:rPr>
              <w:t>Arise from progression through histiocytic to fibrotic phases when treatment is delayed or inadequate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and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respiratory disability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pulmonary fibrosis</w:t>
            </w:r>
          </w:p>
        </w:tc>
        <w:tc>
          <w:tcPr>
            <w:tcW w:type="dxa" w:w="2980"/>
            <w:vAlign w:val="top"/>
          </w:tcPr>
          <w:p>
            <w:pPr>
              <w:spacing w:after="40" w:before="0" w:line="259" w:lineRule="auto"/>
            </w:pPr>
            <w:r>
              <w:rPr>
                <w:rFonts w:ascii="Calibri" w:hAnsi="Calibri"/>
                <w:b w:val="0"/>
                <w:i w:val="0"/>
                <w:color w:val="212121"/>
                <w:sz w:val="19"/>
              </w:rPr>
              <w:t>Disabling, largely irreversible outcomes of long-standing untreated or chronic TPE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Lymphatic filariasis (overt)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Same infection spectrum; bancroftian/brugian filariasis may cause lymphadenitis, lymphoedema, hydrocele, elephantiasis and chyluria.</w:t>
            </w:r>
          </w:p>
        </w:tc>
      </w:tr>
      <w:tr>
        <w:trPr>
          <w:cantSplit/>
        </w:trPr>
        <w:tc>
          <w:tcPr>
            <w:tcW w:type="dxa" w:w="2232"/>
            <w:vAlign w:val="top"/>
          </w:tcPr>
          <w:p>
            <w:pPr>
              <w:spacing w:after="40" w:before="0" w:line="259" w:lineRule="auto"/>
            </w:pPr>
            <w:r>
              <w:rPr>
                <w:rFonts w:ascii="Calibri" w:hAnsi="Calibri"/>
                <w:b/>
                <w:i w:val="0"/>
                <w:color w:val="212121"/>
                <w:sz w:val="19"/>
              </w:rPr>
              <w:t>Bronchial 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TPE closely mimics and is often misdiagnosed as asthma; coexisting bronchial hyper-reactivity worsens symptoms.</w:t>
            </w:r>
          </w:p>
        </w:tc>
      </w:tr>
      <w:tr>
        <w:trPr>
          <w:cantSplit/>
        </w:trPr>
        <w:tc>
          <w:tcPr>
            <w:tcW w:type="dxa" w:w="2232"/>
            <w:vAlign w:val="top"/>
          </w:tcPr>
          <w:p>
            <w:pPr>
              <w:spacing w:after="40" w:before="0" w:line="259" w:lineRule="auto"/>
            </w:pPr>
            <w:r>
              <w:rPr>
                <w:rFonts w:ascii="Calibri" w:hAnsi="Calibri"/>
                <w:b/>
                <w:i w:val="0"/>
                <w:color w:val="212121"/>
                <w:sz w:val="19"/>
              </w:rPr>
              <w:t>Chronic bronchitis / COPD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TPE can produce a mixed restrictive–obstructive defect; ~30% of patients show a mixed spirometric pattern.</w:t>
            </w:r>
          </w:p>
          <w:p>
            <w:pPr>
              <w:spacing w:after="40" w:before="0" w:line="259" w:lineRule="auto"/>
            </w:pPr>
            <w:r>
              <w:rPr>
                <w:rFonts w:ascii="Calibri" w:hAnsi="Calibri"/>
                <w:b/>
                <w:i w:val="0"/>
                <w:color w:val="212121"/>
                <w:sz w:val="19"/>
              </w:rPr>
              <w:t>~30% mixed pattern</w:t>
            </w:r>
          </w:p>
        </w:tc>
      </w:tr>
      <w:tr>
        <w:trPr>
          <w:cantSplit/>
        </w:trPr>
        <w:tc>
          <w:tcPr>
            <w:tcW w:type="dxa" w:w="2232"/>
            <w:vAlign w:val="top"/>
          </w:tcPr>
          <w:p>
            <w:pPr>
              <w:spacing w:after="40" w:before="0" w:line="259" w:lineRule="auto"/>
            </w:pPr>
            <w:r>
              <w:rPr>
                <w:rFonts w:ascii="Calibri" w:hAnsi="Calibri"/>
                <w:b/>
                <w:i w:val="0"/>
                <w:color w:val="212121"/>
                <w:sz w:val="19"/>
              </w:rPr>
              <w:t>Pulmonary fibrosis / interstitial lung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Fibrotic phase of untreated chronic TPE leaves a fixed restrictive defect and reduced diffusion.</w:t>
            </w:r>
          </w:p>
        </w:tc>
      </w:tr>
      <w:tr>
        <w:trPr>
          <w:cantSplit/>
        </w:trPr>
        <w:tc>
          <w:tcPr>
            <w:tcW w:type="dxa" w:w="2232"/>
            <w:vAlign w:val="top"/>
          </w:tcPr>
          <w:p>
            <w:pPr>
              <w:spacing w:after="40" w:before="0" w:line="259" w:lineRule="auto"/>
            </w:pPr>
            <w:r>
              <w:rPr>
                <w:rFonts w:ascii="Calibri" w:hAnsi="Calibri"/>
                <w:b/>
                <w:i w:val="0"/>
                <w:color w:val="212121"/>
                <w:sz w:val="19"/>
              </w:rPr>
              <w:t>Bronchiectasis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Reported on CT in some chronic cases as a structural airway complication.</w:t>
            </w:r>
          </w:p>
        </w:tc>
      </w:tr>
      <w:tr>
        <w:trPr>
          <w:cantSplit/>
        </w:trPr>
        <w:tc>
          <w:tcPr>
            <w:tcW w:type="dxa" w:w="2232"/>
            <w:vAlign w:val="top"/>
          </w:tcPr>
          <w:p>
            <w:pPr>
              <w:spacing w:after="40" w:before="0" w:line="259" w:lineRule="auto"/>
            </w:pPr>
            <w:r>
              <w:rPr>
                <w:rFonts w:ascii="Calibri" w:hAnsi="Calibri"/>
                <w:b/>
                <w:i w:val="0"/>
                <w:color w:val="212121"/>
                <w:sz w:val="19"/>
              </w:rPr>
              <w:t>Pulmonary hypertension / cor pulmonale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Advanced fibrotic disease with chronic hypoxaemia can raise pulmonary pressures and strain the right heart.</w:t>
            </w:r>
          </w:p>
        </w:tc>
      </w:tr>
      <w:tr>
        <w:trPr>
          <w:cantSplit/>
        </w:trPr>
        <w:tc>
          <w:tcPr>
            <w:tcW w:type="dxa" w:w="2232"/>
            <w:vAlign w:val="top"/>
          </w:tcPr>
          <w:p>
            <w:pPr>
              <w:spacing w:after="40" w:before="0" w:line="259" w:lineRule="auto"/>
            </w:pPr>
            <w:r>
              <w:rPr>
                <w:rFonts w:ascii="Calibri" w:hAnsi="Calibri"/>
                <w:b/>
                <w:i w:val="0"/>
                <w:color w:val="212121"/>
                <w:sz w:val="19"/>
              </w:rPr>
              <w:t>Pulmonary 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key differential in India (cough, weight loss, miliary shadows) that can coexist and must be excluded.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TPE in anyone from an endemic area with paroxysmal nocturnal cough/wheeze and blood eosinophilia, rather than labelling it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national elimination measures — mass drug administration (DEC + albendazole, or triple-drug IDA) and morbidity management in 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mosquito exposure: use insecticide-treated bed nets, screens, repellents and cover skin at night against Culex bites.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vector breeding through source reduction — clear stagnant polluted water, maintain drains and cover water-storage/soakage pits.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medical care for persistent nocturnal cough to allow prompt treatment before fibrosis develops.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Exclude tuberculosis and, before adding steroids, exclude Strongyloides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labelled ‘difficult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DEC treatment, resume graded aerobic activity within symptom tolerance to rebuild fitness.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pulmonary rehabilitation and breathing exercises where a residual restrictive defect or chronic disease persists.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paced activity and energy-conservation strategies during symptomatic phases.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supplemental oxygen during exertion where hypoxaemia is confirmed in advanced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Treated TPE with residual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 fibrotic TPE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reduced exercise tolerance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protein- and calorie-adequate diet to support immunity and respiratory reserve, avoiding undernutrition.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antioxidant-rich fruits, vegetables and whole grains to support pulmonary antioxidant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healthy body-mass index (18.5–24.9 kg/m²).</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aid mucociliary clearance and expectoration of sputum.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cough</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TPE promptly with diethylcarbamazine, since this resolves the nocturnal cough that disrupts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head-of-bed elevation and optimise bronchodilator timing to limit night-time symptoms during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hygiene to restore restorative sleep once symptoms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advanced/chronic patients for nocturnal hypoxaemia.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TPE with nocturnal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disturbed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cessation of cigarettes and bidis, which add to airway inflammation and bronchial hyper-reactivity.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behavioural counselling plus pharmacotherapy (nicotine replacement, bupropion or varenicline)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household biomass-smoke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cessation to the overall respiratory-care plan and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TPE patients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bronchitis / airflow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indoor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can worsen nutrition and reduce adherence to diethylcarbamazine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interactions between alcohol and prescribed medications.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that may impair immune function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TPE patients with heavy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treatment</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anxiety arising from chronic breathlessness, sleep loss and repeated misdiagnosis.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about the excellent response of acute TPE to diethylcarbamazine to improve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support for those with disabling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psychological support within pulmonary rehabilitation for chronic cases.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prolonged / misdiagnosed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TPE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non-adherent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mr.org.in/tropical-pulmonary-eosinophilia-a-review/" TargetMode="External"/><Relationship Id="rId10" Type="http://schemas.openxmlformats.org/officeDocument/2006/relationships/hyperlink" Target="https://www.ncbi.nlm.nih.gov/books/NBK557524/" TargetMode="External"/><Relationship Id="rId11" Type="http://schemas.openxmlformats.org/officeDocument/2006/relationships/hyperlink" Target="https://ncvbdc.mohfw.gov.in/index4.php?lang=1&amp;level=0&amp;linkid=461&amp;lid=3739" TargetMode="External"/><Relationship Id="rId12" Type="http://schemas.openxmlformats.org/officeDocument/2006/relationships/hyperlink" Target="https://ncvbdc.mohfw.gov.in/index4.php?lang=1&amp;level=0&amp;linkid=450&amp;lid=37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