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Pleural Effusion</w:t>
      </w:r>
    </w:p>
    <w:p>
      <w:pPr>
        <w:spacing w:before="0" w:after="160"/>
      </w:pPr>
      <w:r>
        <w:rPr>
          <w:rFonts w:ascii="Calibri" w:hAnsi="Calibri"/>
          <w:b/>
          <w:i w:val="0"/>
          <w:color w:val="212121"/>
          <w:sz w:val="22"/>
        </w:rPr>
        <w:t xml:space="preserve">AKA </w:t>
      </w:r>
      <w:r>
        <w:rPr>
          <w:rFonts w:ascii="Calibri" w:hAnsi="Calibri"/>
          <w:b w:val="0"/>
          <w:i w:val="0"/>
          <w:color w:val="212121"/>
          <w:sz w:val="22"/>
        </w:rPr>
        <w:t>i.e., Fluid around the lungs, Water on the lung/chest, Pleural fluid collection, Hydrothorax (transudative), Pleural exudate/transudate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Pleural effusion is the abnormal accumulation of fluid within the pleural space, the thin cavity between the visceral and parietal pleura that surrounds each lung. It arises when the balance between fluid formation (hydrostatic and oncotic pressures, capillary permeability) and lymphatic reabsorption is disturbed, and is classified as a transudate (systemic pressure or oncotic imbalance) or an exudate (local pleural or inflammatory disease). Pleural effusion is a manifestation of an underlying disorder rather than a disease in its own right; in India tuberculosis is the single leading cause, followed by malignancy, parapneumonic infection and congestive heart failure.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Pleural effusion is among the most frequent respiratory presentations in Indian hospitals, and its cause profile is dominated by tuberculosis. Across Indian tertiary-care series, TB accounts for roughly 39–74% of exudative effusions, with malignancy and parapneumonic infection next in frequency; in one Gujarat study of 140 patients, 87% of effusions were exudative and TB caused 39.3% of these. This burden mirrors India's status as the country with the world's largest tuberculosis caseload — about 26% of all global TB cases and an estimated 2.7 million cases in a single year — so pleural TB remains disproportionately common compared with Western settings, where malignancy and heart failure predominate.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Pleural effusion is confirmed on imaging and characterised by sampling the fluid. Diagnosis and cause attribution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(PA ± lateral) showing costophrenic-angle blunting and a meniscus sign; roughly 200 mL is needed before it is visible on an erect PA film, and larger effusions cause opacification with mediastinal shift away from the fluid;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Thoracic ultrasound, which detects as little as 50 mL, confirms free vs loculated fluid and guides safe thoracentesis;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Diagnostic thoracentesis (pleural aspiration) with analysis of protein, LDH, glucose, pH, cell count and differential, Gram stain, cytology and microbiology;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Application of Light's criteria to separate exudate from transudate — an exudate is present if any one holds: pleural/serum protein ratio &gt; 0.5, pleural/serum LDH ratio &gt; 0.6, or pleural LDH &gt; two-thirds of the upper limit of normal serum LDH;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Cause-specific tests — lymphocyte-predominant fluid with adenosine deaminase (ADA) &gt; 40 IU/L strongly suggests tuberculosis; malignant cytology (sensitivity ~60% on one sample, ~90% after three); AFB smear, GeneXpert/CBNAAT and culture for TB; low glucose and low pH for complicated parapneumonic/empyema.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Pleural effusions are classified first by fluid biochemistry (Light's criteria) and then by the underlying mechanism and character of the fluid:</w:t>
      </w:r>
    </w:p>
    <w:p>
      <w:pPr>
        <w:spacing w:before="0" w:after="80"/>
      </w:pPr>
      <w:r>
        <w:rPr>
          <w:rFonts w:ascii="Calibri" w:hAnsi="Calibri"/>
          <w:b w:val="0"/>
          <w:i w:val="0"/>
          <w:color w:val="212121"/>
          <w:sz w:val="21"/>
        </w:rPr>
        <w:t>(1) Transudative effusions, produced by altered hydrostatic or oncotic pressure across an intact pleura with normal permeability — congestive heart failure (the commonest transudative cause), cirrhosis with hepatic hydrothorax, nephrotic syndrome, hypoalbuminaemia and peritoneal dialysis; the fluid is typically clear, protein-poor and often bilateral;</w:t>
      </w:r>
    </w:p>
    <w:p>
      <w:pPr>
        <w:spacing w:before="0" w:after="80"/>
      </w:pPr>
      <w:r>
        <w:rPr>
          <w:rFonts w:ascii="Calibri" w:hAnsi="Calibri"/>
          <w:b w:val="0"/>
          <w:i w:val="0"/>
          <w:color w:val="212121"/>
          <w:sz w:val="21"/>
        </w:rPr>
        <w:t>(2) Exudative effusions, from increased capillary permeability or impaired lymphatic drainage due to local pleural disease — in India led by tuberculous pleurisy, followed by malignancy (lung, breast, lymphoma, mesothelioma), parapneumonic effusion, pulmonary embolism, pancreatitis and connective-tissue disease (rheumatoid arthritis, SLE);</w:t>
      </w:r>
    </w:p>
    <w:p>
      <w:pPr>
        <w:spacing w:before="0" w:after="80"/>
      </w:pPr>
      <w:r>
        <w:rPr>
          <w:rFonts w:ascii="Calibri" w:hAnsi="Calibri"/>
          <w:b w:val="0"/>
          <w:i w:val="0"/>
          <w:color w:val="212121"/>
          <w:sz w:val="21"/>
        </w:rPr>
        <w:t>(3) Complicated exudates defined by the fluid character — empyema (frank pus / complicated parapneumonic effusion), haemothorax (blood, e.g. trauma or malignancy), chylothorax (lymph, milky) and loculated/septated effusions;</w:t>
      </w:r>
    </w:p>
    <w:p>
      <w:pPr>
        <w:spacing w:before="0" w:after="80"/>
      </w:pPr>
      <w:r>
        <w:rPr>
          <w:rFonts w:ascii="Calibri" w:hAnsi="Calibri"/>
          <w:b w:val="0"/>
          <w:i w:val="0"/>
          <w:color w:val="212121"/>
          <w:sz w:val="21"/>
        </w:rPr>
        <w:t>(4) By distribution and course — unilateral vs bilateral, free-flowing vs loculated, and acute vs chronic; massive effusion filling a hemithorax with contralateral mediastinal shift represents the most urgent presentation.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Tuberculosis: The leading cause in India — a delayed hypersensitivity reaction to mycobacterial antigens in the pleural space produces a lymphocyte-rich exudate with high ADA, typically in young to middle-aged adults.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Malignancy: Pleural metastases (lung, breast, ovary, lymphoma) or primary mesothelioma increase capillary permeability and obstruct lymphatic drainage, producing exudative and often haemorrhagic effusions in older adults.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Parapneumonic infection: Bacterial pneumonia and lung abscess seed the adjacent pleura, causing a neutrophilic exudate that may progress to complicated effusion and empyema.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Congestive heart failure: Raised pulmonary capillary hydrostatic pressure drives a protein-poor transudate — the commonest transudative cause, frequently bilateral.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Hypoalbuminaemia and organ failure: Low oncotic pressure from cirrhosis, nephrotic syndrome or malnutrition, plus fluid transfer through diaphragmatic defects (hepatic hydrothorax), produces transudative effusions.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Pulmonary embolism, pancreatitis and connective-tissue disease: Infarction, sub-diaphragmatic inflammation and autoimmune pleuritis (RA, SLE) are important exudative causes.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Iatrogenic and traumatic causes: Post-cardiac-surgery (post-CABG) effusions, chest trauma with haemothorax, asbestos exposure (benign asbestos effusion / mesothelioma) and post-cardiac-injury syndrome.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to middle-aged adults</w:t>
            </w:r>
          </w:p>
        </w:tc>
        <w:tc>
          <w:tcPr>
            <w:tcW w:type="dxa" w:w="4276"/>
            <w:vAlign w:val="top"/>
          </w:tcPr>
          <w:p>
            <w:pPr>
              <w:spacing w:after="60" w:line="259" w:lineRule="auto"/>
            </w:pPr>
            <w:r>
              <w:rPr>
                <w:rFonts w:ascii="Calibri" w:hAnsi="Calibri"/>
                <w:b w:val="0"/>
                <w:i w:val="0"/>
                <w:color w:val="212121"/>
                <w:sz w:val="19"/>
              </w:rPr>
              <w:t>Tuberculous pleurisy — the dominant cause in India — characteristically strikes economically active young and middle-aged adults through a brisk delayed-hypersensitivity reaction to mycobacterial antigens seeding the pleura.</w:t>
            </w:r>
          </w:p>
          <w:p>
            <w:pPr>
              <w:spacing w:after="40" w:before="60" w:line="259" w:lineRule="auto"/>
            </w:pPr>
            <w:r>
              <w:rPr>
                <w:rFonts w:ascii="Calibri" w:hAnsi="Calibri"/>
                <w:b w:val="0"/>
                <w:i w:val="0"/>
                <w:color w:val="212121"/>
                <w:sz w:val="19"/>
              </w:rPr>
              <w:t>In a Gujarat series of 140 pleural-effusion patients, the 41–50-year band was the single largest group (25.7%), and TB caused 39.3% of exudative effusions.</w:t>
            </w:r>
          </w:p>
          <w:p>
            <w:pPr>
              <w:spacing w:after="40" w:line="252" w:lineRule="auto"/>
            </w:pPr>
            <w:hyperlink r:id="rId9">
              <w:r>
                <w:rPr>
                  <w:rFonts w:ascii="Calibri" w:hAnsi="Calibri" w:cs="Calibri"/>
                  <w:sz w:val="18"/>
                  <w:color w:val="1155CC"/>
                  <w:u w:val="single"/>
                </w:rPr>
                <w:t xml:space="preserve">ijirm.org — etiological profile of pleural effusion, Gujarat</w:t>
              </w:r>
            </w:hyperlink>
          </w:p>
          <w:p>
            <w:pPr>
              <w:spacing w:before="60" w:after="40"/>
            </w:pPr>
            <w:r>
              <w:rPr>
                <w:rFonts w:ascii="Calibri" w:hAnsi="Calibri"/>
                <w:b w:val="0"/>
                <w:i w:val="0"/>
                <w:color w:val="5A5A5A"/>
                <w:sz w:val="18"/>
              </w:rPr>
              <w:t>#tuberculosis  #youngadults  #exudate  #pleuralTB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advancing age the cause profile shifts toward malignancy and congestive heart failure; reduced physiological reserve means even moderate effusions cause marked breathlessness.</w:t>
            </w:r>
          </w:p>
          <w:p>
            <w:pPr>
              <w:spacing w:after="40" w:before="60" w:line="259" w:lineRule="auto"/>
            </w:pPr>
            <w:r>
              <w:rPr>
                <w:rFonts w:ascii="Calibri" w:hAnsi="Calibri"/>
                <w:b w:val="0"/>
                <w:i w:val="0"/>
                <w:color w:val="212121"/>
                <w:sz w:val="19"/>
              </w:rPr>
              <w:t>An Indian series of exudative effusions had a mean age of 71.6 years, with lung malignancy and other non-TB causes increasingly represented in older patients.</w:t>
            </w:r>
          </w:p>
          <w:p>
            <w:pPr>
              <w:spacing w:after="40" w:line="252" w:lineRule="auto"/>
            </w:pPr>
            <w:hyperlink r:id="rId10">
              <w:r>
                <w:rPr>
                  <w:rFonts w:ascii="Calibri" w:hAnsi="Calibri" w:cs="Calibri"/>
                  <w:sz w:val="18"/>
                  <w:color w:val="1155CC"/>
                  <w:u w:val="single"/>
                </w:rPr>
                <w:t xml:space="preserve">msjonline.org — spectrum of exudative pleural effusion</w:t>
              </w:r>
            </w:hyperlink>
          </w:p>
          <w:p>
            <w:pPr>
              <w:spacing w:before="60" w:after="40"/>
            </w:pPr>
            <w:r>
              <w:rPr>
                <w:rFonts w:ascii="Calibri" w:hAnsi="Calibri"/>
                <w:b w:val="0"/>
                <w:i w:val="0"/>
                <w:color w:val="5A5A5A"/>
                <w:sz w:val="18"/>
              </w:rPr>
              <w:t>#elderly  #malignancy  #heartfailure  #reducedreserve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across Indian effusion series, reflecting higher rates of smoking, occupational exposure, alcohol use and TB in males.</w:t>
            </w:r>
          </w:p>
          <w:p>
            <w:pPr>
              <w:spacing w:after="40" w:before="60" w:line="259" w:lineRule="auto"/>
            </w:pPr>
            <w:r>
              <w:rPr>
                <w:rFonts w:ascii="Calibri" w:hAnsi="Calibri"/>
                <w:b w:val="0"/>
                <w:i w:val="0"/>
                <w:color w:val="212121"/>
                <w:sz w:val="19"/>
              </w:rPr>
              <w:t>Males formed 67.9% of patients in the Gujarat study and up to 94.3% in an exudative-effusion series (p&lt;0.001).</w:t>
            </w:r>
          </w:p>
          <w:p>
            <w:pPr>
              <w:spacing w:after="40" w:line="252" w:lineRule="auto"/>
            </w:pPr>
            <w:hyperlink r:id="rId9">
              <w:r>
                <w:rPr>
                  <w:rFonts w:ascii="Calibri" w:hAnsi="Calibri" w:cs="Calibri"/>
                  <w:sz w:val="18"/>
                  <w:color w:val="1155CC"/>
                  <w:u w:val="single"/>
                </w:rPr>
                <w:t xml:space="preserve">ijirm.org — sex distribution of pleural effusion</w:t>
              </w:r>
            </w:hyperlink>
          </w:p>
          <w:p>
            <w:pPr>
              <w:spacing w:before="60" w:after="40"/>
            </w:pPr>
            <w:r>
              <w:rPr>
                <w:rFonts w:ascii="Calibri" w:hAnsi="Calibri"/>
                <w:b w:val="0"/>
                <w:i w:val="0"/>
                <w:color w:val="5A5A5A"/>
                <w:sz w:val="18"/>
              </w:rPr>
              <w:t>#male  #smoking  #occupational  #TBrisk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Poverty, crowding, undernutrition and delayed care-seeking amplify tuberculosis transmission and progression — the main driver of pleural effusion in India — and worsen parapneumonic infection.</w:t>
            </w:r>
          </w:p>
          <w:p>
            <w:pPr>
              <w:spacing w:after="40" w:before="60" w:line="259" w:lineRule="auto"/>
            </w:pPr>
            <w:r>
              <w:rPr>
                <w:rFonts w:ascii="Calibri" w:hAnsi="Calibri"/>
                <w:b w:val="0"/>
                <w:i w:val="0"/>
                <w:color w:val="212121"/>
                <w:sz w:val="19"/>
              </w:rPr>
              <w:t>India carries about 26% of the world's TB cases (an estimated 2.7 million in a year), concentrated in poorer, crowded populations.</w:t>
            </w:r>
          </w:p>
          <w:p>
            <w:pPr>
              <w:spacing w:after="40" w:line="252" w:lineRule="auto"/>
            </w:pPr>
            <w:hyperlink r:id="rId11">
              <w:r>
                <w:rPr>
                  <w:rFonts w:ascii="Calibri" w:hAnsi="Calibri" w:cs="Calibri"/>
                  <w:sz w:val="18"/>
                  <w:color w:val="1155CC"/>
                  <w:u w:val="single"/>
                </w:rPr>
                <w:t xml:space="preserve">WHO Global TB Report 2024 (summary) — India 26% of global cases</w:t>
              </w:r>
            </w:hyperlink>
          </w:p>
          <w:p>
            <w:pPr>
              <w:spacing w:before="60" w:after="40"/>
            </w:pPr>
            <w:r>
              <w:rPr>
                <w:rFonts w:ascii="Calibri" w:hAnsi="Calibri"/>
                <w:b w:val="0"/>
                <w:i w:val="0"/>
                <w:color w:val="5A5A5A"/>
                <w:sz w:val="18"/>
              </w:rPr>
              <w:t>#poverty  #overcrowding  #malnutrition  #TBtransmission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and South-East Asian populations</w:t>
            </w:r>
          </w:p>
        </w:tc>
        <w:tc>
          <w:tcPr>
            <w:tcW w:type="dxa" w:w="4276"/>
            <w:vAlign w:val="top"/>
          </w:tcPr>
          <w:p>
            <w:pPr>
              <w:spacing w:after="60" w:line="259" w:lineRule="auto"/>
            </w:pPr>
            <w:r>
              <w:rPr>
                <w:rFonts w:ascii="Calibri" w:hAnsi="Calibri"/>
                <w:b w:val="0"/>
                <w:i w:val="0"/>
                <w:color w:val="212121"/>
                <w:sz w:val="19"/>
              </w:rPr>
              <w:t>India sits within the world's highest-burden TB region, so pleural TB accounts for a far greater share of effusions than in Western settings where malignancy and heart failure lead.</w:t>
            </w:r>
          </w:p>
          <w:p>
            <w:pPr>
              <w:spacing w:after="40" w:before="60" w:line="259" w:lineRule="auto"/>
            </w:pPr>
            <w:r>
              <w:rPr>
                <w:rFonts w:ascii="Calibri" w:hAnsi="Calibri"/>
                <w:b w:val="0"/>
                <w:i w:val="0"/>
                <w:color w:val="212121"/>
                <w:sz w:val="19"/>
              </w:rPr>
              <w:t>The WHO South-East Asia Region bears roughly 34% of global incident TB (incidence ~201 per 100,000 in 2024), with India the largest contributor.</w:t>
            </w:r>
          </w:p>
          <w:p>
            <w:pPr>
              <w:spacing w:after="40" w:line="252" w:lineRule="auto"/>
            </w:pPr>
            <w:hyperlink r:id="rId12">
              <w:r>
                <w:rPr>
                  <w:rFonts w:ascii="Calibri" w:hAnsi="Calibri" w:cs="Calibri"/>
                  <w:sz w:val="18"/>
                  <w:color w:val="1155CC"/>
                  <w:u w:val="single"/>
                </w:rPr>
                <w:t xml:space="preserve">who.int — SEARO tuberculosis burden</w:t>
              </w:r>
            </w:hyperlink>
          </w:p>
          <w:p>
            <w:pPr>
              <w:spacing w:before="60" w:after="40"/>
            </w:pPr>
            <w:r>
              <w:rPr>
                <w:rFonts w:ascii="Calibri" w:hAnsi="Calibri"/>
                <w:b w:val="0"/>
                <w:i w:val="0"/>
                <w:color w:val="5A5A5A"/>
                <w:sz w:val="18"/>
              </w:rPr>
              <w:t>#India  #SEAR  #TBendemic  #pleuralTB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and urban-slum residents</w:t>
            </w:r>
          </w:p>
        </w:tc>
        <w:tc>
          <w:tcPr>
            <w:tcW w:type="dxa" w:w="4276"/>
            <w:vAlign w:val="top"/>
          </w:tcPr>
          <w:p>
            <w:pPr>
              <w:spacing w:after="60" w:line="259" w:lineRule="auto"/>
            </w:pPr>
            <w:r>
              <w:rPr>
                <w:rFonts w:ascii="Calibri" w:hAnsi="Calibri"/>
                <w:b w:val="0"/>
                <w:i w:val="0"/>
                <w:color w:val="212121"/>
                <w:sz w:val="19"/>
              </w:rPr>
              <w:t>Household crowding, poor ventilation, limited diagnostics and interrupted treatment sustain TB transmission and late presentation, while air pollution adds to respiratory infection risk.</w:t>
            </w:r>
          </w:p>
          <w:p>
            <w:pPr>
              <w:spacing w:after="40" w:before="60" w:line="259" w:lineRule="auto"/>
            </w:pPr>
            <w:r>
              <w:rPr>
                <w:rFonts w:ascii="Calibri" w:hAnsi="Calibri"/>
                <w:b w:val="0"/>
                <w:i w:val="0"/>
                <w:color w:val="212121"/>
                <w:sz w:val="19"/>
              </w:rPr>
              <w:t>Pleural TB clusters in crowded, under-resourced settings; across Indian series TB causes 39–74% of exudative effusions.</w:t>
            </w:r>
          </w:p>
          <w:p>
            <w:pPr>
              <w:spacing w:after="40" w:line="252" w:lineRule="auto"/>
            </w:pPr>
            <w:hyperlink r:id="rId10">
              <w:r>
                <w:rPr>
                  <w:rFonts w:ascii="Calibri" w:hAnsi="Calibri" w:cs="Calibri"/>
                  <w:sz w:val="18"/>
                  <w:color w:val="1155CC"/>
                  <w:u w:val="single"/>
                </w:rPr>
                <w:t xml:space="preserve">msjonline.org — TB as leading exudative cause</w:t>
              </w:r>
            </w:hyperlink>
          </w:p>
          <w:p>
            <w:pPr>
              <w:spacing w:before="60" w:after="40"/>
            </w:pPr>
            <w:r>
              <w:rPr>
                <w:rFonts w:ascii="Calibri" w:hAnsi="Calibri"/>
                <w:b w:val="0"/>
                <w:i w:val="0"/>
                <w:color w:val="5A5A5A"/>
                <w:sz w:val="18"/>
              </w:rPr>
              <w:t>#rural  #slums  #crowding  #latepresentation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long-term smokers</w:t>
            </w:r>
          </w:p>
        </w:tc>
        <w:tc>
          <w:tcPr>
            <w:tcW w:type="dxa" w:w="4276"/>
            <w:vAlign w:val="top"/>
          </w:tcPr>
          <w:p>
            <w:pPr>
              <w:spacing w:after="60" w:line="259" w:lineRule="auto"/>
            </w:pPr>
            <w:r>
              <w:rPr>
                <w:rFonts w:ascii="Calibri" w:hAnsi="Calibri"/>
                <w:b w:val="0"/>
                <w:i w:val="0"/>
                <w:color w:val="212121"/>
                <w:sz w:val="19"/>
              </w:rPr>
              <w:t>Smoking is the principal cause of lung cancer (a major source of malignant effusion), increases susceptibility to pneumonia and parapneumonic effusion, and heightens the risk and severity of tuberculosis.</w:t>
            </w:r>
          </w:p>
          <w:p>
            <w:pPr>
              <w:spacing w:after="40" w:before="60" w:line="259" w:lineRule="auto"/>
            </w:pPr>
            <w:r>
              <w:rPr>
                <w:rFonts w:ascii="Calibri" w:hAnsi="Calibri"/>
                <w:b w:val="0"/>
                <w:i w:val="0"/>
                <w:color w:val="212121"/>
                <w:sz w:val="19"/>
              </w:rPr>
              <w:t>Malignant pleural effusion is most often due to lung cancer, for which tobacco is the dominant risk factor.</w:t>
            </w:r>
          </w:p>
          <w:p>
            <w:pPr>
              <w:spacing w:after="40" w:line="252" w:lineRule="auto"/>
            </w:pPr>
            <w:hyperlink r:id="rId13">
              <w:r>
                <w:rPr>
                  <w:rFonts w:ascii="Calibri" w:hAnsi="Calibri" w:cs="Calibri"/>
                  <w:sz w:val="18"/>
                  <w:color w:val="1155CC"/>
                  <w:u w:val="single"/>
                </w:rPr>
                <w:t xml:space="preserve">StatPearls — Malignant Pleural Effusion</w:t>
              </w:r>
            </w:hyperlink>
          </w:p>
          <w:p>
            <w:pPr>
              <w:spacing w:before="60" w:after="40"/>
            </w:pPr>
            <w:r>
              <w:rPr>
                <w:rFonts w:ascii="Calibri" w:hAnsi="Calibri"/>
                <w:b w:val="0"/>
                <w:i w:val="0"/>
                <w:color w:val="5A5A5A"/>
                <w:sz w:val="18"/>
              </w:rPr>
              <w:t>#smoking  #lungcancer  #malignanteffusion  #pneumonia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Chronic heavy drinking causes pancreatitis (sympathetic/left-sided exudate), cirrhosis with hepatic hydrothorax, aspiration pneumonia with empyema, and immune suppression that reactivates tuberculosis.</w:t>
            </w:r>
          </w:p>
          <w:p>
            <w:pPr>
              <w:spacing w:after="40" w:before="60" w:line="259" w:lineRule="auto"/>
            </w:pPr>
            <w:r>
              <w:rPr>
                <w:rFonts w:ascii="Calibri" w:hAnsi="Calibri"/>
                <w:b w:val="0"/>
                <w:i w:val="0"/>
                <w:color w:val="212121"/>
                <w:sz w:val="19"/>
              </w:rPr>
              <w:t>Pancreatitis and cirrhosis are recognised exudative and transudative causes respectively; alcohol misuse compounds TB and parapneumonic risk.</w:t>
            </w:r>
          </w:p>
          <w:p>
            <w:pPr>
              <w:spacing w:after="40" w:line="252" w:lineRule="auto"/>
            </w:pPr>
            <w:hyperlink r:id="rId14">
              <w:r>
                <w:rPr>
                  <w:rFonts w:ascii="Calibri" w:hAnsi="Calibri" w:cs="Calibri"/>
                  <w:sz w:val="18"/>
                  <w:color w:val="1155CC"/>
                  <w:u w:val="single"/>
                </w:rPr>
                <w:t xml:space="preserve">StatPearls — Pleural Effusion (causes)</w:t>
              </w:r>
            </w:hyperlink>
          </w:p>
          <w:p>
            <w:pPr>
              <w:spacing w:before="60" w:after="40"/>
            </w:pPr>
            <w:r>
              <w:rPr>
                <w:rFonts w:ascii="Calibri" w:hAnsi="Calibri"/>
                <w:b w:val="0"/>
                <w:i w:val="0"/>
                <w:color w:val="5A5A5A"/>
                <w:sz w:val="18"/>
              </w:rPr>
              <w:t>#alcohol  #pancreatitis  #cirrhosis  #hepatichydrothorax  #aspiration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Immobilised</w:t>
            </w:r>
          </w:p>
        </w:tc>
        <w:tc>
          <w:tcPr>
            <w:tcW w:type="dxa" w:w="2160"/>
            <w:vAlign w:val="top"/>
          </w:tcPr>
          <w:p>
            <w:pPr>
              <w:spacing w:after="40" w:before="0" w:line="259" w:lineRule="auto"/>
            </w:pPr>
            <w:r>
              <w:rPr>
                <w:rFonts w:ascii="Calibri" w:hAnsi="Calibri"/>
                <w:b w:val="0"/>
                <w:i w:val="0"/>
                <w:color w:val="212121"/>
                <w:sz w:val="19"/>
              </w:rPr>
              <w:t>Bedridden, post-operative and hospitalised patients</w:t>
            </w:r>
          </w:p>
        </w:tc>
        <w:tc>
          <w:tcPr>
            <w:tcW w:type="dxa" w:w="4276"/>
            <w:vAlign w:val="top"/>
          </w:tcPr>
          <w:p>
            <w:pPr>
              <w:spacing w:after="60" w:line="259" w:lineRule="auto"/>
            </w:pPr>
            <w:r>
              <w:rPr>
                <w:rFonts w:ascii="Calibri" w:hAnsi="Calibri"/>
                <w:b w:val="0"/>
                <w:i w:val="0"/>
                <w:color w:val="212121"/>
                <w:sz w:val="19"/>
              </w:rPr>
              <w:t>Prolonged immobility predisposes to venous thromboembolism (pulmonary embolism with effusion), hypostatic pneumonia and post-surgical (e.g. post-CABG) effusions.</w:t>
            </w:r>
          </w:p>
          <w:p>
            <w:pPr>
              <w:spacing w:after="40" w:before="60" w:line="259" w:lineRule="auto"/>
            </w:pPr>
            <w:r>
              <w:rPr>
                <w:rFonts w:ascii="Calibri" w:hAnsi="Calibri"/>
                <w:b w:val="0"/>
                <w:i w:val="0"/>
                <w:color w:val="212121"/>
                <w:sz w:val="19"/>
              </w:rPr>
              <w:t>Pulmonary embolism and post-cardiac-surgery states are established exudative causes of pleural effusion.</w:t>
            </w:r>
          </w:p>
          <w:p>
            <w:pPr>
              <w:spacing w:after="40" w:line="252" w:lineRule="auto"/>
            </w:pPr>
            <w:hyperlink r:id="rId14">
              <w:r>
                <w:rPr>
                  <w:rFonts w:ascii="Calibri" w:hAnsi="Calibri" w:cs="Calibri"/>
                  <w:sz w:val="18"/>
                  <w:color w:val="1155CC"/>
                  <w:u w:val="single"/>
                </w:rPr>
                <w:t xml:space="preserve">StatPearls — Pleural Effusion (exudative causes)</w:t>
              </w:r>
            </w:hyperlink>
          </w:p>
          <w:p>
            <w:pPr>
              <w:spacing w:before="60" w:after="40"/>
            </w:pPr>
            <w:r>
              <w:rPr>
                <w:rFonts w:ascii="Calibri" w:hAnsi="Calibri"/>
                <w:b w:val="0"/>
                <w:i w:val="0"/>
                <w:color w:val="5A5A5A"/>
                <w:sz w:val="18"/>
              </w:rPr>
              <w:t>#immobility  #PE  #postsurgical  #hypostaticpneumonia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Asbestos, construction, mining and stone-crushing workers</w:t>
            </w:r>
          </w:p>
        </w:tc>
        <w:tc>
          <w:tcPr>
            <w:tcW w:type="dxa" w:w="4276"/>
            <w:vAlign w:val="top"/>
          </w:tcPr>
          <w:p>
            <w:pPr>
              <w:spacing w:after="60" w:line="259" w:lineRule="auto"/>
            </w:pPr>
            <w:r>
              <w:rPr>
                <w:rFonts w:ascii="Calibri" w:hAnsi="Calibri"/>
                <w:b w:val="0"/>
                <w:i w:val="0"/>
                <w:color w:val="212121"/>
                <w:sz w:val="19"/>
              </w:rPr>
              <w:t>Asbestos exposure causes benign asbestos pleural effusion and malignant mesothelioma; silica exposure (mining, stone-crushing) raises TB risk (silicotuberculosis), both prominent in Indian informal labour.</w:t>
            </w:r>
          </w:p>
          <w:p>
            <w:pPr>
              <w:spacing w:after="40" w:before="60" w:line="259" w:lineRule="auto"/>
            </w:pPr>
            <w:r>
              <w:rPr>
                <w:rFonts w:ascii="Calibri" w:hAnsi="Calibri"/>
                <w:b w:val="0"/>
                <w:i w:val="0"/>
                <w:color w:val="212121"/>
                <w:sz w:val="19"/>
              </w:rPr>
              <w:t>Asbestos exposure is a recognised cause of benign pleural effusion and mesothelioma; silicosis markedly increases tuberculosis risk.</w:t>
            </w:r>
          </w:p>
          <w:p>
            <w:pPr>
              <w:spacing w:after="40" w:line="252" w:lineRule="auto"/>
            </w:pPr>
            <w:hyperlink r:id="rId13">
              <w:r>
                <w:rPr>
                  <w:rFonts w:ascii="Calibri" w:hAnsi="Calibri" w:cs="Calibri"/>
                  <w:sz w:val="18"/>
                  <w:color w:val="1155CC"/>
                  <w:u w:val="single"/>
                </w:rPr>
                <w:t xml:space="preserve">StatPearls — Malignant Pleural Effusion (asbestos/mesothelioma)</w:t>
              </w:r>
            </w:hyperlink>
          </w:p>
          <w:p>
            <w:pPr>
              <w:spacing w:before="60" w:after="40"/>
            </w:pPr>
            <w:r>
              <w:rPr>
                <w:rFonts w:ascii="Calibri" w:hAnsi="Calibri"/>
                <w:b w:val="0"/>
                <w:i w:val="0"/>
                <w:color w:val="5A5A5A"/>
                <w:sz w:val="18"/>
              </w:rPr>
              <w:t>#asbestos  #mesothelioma  #silicosis  #occupational  #silicotuberculosis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w:t>
            </w:r>
          </w:p>
        </w:tc>
        <w:tc>
          <w:tcPr>
            <w:tcW w:type="dxa" w:w="4276"/>
            <w:vAlign w:val="top"/>
          </w:tcPr>
          <w:p>
            <w:pPr>
              <w:spacing w:after="60" w:line="259" w:lineRule="auto"/>
            </w:pPr>
            <w:r>
              <w:rPr>
                <w:rFonts w:ascii="Calibri" w:hAnsi="Calibri"/>
                <w:b w:val="0"/>
                <w:i w:val="0"/>
                <w:color w:val="212121"/>
                <w:sz w:val="19"/>
              </w:rPr>
              <w:t>Excess weight promotes hypertension, coronary disease and obstructive sleep apnoea that culminate in heart failure — the commonest transudative cause of effusion.</w:t>
            </w:r>
          </w:p>
          <w:p>
            <w:pPr>
              <w:spacing w:after="40" w:before="60" w:line="259" w:lineRule="auto"/>
            </w:pPr>
            <w:r>
              <w:rPr>
                <w:rFonts w:ascii="Calibri" w:hAnsi="Calibri"/>
                <w:b w:val="0"/>
                <w:i w:val="0"/>
                <w:color w:val="212121"/>
                <w:sz w:val="19"/>
              </w:rPr>
              <w:t>Congestive heart failure is the leading transudative cause of pleural effusion and is driven by obesity-related cardiovascular disease.</w:t>
            </w:r>
          </w:p>
          <w:p>
            <w:pPr>
              <w:spacing w:after="40" w:line="252" w:lineRule="auto"/>
            </w:pPr>
            <w:hyperlink r:id="rId14">
              <w:r>
                <w:rPr>
                  <w:rFonts w:ascii="Calibri" w:hAnsi="Calibri" w:cs="Calibri"/>
                  <w:sz w:val="18"/>
                  <w:color w:val="1155CC"/>
                  <w:u w:val="single"/>
                </w:rPr>
                <w:t xml:space="preserve">StatPearls — Pleural Effusion (transudative causes)</w:t>
              </w:r>
            </w:hyperlink>
          </w:p>
          <w:p>
            <w:pPr>
              <w:spacing w:before="60" w:after="40"/>
            </w:pPr>
            <w:r>
              <w:rPr>
                <w:rFonts w:ascii="Calibri" w:hAnsi="Calibri"/>
                <w:b w:val="0"/>
                <w:i w:val="0"/>
                <w:color w:val="5A5A5A"/>
                <w:sz w:val="18"/>
              </w:rPr>
              <w:t>#overweight  #heartfailure  #OSA  #transudate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w:t>
            </w:r>
          </w:p>
        </w:tc>
        <w:tc>
          <w:tcPr>
            <w:tcW w:type="dxa" w:w="4276"/>
            <w:vAlign w:val="top"/>
          </w:tcPr>
          <w:p>
            <w:pPr>
              <w:spacing w:after="60" w:line="259" w:lineRule="auto"/>
            </w:pPr>
            <w:r>
              <w:rPr>
                <w:rFonts w:ascii="Calibri" w:hAnsi="Calibri"/>
                <w:b w:val="0"/>
                <w:i w:val="0"/>
                <w:color w:val="212121"/>
                <w:sz w:val="19"/>
              </w:rPr>
              <w:t>Obesity hypoventilation and diastolic heart failure raise pulmonary capillary pressure, producing transudative effusions; obesity also complicates drainage and imaging.</w:t>
            </w:r>
          </w:p>
          <w:p>
            <w:pPr>
              <w:spacing w:after="40" w:before="60" w:line="259" w:lineRule="auto"/>
            </w:pPr>
            <w:r>
              <w:rPr>
                <w:rFonts w:ascii="Calibri" w:hAnsi="Calibri"/>
                <w:b w:val="0"/>
                <w:i w:val="0"/>
                <w:color w:val="212121"/>
                <w:sz w:val="19"/>
              </w:rPr>
              <w:t>Heart-failure-related transudates predominate in obese patients with cardiac decompensation.</w:t>
            </w:r>
          </w:p>
          <w:p>
            <w:pPr>
              <w:spacing w:after="40" w:line="252" w:lineRule="auto"/>
            </w:pPr>
            <w:hyperlink r:id="rId14">
              <w:r>
                <w:rPr>
                  <w:rFonts w:ascii="Calibri" w:hAnsi="Calibri" w:cs="Calibri"/>
                  <w:sz w:val="18"/>
                  <w:color w:val="1155CC"/>
                  <w:u w:val="single"/>
                </w:rPr>
                <w:t xml:space="preserve">StatPearls — Pleural Effusion (heart failure)</w:t>
              </w:r>
            </w:hyperlink>
          </w:p>
          <w:p>
            <w:pPr>
              <w:spacing w:before="60" w:after="40"/>
            </w:pPr>
            <w:r>
              <w:rPr>
                <w:rFonts w:ascii="Calibri" w:hAnsi="Calibri"/>
                <w:b w:val="0"/>
                <w:i w:val="0"/>
                <w:color w:val="5A5A5A"/>
                <w:sz w:val="18"/>
              </w:rPr>
              <w:t>#obesity  #obesityhypoventilation  #diastolicHF  #transudate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 / Low-protein diet</w:t>
            </w:r>
          </w:p>
        </w:tc>
        <w:tc>
          <w:tcPr>
            <w:tcW w:type="dxa" w:w="2160"/>
            <w:vAlign w:val="top"/>
          </w:tcPr>
          <w:p>
            <w:pPr>
              <w:spacing w:after="40" w:before="0" w:line="259" w:lineRule="auto"/>
            </w:pPr>
            <w:r>
              <w:rPr>
                <w:rFonts w:ascii="Calibri" w:hAnsi="Calibri"/>
                <w:b w:val="0"/>
                <w:i w:val="0"/>
                <w:color w:val="212121"/>
                <w:sz w:val="19"/>
              </w:rPr>
              <w:t>Undernourished, low-albumin individuals</w:t>
            </w:r>
          </w:p>
        </w:tc>
        <w:tc>
          <w:tcPr>
            <w:tcW w:type="dxa" w:w="4276"/>
            <w:vAlign w:val="top"/>
          </w:tcPr>
          <w:p>
            <w:pPr>
              <w:spacing w:after="60" w:line="259" w:lineRule="auto"/>
            </w:pPr>
            <w:r>
              <w:rPr>
                <w:rFonts w:ascii="Calibri" w:hAnsi="Calibri"/>
                <w:b w:val="0"/>
                <w:i w:val="0"/>
                <w:color w:val="212121"/>
                <w:sz w:val="19"/>
              </w:rPr>
              <w:t>Protein-energy malnutrition lowers serum albumin and oncotic pressure, allowing transudative effusions, and independently impairs immunity so that latent TB progresses to pleural disease.</w:t>
            </w:r>
          </w:p>
          <w:p>
            <w:pPr>
              <w:spacing w:after="40" w:before="60" w:line="259" w:lineRule="auto"/>
            </w:pPr>
            <w:r>
              <w:rPr>
                <w:rFonts w:ascii="Calibri" w:hAnsi="Calibri"/>
                <w:b w:val="0"/>
                <w:i w:val="0"/>
                <w:color w:val="212121"/>
                <w:sz w:val="19"/>
              </w:rPr>
              <w:t>Hypoalbuminaemia is a recognised transudative cause, and undernutrition is a major driver of active TB in India.</w:t>
            </w:r>
          </w:p>
          <w:p>
            <w:pPr>
              <w:spacing w:after="40" w:line="252" w:lineRule="auto"/>
            </w:pPr>
            <w:hyperlink r:id="rId14">
              <w:r>
                <w:rPr>
                  <w:rFonts w:ascii="Calibri" w:hAnsi="Calibri" w:cs="Calibri"/>
                  <w:sz w:val="18"/>
                  <w:color w:val="1155CC"/>
                  <w:u w:val="single"/>
                </w:rPr>
                <w:t xml:space="preserve">StatPearls — Pleural Effusion (hypoalbuminaemia)</w:t>
              </w:r>
            </w:hyperlink>
          </w:p>
          <w:p>
            <w:pPr>
              <w:spacing w:before="60" w:after="40"/>
            </w:pPr>
            <w:r>
              <w:rPr>
                <w:rFonts w:ascii="Calibri" w:hAnsi="Calibri"/>
                <w:b w:val="0"/>
                <w:i w:val="0"/>
                <w:color w:val="5A5A5A"/>
                <w:sz w:val="18"/>
              </w:rPr>
              <w:t>#malnutrition  #hypoalbuminaemia  #lowoncotic  #TBprogression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Merge w:val="restart"/>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Household TB contacts / familial TB susceptibility</w:t>
            </w:r>
          </w:p>
        </w:tc>
        <w:tc>
          <w:tcPr>
            <w:tcW w:type="dxa" w:w="4276"/>
            <w:vAlign w:val="top"/>
          </w:tcPr>
          <w:p>
            <w:pPr>
              <w:spacing w:after="60" w:line="259" w:lineRule="auto"/>
            </w:pPr>
            <w:r>
              <w:rPr>
                <w:rFonts w:ascii="Calibri" w:hAnsi="Calibri"/>
                <w:b w:val="0"/>
                <w:i w:val="0"/>
                <w:color w:val="212121"/>
                <w:sz w:val="19"/>
              </w:rPr>
              <w:t>Close household contact with an infectious TB case, compounded by shared genetic susceptibility (HLA and immune-gene variants), greatly raises the chance of developing pleural TB.</w:t>
            </w:r>
          </w:p>
          <w:p>
            <w:pPr>
              <w:spacing w:after="40" w:before="60" w:line="259" w:lineRule="auto"/>
            </w:pPr>
            <w:r>
              <w:rPr>
                <w:rFonts w:ascii="Calibri" w:hAnsi="Calibri"/>
                <w:b w:val="0"/>
                <w:i w:val="0"/>
                <w:color w:val="212121"/>
                <w:sz w:val="19"/>
              </w:rPr>
              <w:t>TB clusters within households in high-burden settings; India records the world's largest TB caseload (~26% of global cases).</w:t>
            </w:r>
          </w:p>
          <w:p>
            <w:pPr>
              <w:spacing w:after="40" w:line="252" w:lineRule="auto"/>
            </w:pPr>
            <w:hyperlink r:id="rId11">
              <w:r>
                <w:rPr>
                  <w:rFonts w:ascii="Calibri" w:hAnsi="Calibri" w:cs="Calibri"/>
                  <w:sz w:val="18"/>
                  <w:color w:val="1155CC"/>
                  <w:u w:val="single"/>
                </w:rPr>
                <w:t xml:space="preserve">WHO Global TB Report 2024 (summary) — India burden</w:t>
              </w:r>
            </w:hyperlink>
          </w:p>
          <w:p>
            <w:pPr>
              <w:spacing w:before="60" w:after="40"/>
            </w:pPr>
            <w:r>
              <w:rPr>
                <w:rFonts w:ascii="Calibri" w:hAnsi="Calibri"/>
                <w:b w:val="0"/>
                <w:i w:val="0"/>
                <w:color w:val="5A5A5A"/>
                <w:sz w:val="18"/>
              </w:rPr>
              <w:t>#householdcontact  #TBsusceptibility  #HLA  #familyhistory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Familial connective-tissue / autoimmune disease</w:t>
            </w:r>
          </w:p>
        </w:tc>
        <w:tc>
          <w:tcPr>
            <w:tcW w:type="dxa" w:w="4276"/>
            <w:vAlign w:val="top"/>
          </w:tcPr>
          <w:p>
            <w:pPr>
              <w:spacing w:after="60" w:line="259" w:lineRule="auto"/>
            </w:pPr>
            <w:r>
              <w:rPr>
                <w:rFonts w:ascii="Calibri" w:hAnsi="Calibri"/>
                <w:b w:val="0"/>
                <w:i w:val="0"/>
                <w:color w:val="212121"/>
                <w:sz w:val="19"/>
              </w:rPr>
              <w:t>Inherited predisposition to rheumatoid arthritis and systemic lupus erythematosus underlies autoimmune pleuritis, a recognised exudative cause of effusion.</w:t>
            </w:r>
          </w:p>
          <w:p>
            <w:pPr>
              <w:spacing w:after="40" w:before="60" w:line="259" w:lineRule="auto"/>
            </w:pPr>
            <w:r>
              <w:rPr>
                <w:rFonts w:ascii="Calibri" w:hAnsi="Calibri"/>
                <w:b w:val="0"/>
                <w:i w:val="0"/>
                <w:color w:val="212121"/>
                <w:sz w:val="19"/>
              </w:rPr>
              <w:t>Rheumatoid arthritis and SLE are established exudative causes of pleural effusion.</w:t>
            </w:r>
          </w:p>
          <w:p>
            <w:pPr>
              <w:spacing w:after="40" w:line="252" w:lineRule="auto"/>
            </w:pPr>
            <w:hyperlink r:id="rId14">
              <w:r>
                <w:rPr>
                  <w:rFonts w:ascii="Calibri" w:hAnsi="Calibri" w:cs="Calibri"/>
                  <w:sz w:val="18"/>
                  <w:color w:val="1155CC"/>
                  <w:u w:val="single"/>
                </w:rPr>
                <w:t xml:space="preserve">StatPearls — Pleural Effusion (autoimmune causes)</w:t>
              </w:r>
            </w:hyperlink>
          </w:p>
          <w:p>
            <w:pPr>
              <w:spacing w:before="60" w:after="40"/>
            </w:pPr>
            <w:r>
              <w:rPr>
                <w:rFonts w:ascii="Calibri" w:hAnsi="Calibri"/>
                <w:b w:val="0"/>
                <w:i w:val="0"/>
                <w:color w:val="5A5A5A"/>
                <w:sz w:val="18"/>
              </w:rPr>
              <w:t>#rheumatoidarthritis  #SLE  #autoimmunepleuritis  #exudate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pulmonary or extrapulmonary TB</w:t>
            </w:r>
          </w:p>
        </w:tc>
        <w:tc>
          <w:tcPr>
            <w:tcW w:type="dxa" w:w="4276"/>
            <w:vAlign w:val="top"/>
          </w:tcPr>
          <w:p>
            <w:pPr>
              <w:spacing w:after="60" w:line="259" w:lineRule="auto"/>
            </w:pPr>
            <w:r>
              <w:rPr>
                <w:rFonts w:ascii="Calibri" w:hAnsi="Calibri"/>
                <w:b w:val="0"/>
                <w:i w:val="0"/>
                <w:color w:val="212121"/>
                <w:sz w:val="19"/>
              </w:rPr>
              <w:t>Tuberculous pleurisy from a hypersensitivity reaction to mycobacterial antigens is the leading cause of pleural effusion in India, producing a lymphocyte-rich, ADA-high exudate.</w:t>
            </w:r>
          </w:p>
          <w:p>
            <w:pPr>
              <w:spacing w:after="40" w:before="60" w:line="259" w:lineRule="auto"/>
            </w:pPr>
            <w:r>
              <w:rPr>
                <w:rFonts w:ascii="Calibri" w:hAnsi="Calibri"/>
                <w:b w:val="0"/>
                <w:i w:val="0"/>
                <w:color w:val="212121"/>
                <w:sz w:val="19"/>
              </w:rPr>
              <w:t>TB caused 39.3% of exudative effusions in a Gujarat series and up to 74.3% in another Indian exudative cohort; pleural fluid ADA &gt; 40 IU/L has ~100% sensitivity for TB.</w:t>
            </w:r>
          </w:p>
          <w:p>
            <w:pPr>
              <w:spacing w:after="40" w:line="252" w:lineRule="auto"/>
            </w:pPr>
            <w:hyperlink r:id="rId15">
              <w:r>
                <w:rPr>
                  <w:rFonts w:ascii="Calibri" w:hAnsi="Calibri" w:cs="Calibri"/>
                  <w:sz w:val="18"/>
                  <w:color w:val="1155CC"/>
                  <w:u w:val="single"/>
                </w:rPr>
                <w:t xml:space="preserve">Nature Sci Rep — ADA cutoff for tuberculous pleural effusion</w:t>
              </w:r>
            </w:hyperlink>
          </w:p>
          <w:p>
            <w:pPr>
              <w:spacing w:before="60" w:after="40"/>
            </w:pPr>
            <w:r>
              <w:rPr>
                <w:rFonts w:ascii="Calibri" w:hAnsi="Calibri"/>
                <w:b w:val="0"/>
                <w:i w:val="0"/>
                <w:color w:val="5A5A5A"/>
                <w:sz w:val="18"/>
              </w:rPr>
              <w:t>#tuberculosis  #ADA  #lymphocytic  #exudate  #leadingcause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Congestive heart failure</w:t>
            </w:r>
          </w:p>
        </w:tc>
        <w:tc>
          <w:tcPr>
            <w:tcW w:type="dxa" w:w="2160"/>
            <w:vAlign w:val="top"/>
          </w:tcPr>
          <w:p>
            <w:pPr>
              <w:spacing w:after="40" w:before="0" w:line="259" w:lineRule="auto"/>
            </w:pPr>
            <w:r>
              <w:rPr>
                <w:rFonts w:ascii="Calibri" w:hAnsi="Calibri"/>
                <w:b w:val="0"/>
                <w:i w:val="0"/>
                <w:color w:val="212121"/>
                <w:sz w:val="19"/>
              </w:rPr>
              <w:t>Patients with CHF</w:t>
            </w:r>
          </w:p>
        </w:tc>
        <w:tc>
          <w:tcPr>
            <w:tcW w:type="dxa" w:w="4276"/>
            <w:vAlign w:val="top"/>
          </w:tcPr>
          <w:p>
            <w:pPr>
              <w:spacing w:after="60" w:line="259" w:lineRule="auto"/>
            </w:pPr>
            <w:r>
              <w:rPr>
                <w:rFonts w:ascii="Calibri" w:hAnsi="Calibri"/>
                <w:b w:val="0"/>
                <w:i w:val="0"/>
                <w:color w:val="212121"/>
                <w:sz w:val="19"/>
              </w:rPr>
              <w:t>Elevated pulmonary capillary hydrostatic pressure drives a protein-poor transudate, classically bilateral and often larger on the right; the commonest transudative cause overall.</w:t>
            </w:r>
          </w:p>
          <w:p>
            <w:pPr>
              <w:spacing w:after="40" w:before="60" w:line="259" w:lineRule="auto"/>
            </w:pPr>
            <w:r>
              <w:rPr>
                <w:rFonts w:ascii="Calibri" w:hAnsi="Calibri"/>
                <w:b w:val="0"/>
                <w:i w:val="0"/>
                <w:color w:val="212121"/>
                <w:sz w:val="19"/>
              </w:rPr>
              <w:t>Congestive heart failure is the leading cause of transudative pleural effusion.</w:t>
            </w:r>
          </w:p>
          <w:p>
            <w:pPr>
              <w:spacing w:after="40" w:line="252" w:lineRule="auto"/>
            </w:pPr>
            <w:hyperlink r:id="rId14">
              <w:r>
                <w:rPr>
                  <w:rFonts w:ascii="Calibri" w:hAnsi="Calibri" w:cs="Calibri"/>
                  <w:sz w:val="18"/>
                  <w:color w:val="1155CC"/>
                  <w:u w:val="single"/>
                </w:rPr>
                <w:t xml:space="preserve">StatPearls — Pleural Effusion (CHF)</w:t>
              </w:r>
            </w:hyperlink>
          </w:p>
          <w:p>
            <w:pPr>
              <w:spacing w:before="60" w:after="40"/>
            </w:pPr>
            <w:r>
              <w:rPr>
                <w:rFonts w:ascii="Calibri" w:hAnsi="Calibri"/>
                <w:b w:val="0"/>
                <w:i w:val="0"/>
                <w:color w:val="5A5A5A"/>
                <w:sz w:val="18"/>
              </w:rPr>
              <w:t>#heartfailure  #transudate  #bilateral  #hydrostatic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Patients with lung, breast, lymphoma or mesothelioma</w:t>
            </w:r>
          </w:p>
        </w:tc>
        <w:tc>
          <w:tcPr>
            <w:tcW w:type="dxa" w:w="4276"/>
            <w:vAlign w:val="top"/>
          </w:tcPr>
          <w:p>
            <w:pPr>
              <w:spacing w:after="60" w:line="259" w:lineRule="auto"/>
            </w:pPr>
            <w:r>
              <w:rPr>
                <w:rFonts w:ascii="Calibri" w:hAnsi="Calibri"/>
                <w:b w:val="0"/>
                <w:i w:val="0"/>
                <w:color w:val="212121"/>
                <w:sz w:val="19"/>
              </w:rPr>
              <w:t>Pleural metastases and lymphatic obstruction increase permeability, producing exudative, often haemorrhagic and recurrent effusions with poor prognosis.</w:t>
            </w:r>
          </w:p>
          <w:p>
            <w:pPr>
              <w:spacing w:after="40" w:before="60" w:line="259" w:lineRule="auto"/>
            </w:pPr>
            <w:r>
              <w:rPr>
                <w:rFonts w:ascii="Calibri" w:hAnsi="Calibri"/>
                <w:b w:val="0"/>
                <w:i w:val="0"/>
                <w:color w:val="212121"/>
                <w:sz w:val="19"/>
              </w:rPr>
              <w:t>Malignant and para-malignant causes together accounted for ~43% of exudative effusions (malignant 18.9% + para-malignant 24.6%) in the Gujarat series.</w:t>
            </w:r>
          </w:p>
          <w:p>
            <w:pPr>
              <w:spacing w:after="40" w:line="252" w:lineRule="auto"/>
            </w:pPr>
            <w:hyperlink r:id="rId9">
              <w:r>
                <w:rPr>
                  <w:rFonts w:ascii="Calibri" w:hAnsi="Calibri" w:cs="Calibri"/>
                  <w:sz w:val="18"/>
                  <w:color w:val="1155CC"/>
                  <w:u w:val="single"/>
                </w:rPr>
                <w:t xml:space="preserve">ijirm.org — malignant/para-malignant proportion</w:t>
              </w:r>
            </w:hyperlink>
          </w:p>
          <w:p>
            <w:pPr>
              <w:spacing w:before="60" w:after="40"/>
            </w:pPr>
            <w:r>
              <w:rPr>
                <w:rFonts w:ascii="Calibri" w:hAnsi="Calibri"/>
                <w:b w:val="0"/>
                <w:i w:val="0"/>
                <w:color w:val="5A5A5A"/>
                <w:sz w:val="18"/>
              </w:rPr>
              <w:t>#malignanteffusion  #lungcancer  #haemorrhagic  #recurrent  #poorprognosis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Pneumonia</w:t>
            </w:r>
          </w:p>
        </w:tc>
        <w:tc>
          <w:tcPr>
            <w:tcW w:type="dxa" w:w="2160"/>
            <w:vAlign w:val="top"/>
          </w:tcPr>
          <w:p>
            <w:pPr>
              <w:spacing w:after="40" w:before="0" w:line="259" w:lineRule="auto"/>
            </w:pPr>
            <w:r>
              <w:rPr>
                <w:rFonts w:ascii="Calibri" w:hAnsi="Calibri"/>
                <w:b w:val="0"/>
                <w:i w:val="0"/>
                <w:color w:val="212121"/>
                <w:sz w:val="19"/>
              </w:rPr>
              <w:t>Patients with bacterial pneumonia</w:t>
            </w:r>
          </w:p>
        </w:tc>
        <w:tc>
          <w:tcPr>
            <w:tcW w:type="dxa" w:w="4276"/>
            <w:vAlign w:val="top"/>
          </w:tcPr>
          <w:p>
            <w:pPr>
              <w:spacing w:after="60" w:line="259" w:lineRule="auto"/>
            </w:pPr>
            <w:r>
              <w:rPr>
                <w:rFonts w:ascii="Calibri" w:hAnsi="Calibri"/>
                <w:b w:val="0"/>
                <w:i w:val="0"/>
                <w:color w:val="212121"/>
                <w:sz w:val="19"/>
              </w:rPr>
              <w:t>Infection of lung adjacent to the pleura causes a neutrophilic parapneumonic effusion that can organise into a complicated effusion or frank empyema requiring drainage.</w:t>
            </w:r>
          </w:p>
          <w:p>
            <w:pPr>
              <w:spacing w:after="40" w:before="60" w:line="259" w:lineRule="auto"/>
            </w:pPr>
            <w:r>
              <w:rPr>
                <w:rFonts w:ascii="Calibri" w:hAnsi="Calibri"/>
                <w:b w:val="0"/>
                <w:i w:val="0"/>
                <w:color w:val="212121"/>
                <w:sz w:val="19"/>
              </w:rPr>
              <w:t>Parapneumonic effusion is a leading exudative cause; low pleural glucose and pH mark complicated effusions needing chest-tube drainage.</w:t>
            </w:r>
          </w:p>
          <w:p>
            <w:pPr>
              <w:spacing w:after="40" w:line="252" w:lineRule="auto"/>
            </w:pPr>
            <w:hyperlink r:id="rId16">
              <w:r>
                <w:rPr>
                  <w:rFonts w:ascii="Calibri" w:hAnsi="Calibri" w:cs="Calibri"/>
                  <w:sz w:val="18"/>
                  <w:color w:val="1155CC"/>
                  <w:u w:val="single"/>
                </w:rPr>
                <w:t xml:space="preserve">StatPearls — Parapneumonic Effusions &amp; Empyema</w:t>
              </w:r>
            </w:hyperlink>
          </w:p>
          <w:p>
            <w:pPr>
              <w:spacing w:before="60" w:after="40"/>
            </w:pPr>
            <w:r>
              <w:rPr>
                <w:rFonts w:ascii="Calibri" w:hAnsi="Calibri"/>
                <w:b w:val="0"/>
                <w:i w:val="0"/>
                <w:color w:val="5A5A5A"/>
                <w:sz w:val="18"/>
              </w:rPr>
              <w:t>#pneumonia  #parapneumonic  #empyema  #neutrophilic  #drainage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 kidney disease</w:t>
            </w:r>
          </w:p>
        </w:tc>
        <w:tc>
          <w:tcPr>
            <w:tcW w:type="dxa" w:w="2160"/>
            <w:vAlign w:val="top"/>
          </w:tcPr>
          <w:p>
            <w:pPr>
              <w:spacing w:after="40" w:before="0" w:line="259" w:lineRule="auto"/>
            </w:pPr>
            <w:r>
              <w:rPr>
                <w:rFonts w:ascii="Calibri" w:hAnsi="Calibri"/>
                <w:b w:val="0"/>
                <w:i w:val="0"/>
                <w:color w:val="212121"/>
                <w:sz w:val="19"/>
              </w:rPr>
              <w:t>Patients with cirrhosis or nephrotic syndrome</w:t>
            </w:r>
          </w:p>
        </w:tc>
        <w:tc>
          <w:tcPr>
            <w:tcW w:type="dxa" w:w="4276"/>
            <w:vAlign w:val="top"/>
          </w:tcPr>
          <w:p>
            <w:pPr>
              <w:spacing w:after="60" w:line="259" w:lineRule="auto"/>
            </w:pPr>
            <w:r>
              <w:rPr>
                <w:rFonts w:ascii="Calibri" w:hAnsi="Calibri"/>
                <w:b w:val="0"/>
                <w:i w:val="0"/>
                <w:color w:val="212121"/>
                <w:sz w:val="19"/>
              </w:rPr>
              <w:t>Cirrhosis allows ascitic fluid to cross diaphragmatic defects (hepatic hydrothorax) while nephrotic syndrome lowers oncotic pressure — both yielding transudative effusions.</w:t>
            </w:r>
          </w:p>
          <w:p>
            <w:pPr>
              <w:spacing w:after="40" w:before="60" w:line="259" w:lineRule="auto"/>
            </w:pPr>
            <w:r>
              <w:rPr>
                <w:rFonts w:ascii="Calibri" w:hAnsi="Calibri"/>
                <w:b w:val="0"/>
                <w:i w:val="0"/>
                <w:color w:val="212121"/>
                <w:sz w:val="19"/>
              </w:rPr>
              <w:t>Cirrhosis (hepatic hydrothorax) and nephrotic syndrome are recognised transudative causes of pleural effusion.</w:t>
            </w:r>
          </w:p>
          <w:p>
            <w:pPr>
              <w:spacing w:after="40" w:line="252" w:lineRule="auto"/>
            </w:pPr>
            <w:hyperlink r:id="rId14">
              <w:r>
                <w:rPr>
                  <w:rFonts w:ascii="Calibri" w:hAnsi="Calibri" w:cs="Calibri"/>
                  <w:sz w:val="18"/>
                  <w:color w:val="1155CC"/>
                  <w:u w:val="single"/>
                </w:rPr>
                <w:t xml:space="preserve">StatPearls — Pleural Effusion (cirrhosis, nephrotic syndrome)</w:t>
              </w:r>
            </w:hyperlink>
          </w:p>
          <w:p>
            <w:pPr>
              <w:spacing w:before="60" w:after="40"/>
            </w:pPr>
            <w:r>
              <w:rPr>
                <w:rFonts w:ascii="Calibri" w:hAnsi="Calibri"/>
                <w:b w:val="0"/>
                <w:i w:val="0"/>
                <w:color w:val="5A5A5A"/>
                <w:sz w:val="18"/>
              </w:rPr>
              <w:t>#cirrhosis  #hepatichydrothorax  #nephroticsyndrome  #transudate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pleural effusion, but prolonged immobility and bed rest raise the risk of pulmonary embolism, hypostatic pneumonia and post-operative effusions; early mobilisation is protective in hospitalised patients.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and low-protein intake reduce serum albumin and oncotic pressure (transudative effusion) and independently promote progression of latent to active tuberculous pleurisy, a major cause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Obstructive sleep apnoea contributes to heart failure and transudative effusion, and orthopnoea/positional breathlessness worsen with large effusions; direct causal links are modest.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the leading cause of lung cancer (malignant effusion), increases pneumonia/parapneumonic risk, and raises tuberculosis susceptibility and severity.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causes pancreatitis (left-sided exudate), cirrhosis with hepatic hydrothorax, aspiration pneumonia/empyema, and immune suppression favouring TB reactivation.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poor mental health mainly act indirectly by impairing adherence to prolonged anti-TB and cardiac therapy, delaying resolution of effusion and increasing recurrence.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Fluid balance is relevant chiefly in heart-failure and renal-failure related transudates, where volume overload aggravates effusion; hydration has no direct role in exudative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the development or course of pleural effusion.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Respiratory hygiene and reduced household crowding limit tuberculosis and pneumonia transmission; poor oral hygiene and aspiration predispose to parapneumonic effusion and empyema.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Clear precipitants exist — recent pneumonia, active or contact tuberculosis, chest trauma or thoracic surgery, cardiac/renal decompensation, pulmonary embolism and pancreatitis — each triggering fluid accumulation.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does not cause effusion, though it influences fluid layering on imaging and the degree of positional breathlessness.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Days of immobilisation / bed rest</w:t>
            </w:r>
          </w:p>
        </w:tc>
        <w:tc>
          <w:tcPr>
            <w:tcW w:type="dxa" w:w="1655"/>
            <w:vAlign w:val="top"/>
          </w:tcPr>
          <w:p>
            <w:pPr>
              <w:spacing w:after="40" w:before="0" w:line="259" w:lineRule="auto"/>
            </w:pPr>
            <w:r>
              <w:rPr>
                <w:rFonts w:ascii="Calibri" w:hAnsi="Calibri"/>
                <w:b w:val="0"/>
                <w:i w:val="0"/>
                <w:color w:val="212121"/>
                <w:sz w:val="19"/>
              </w:rPr>
              <w:t>Hospitalised, post-operative, elderly</w:t>
            </w:r>
          </w:p>
        </w:tc>
        <w:tc>
          <w:tcPr>
            <w:tcW w:type="dxa" w:w="1512"/>
            <w:vAlign w:val="top"/>
          </w:tcPr>
          <w:p>
            <w:pPr>
              <w:spacing w:after="40" w:before="0" w:line="259" w:lineRule="auto"/>
            </w:pPr>
            <w:r>
              <w:rPr>
                <w:rFonts w:ascii="Calibri" w:hAnsi="Calibri"/>
                <w:b w:val="0"/>
                <w:i w:val="0"/>
                <w:color w:val="212121"/>
                <w:sz w:val="19"/>
              </w:rPr>
              <w:t>Early mobilisation within 24–48 h</w:t>
            </w:r>
          </w:p>
        </w:tc>
        <w:tc>
          <w:tcPr>
            <w:tcW w:type="dxa" w:w="1512"/>
            <w:vAlign w:val="top"/>
          </w:tcPr>
          <w:p>
            <w:pPr>
              <w:spacing w:after="40" w:before="0" w:line="259" w:lineRule="auto"/>
            </w:pPr>
            <w:r>
              <w:rPr>
                <w:rFonts w:ascii="Calibri" w:hAnsi="Calibri"/>
                <w:b w:val="0"/>
                <w:i w:val="0"/>
                <w:color w:val="212121"/>
                <w:sz w:val="19"/>
              </w:rPr>
              <w:t>Prolonged immobility &gt; 3 days</w:t>
            </w:r>
          </w:p>
        </w:tc>
        <w:tc>
          <w:tcPr>
            <w:tcW w:type="dxa" w:w="1468"/>
            <w:vAlign w:val="top"/>
          </w:tcPr>
          <w:p>
            <w:pPr>
              <w:spacing w:after="60" w:line="259" w:lineRule="auto"/>
            </w:pPr>
            <w:r>
              <w:rPr>
                <w:rFonts w:ascii="Calibri" w:hAnsi="Calibri"/>
                <w:b w:val="0"/>
                <w:i w:val="0"/>
                <w:color w:val="212121"/>
                <w:sz w:val="19"/>
              </w:rPr>
              <w:t>Immobility raises PE, hypostatic pneumonia and post-op effusion risk</w:t>
            </w:r>
          </w:p>
          <w:p>
            <w:pPr>
              <w:spacing w:after="40" w:line="252" w:lineRule="auto"/>
            </w:pPr>
            <w:hyperlink r:id="rId14">
              <w:r>
                <w:rPr>
                  <w:rFonts w:ascii="Calibri" w:hAnsi="Calibri" w:cs="Calibri"/>
                  <w:sz w:val="18"/>
                  <w:color w:val="1155CC"/>
                  <w:u w:val="single"/>
                </w:rPr>
                <w:t xml:space="preserve">https://www.ncbi.nlm.nih.gov/books/NBK448189/</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Malnourished, cirrhotic, nephrotic, elderly</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2.5 g/dL</w:t>
            </w:r>
          </w:p>
        </w:tc>
        <w:tc>
          <w:tcPr>
            <w:tcW w:type="dxa" w:w="1468"/>
            <w:vAlign w:val="top"/>
          </w:tcPr>
          <w:p>
            <w:pPr>
              <w:spacing w:after="60" w:line="259" w:lineRule="auto"/>
            </w:pPr>
            <w:r>
              <w:rPr>
                <w:rFonts w:ascii="Calibri" w:hAnsi="Calibri"/>
                <w:b w:val="0"/>
                <w:i w:val="0"/>
                <w:color w:val="212121"/>
                <w:sz w:val="19"/>
              </w:rPr>
              <w:t>Low oncotic pressure permits transudative effusion</w:t>
            </w:r>
          </w:p>
          <w:p>
            <w:pPr>
              <w:spacing w:after="40" w:line="252" w:lineRule="auto"/>
            </w:pPr>
            <w:hyperlink r:id="rId14">
              <w:r>
                <w:rPr>
                  <w:rFonts w:ascii="Calibri" w:hAnsi="Calibri" w:cs="Calibri"/>
                  <w:sz w:val="18"/>
                  <w:color w:val="1155CC"/>
                  <w:u w:val="single"/>
                </w:rPr>
                <w:t xml:space="preserve">https://www.ncbi.nlm.nih.gov/books/NBK448189/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(TB risk); ≥ 30 (heart-failure risk)</w:t>
            </w:r>
          </w:p>
        </w:tc>
        <w:tc>
          <w:tcPr>
            <w:tcW w:type="dxa" w:w="1468"/>
            <w:vAlign w:val="top"/>
          </w:tcPr>
          <w:p>
            <w:pPr>
              <w:spacing w:after="40" w:before="0" w:line="259" w:lineRule="auto"/>
            </w:pPr>
            <w:r>
              <w:rPr>
                <w:rFonts w:ascii="Calibri" w:hAnsi="Calibri"/>
                <w:b w:val="0"/>
                <w:i w:val="0"/>
                <w:color w:val="212121"/>
                <w:sz w:val="19"/>
              </w:rPr>
              <w:t>Both undernutrition (TB) and obesity (CHF) drive effusion via different routes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protein intake</w:t>
            </w:r>
          </w:p>
        </w:tc>
        <w:tc>
          <w:tcPr>
            <w:tcW w:type="dxa" w:w="1655"/>
            <w:vAlign w:val="top"/>
          </w:tcPr>
          <w:p>
            <w:pPr>
              <w:spacing w:after="40" w:before="0" w:line="259" w:lineRule="auto"/>
            </w:pPr>
            <w:r>
              <w:rPr>
                <w:rFonts w:ascii="Calibri" w:hAnsi="Calibri"/>
                <w:b w:val="0"/>
                <w:i w:val="0"/>
                <w:color w:val="212121"/>
                <w:sz w:val="19"/>
              </w:rPr>
              <w:t>Undernourished adults, TB patients</w:t>
            </w:r>
          </w:p>
        </w:tc>
        <w:tc>
          <w:tcPr>
            <w:tcW w:type="dxa" w:w="1512"/>
            <w:vAlign w:val="top"/>
          </w:tcPr>
          <w:p>
            <w:pPr>
              <w:spacing w:after="40" w:before="0" w:line="259" w:lineRule="auto"/>
            </w:pPr>
            <w:r>
              <w:rPr>
                <w:rFonts w:ascii="Calibri" w:hAnsi="Calibri"/>
                <w:b w:val="0"/>
                <w:i w:val="0"/>
                <w:color w:val="212121"/>
                <w:sz w:val="19"/>
              </w:rPr>
              <w:t>0.8–1.0 g/kg/day</w:t>
            </w:r>
          </w:p>
        </w:tc>
        <w:tc>
          <w:tcPr>
            <w:tcW w:type="dxa" w:w="1512"/>
            <w:vAlign w:val="top"/>
          </w:tcPr>
          <w:p>
            <w:pPr>
              <w:spacing w:after="40" w:before="0" w:line="259" w:lineRule="auto"/>
            </w:pPr>
            <w:r>
              <w:rPr>
                <w:rFonts w:ascii="Calibri" w:hAnsi="Calibri"/>
                <w:b w:val="0"/>
                <w:i w:val="0"/>
                <w:color w:val="212121"/>
                <w:sz w:val="19"/>
              </w:rPr>
              <w:t>Chronically inadequate intake</w:t>
            </w:r>
          </w:p>
        </w:tc>
        <w:tc>
          <w:tcPr>
            <w:tcW w:type="dxa" w:w="1468"/>
            <w:vAlign w:val="top"/>
          </w:tcPr>
          <w:p>
            <w:pPr>
              <w:spacing w:after="40" w:before="0" w:line="259" w:lineRule="auto"/>
            </w:pPr>
            <w:r>
              <w:rPr>
                <w:rFonts w:ascii="Calibri" w:hAnsi="Calibri"/>
                <w:b w:val="0"/>
                <w:i w:val="0"/>
                <w:color w:val="212121"/>
                <w:sz w:val="19"/>
              </w:rPr>
              <w:t>Adequate protein supports albumin and anti-TB immunity</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exposure (pack-years)</w:t>
            </w:r>
          </w:p>
        </w:tc>
        <w:tc>
          <w:tcPr>
            <w:tcW w:type="dxa" w:w="1655"/>
            <w:vAlign w:val="top"/>
          </w:tcPr>
          <w:p>
            <w:pPr>
              <w:spacing w:after="40" w:before="0" w:line="259" w:lineRule="auto"/>
            </w:pPr>
            <w:r>
              <w:rPr>
                <w:rFonts w:ascii="Calibri" w:hAnsi="Calibri"/>
                <w:b w:val="0"/>
                <w:i w:val="0"/>
                <w:color w:val="212121"/>
                <w:sz w:val="19"/>
              </w:rPr>
              <w:t>Adults, occupational workers</w:t>
            </w:r>
          </w:p>
        </w:tc>
        <w:tc>
          <w:tcPr>
            <w:tcW w:type="dxa" w:w="1512"/>
            <w:vAlign w:val="top"/>
          </w:tcPr>
          <w:p>
            <w:pPr>
              <w:spacing w:after="40" w:before="0" w:line="259" w:lineRule="auto"/>
            </w:pPr>
            <w:r>
              <w:rPr>
                <w:rFonts w:ascii="Calibri" w:hAnsi="Calibri"/>
                <w:b w:val="0"/>
                <w:i w:val="0"/>
                <w:color w:val="212121"/>
                <w:sz w:val="19"/>
              </w:rPr>
              <w:t>0 pack-years</w:t>
            </w:r>
          </w:p>
        </w:tc>
        <w:tc>
          <w:tcPr>
            <w:tcW w:type="dxa" w:w="1512"/>
            <w:vAlign w:val="top"/>
          </w:tcPr>
          <w:p>
            <w:pPr>
              <w:spacing w:after="40" w:before="0" w:line="259" w:lineRule="auto"/>
            </w:pPr>
            <w:r>
              <w:rPr>
                <w:rFonts w:ascii="Calibri" w:hAnsi="Calibri"/>
                <w:b w:val="0"/>
                <w:i w:val="0"/>
                <w:color w:val="212121"/>
                <w:sz w:val="19"/>
              </w:rPr>
              <w:t>≥ 20 pack-years</w:t>
            </w:r>
          </w:p>
        </w:tc>
        <w:tc>
          <w:tcPr>
            <w:tcW w:type="dxa" w:w="1468"/>
            <w:vAlign w:val="top"/>
          </w:tcPr>
          <w:p>
            <w:pPr>
              <w:spacing w:after="40" w:before="0" w:line="259" w:lineRule="auto"/>
            </w:pPr>
            <w:r>
              <w:rPr>
                <w:rFonts w:ascii="Calibri" w:hAnsi="Calibri"/>
                <w:b w:val="0"/>
                <w:i w:val="0"/>
                <w:color w:val="212121"/>
                <w:sz w:val="19"/>
              </w:rPr>
              <w:t>Heavy smoking history strongly linked to lung-cancer effusion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tobacco raises pneumonia, TB and malignancy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14 units/week (lower is safer)</w:t>
            </w:r>
          </w:p>
        </w:tc>
        <w:tc>
          <w:tcPr>
            <w:tcW w:type="dxa" w:w="1512"/>
            <w:vAlign w:val="top"/>
          </w:tcPr>
          <w:p>
            <w:pPr>
              <w:spacing w:after="40" w:before="0" w:line="259" w:lineRule="auto"/>
            </w:pPr>
            <w:r>
              <w:rPr>
                <w:rFonts w:ascii="Calibri" w:hAnsi="Calibri"/>
                <w:b w:val="0"/>
                <w:i w:val="0"/>
                <w:color w:val="212121"/>
                <w:sz w:val="19"/>
              </w:rPr>
              <w:t>&gt; 14 units/week or binge use</w:t>
            </w:r>
          </w:p>
        </w:tc>
        <w:tc>
          <w:tcPr>
            <w:tcW w:type="dxa" w:w="1468"/>
            <w:vAlign w:val="top"/>
          </w:tcPr>
          <w:p>
            <w:pPr>
              <w:spacing w:after="40" w:before="0" w:line="259" w:lineRule="auto"/>
            </w:pPr>
            <w:r>
              <w:rPr>
                <w:rFonts w:ascii="Calibri" w:hAnsi="Calibri"/>
                <w:b w:val="0"/>
                <w:i w:val="0"/>
                <w:color w:val="212121"/>
                <w:sz w:val="19"/>
              </w:rPr>
              <w:t>Excess alcohol predisposes to pancreatitis, cirrhosis and aspiration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 (persons/room)</w:t>
            </w:r>
          </w:p>
        </w:tc>
        <w:tc>
          <w:tcPr>
            <w:tcW w:type="dxa" w:w="1655"/>
            <w:vAlign w:val="top"/>
          </w:tcPr>
          <w:p>
            <w:pPr>
              <w:spacing w:after="40" w:before="0" w:line="259" w:lineRule="auto"/>
            </w:pPr>
            <w:r>
              <w:rPr>
                <w:rFonts w:ascii="Calibri" w:hAnsi="Calibri"/>
                <w:b w:val="0"/>
                <w:i w:val="0"/>
                <w:color w:val="212121"/>
                <w:sz w:val="19"/>
              </w:rPr>
              <w:t>Low-income, crowded households</w:t>
            </w:r>
          </w:p>
        </w:tc>
        <w:tc>
          <w:tcPr>
            <w:tcW w:type="dxa" w:w="1512"/>
            <w:vAlign w:val="top"/>
          </w:tcPr>
          <w:p>
            <w:pPr>
              <w:spacing w:after="40" w:before="0" w:line="259" w:lineRule="auto"/>
            </w:pPr>
            <w:r>
              <w:rPr>
                <w:rFonts w:ascii="Calibri" w:hAnsi="Calibri"/>
                <w:b w:val="0"/>
                <w:i w:val="0"/>
                <w:color w:val="212121"/>
                <w:sz w:val="19"/>
              </w:rPr>
              <w:t>&lt; 2 persons/room</w:t>
            </w:r>
          </w:p>
        </w:tc>
        <w:tc>
          <w:tcPr>
            <w:tcW w:type="dxa" w:w="1512"/>
            <w:vAlign w:val="top"/>
          </w:tcPr>
          <w:p>
            <w:pPr>
              <w:spacing w:after="40" w:before="0" w:line="259" w:lineRule="auto"/>
            </w:pPr>
            <w:r>
              <w:rPr>
                <w:rFonts w:ascii="Calibri" w:hAnsi="Calibri"/>
                <w:b w:val="0"/>
                <w:i w:val="0"/>
                <w:color w:val="212121"/>
                <w:sz w:val="19"/>
              </w:rPr>
              <w:t>≥ 3 persons/room</w:t>
            </w:r>
          </w:p>
        </w:tc>
        <w:tc>
          <w:tcPr>
            <w:tcW w:type="dxa" w:w="1468"/>
            <w:vAlign w:val="top"/>
          </w:tcPr>
          <w:p>
            <w:pPr>
              <w:spacing w:after="60" w:line="259" w:lineRule="auto"/>
            </w:pPr>
            <w:r>
              <w:rPr>
                <w:rFonts w:ascii="Calibri" w:hAnsi="Calibri"/>
                <w:b w:val="0"/>
                <w:i w:val="0"/>
                <w:color w:val="212121"/>
                <w:sz w:val="19"/>
              </w:rPr>
              <w:t>Overcrowding sustains airborne TB transmission</w:t>
            </w:r>
          </w:p>
          <w:p>
            <w:pPr>
              <w:spacing w:after="40" w:line="252" w:lineRule="auto"/>
            </w:pPr>
            <w:hyperlink r:id="rId12">
              <w:r>
                <w:rPr>
                  <w:rFonts w:ascii="Calibri" w:hAnsi="Calibri" w:cs="Calibri"/>
                  <w:sz w:val="18"/>
                  <w:color w:val="1155CC"/>
                  <w:u w:val="single"/>
                </w:rPr>
                <w:t xml:space="preserve">https://www.who.int/southeastasia/health-topics/tuberculosis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Recent lower-respiratory infection / pneumonia</w:t>
            </w:r>
          </w:p>
        </w:tc>
        <w:tc>
          <w:tcPr>
            <w:tcW w:type="dxa" w:w="1655"/>
            <w:vAlign w:val="top"/>
          </w:tcPr>
          <w:p>
            <w:pPr>
              <w:spacing w:after="40" w:before="0" w:line="259" w:lineRule="auto"/>
            </w:pPr>
            <w:r>
              <w:rPr>
                <w:rFonts w:ascii="Calibri" w:hAnsi="Calibri"/>
                <w:b w:val="0"/>
                <w:i w:val="0"/>
                <w:color w:val="212121"/>
                <w:sz w:val="19"/>
              </w:rPr>
              <w:t>All ages, immunocompromised</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Pneumonia within preceding weeks</w:t>
            </w:r>
          </w:p>
        </w:tc>
        <w:tc>
          <w:tcPr>
            <w:tcW w:type="dxa" w:w="1468"/>
            <w:vAlign w:val="top"/>
          </w:tcPr>
          <w:p>
            <w:pPr>
              <w:spacing w:after="60" w:line="259" w:lineRule="auto"/>
            </w:pPr>
            <w:r>
              <w:rPr>
                <w:rFonts w:ascii="Calibri" w:hAnsi="Calibri"/>
                <w:b w:val="0"/>
                <w:i w:val="0"/>
                <w:color w:val="212121"/>
                <w:sz w:val="19"/>
              </w:rPr>
              <w:t>Precedes parapneumonic effusion and empyema</w:t>
            </w:r>
          </w:p>
          <w:p>
            <w:pPr>
              <w:spacing w:after="40" w:line="252" w:lineRule="auto"/>
            </w:pPr>
            <w:hyperlink r:id="rId16">
              <w:r>
                <w:rPr>
                  <w:rFonts w:ascii="Calibri" w:hAnsi="Calibri" w:cs="Calibri"/>
                  <w:sz w:val="18"/>
                  <w:color w:val="1155CC"/>
                  <w:u w:val="single"/>
                </w:rPr>
                <w:t xml:space="preserve">https://www.ncbi.nlm.nih.gov/books/NBK534297/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Known tuberculosis contact / cough &gt; 2 weeks</w:t>
            </w:r>
          </w:p>
        </w:tc>
        <w:tc>
          <w:tcPr>
            <w:tcW w:type="dxa" w:w="1655"/>
            <w:vAlign w:val="top"/>
          </w:tcPr>
          <w:p>
            <w:pPr>
              <w:spacing w:after="40" w:before="0" w:line="259" w:lineRule="auto"/>
            </w:pPr>
            <w:r>
              <w:rPr>
                <w:rFonts w:ascii="Calibri" w:hAnsi="Calibri"/>
                <w:b w:val="0"/>
                <w:i w:val="0"/>
                <w:color w:val="212121"/>
                <w:sz w:val="19"/>
              </w:rPr>
              <w:t>Household contacts, endemic populations</w:t>
            </w:r>
          </w:p>
        </w:tc>
        <w:tc>
          <w:tcPr>
            <w:tcW w:type="dxa" w:w="1512"/>
            <w:vAlign w:val="top"/>
          </w:tcPr>
          <w:p>
            <w:pPr>
              <w:spacing w:after="40" w:before="0" w:line="259" w:lineRule="auto"/>
            </w:pPr>
            <w:r>
              <w:rPr>
                <w:rFonts w:ascii="Calibri" w:hAnsi="Calibri"/>
                <w:b w:val="0"/>
                <w:i w:val="0"/>
                <w:color w:val="212121"/>
                <w:sz w:val="19"/>
              </w:rPr>
              <w:t>No contact; no chronic cough</w:t>
            </w:r>
          </w:p>
        </w:tc>
        <w:tc>
          <w:tcPr>
            <w:tcW w:type="dxa" w:w="1512"/>
            <w:vAlign w:val="top"/>
          </w:tcPr>
          <w:p>
            <w:pPr>
              <w:spacing w:after="40" w:before="0" w:line="259" w:lineRule="auto"/>
            </w:pPr>
            <w:r>
              <w:rPr>
                <w:rFonts w:ascii="Calibri" w:hAnsi="Calibri"/>
                <w:b w:val="0"/>
                <w:i w:val="0"/>
                <w:color w:val="212121"/>
                <w:sz w:val="19"/>
              </w:rPr>
              <w:t>TB contact or cough &gt; 2 weeks with fever/weight loss</w:t>
            </w:r>
          </w:p>
        </w:tc>
        <w:tc>
          <w:tcPr>
            <w:tcW w:type="dxa" w:w="1468"/>
            <w:vAlign w:val="top"/>
          </w:tcPr>
          <w:p>
            <w:pPr>
              <w:spacing w:after="60" w:line="259" w:lineRule="auto"/>
            </w:pPr>
            <w:r>
              <w:rPr>
                <w:rFonts w:ascii="Calibri" w:hAnsi="Calibri"/>
                <w:b w:val="0"/>
                <w:i w:val="0"/>
                <w:color w:val="212121"/>
                <w:sz w:val="19"/>
              </w:rPr>
              <w:t>Prompts evaluation for tuberculous pleurisy</w:t>
            </w:r>
          </w:p>
          <w:p>
            <w:pPr>
              <w:spacing w:after="40" w:line="252" w:lineRule="auto"/>
            </w:pPr>
            <w:hyperlink r:id="rId12">
              <w:r>
                <w:rPr>
                  <w:rFonts w:ascii="Calibri" w:hAnsi="Calibri" w:cs="Calibri"/>
                  <w:sz w:val="18"/>
                  <w:color w:val="1155CC"/>
                  <w:u w:val="single"/>
                </w:rPr>
                <w:t xml:space="preserve">https://www.who.int/southeastasia/health-topics/tuberculosis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Costophrenic-angle blunting / meniscus</w:t>
            </w:r>
          </w:p>
        </w:tc>
        <w:tc>
          <w:tcPr>
            <w:tcW w:type="dxa" w:w="892"/>
            <w:vAlign w:val="top"/>
          </w:tcPr>
          <w:p>
            <w:pPr>
              <w:spacing w:after="40" w:before="0" w:line="259" w:lineRule="auto"/>
            </w:pPr>
            <w:r>
              <w:rPr>
                <w:rFonts w:ascii="Calibri" w:hAnsi="Calibri"/>
                <w:b w:val="0"/>
                <w:i w:val="0"/>
                <w:color w:val="212121"/>
                <w:sz w:val="16"/>
              </w:rPr>
              <w:t>Chest X-ray (PA + lateral)</w:t>
            </w:r>
          </w:p>
        </w:tc>
        <w:tc>
          <w:tcPr>
            <w:tcW w:type="dxa" w:w="950"/>
            <w:vAlign w:val="top"/>
          </w:tcPr>
          <w:p>
            <w:pPr>
              <w:spacing w:after="40" w:before="0" w:line="259" w:lineRule="auto"/>
            </w:pPr>
            <w:r>
              <w:rPr>
                <w:rFonts w:ascii="Calibri" w:hAnsi="Calibri"/>
                <w:b w:val="0"/>
                <w:i w:val="0"/>
                <w:color w:val="212121"/>
                <w:sz w:val="16"/>
              </w:rPr>
              <w:t>Sharp costophrenic angles, no meniscus</w:t>
            </w:r>
          </w:p>
        </w:tc>
        <w:tc>
          <w:tcPr>
            <w:tcW w:type="dxa" w:w="950"/>
            <w:vAlign w:val="top"/>
          </w:tcPr>
          <w:p>
            <w:pPr>
              <w:spacing w:after="40" w:before="0" w:line="259" w:lineRule="auto"/>
            </w:pPr>
            <w:r>
              <w:rPr>
                <w:rFonts w:ascii="Calibri" w:hAnsi="Calibri"/>
                <w:b w:val="0"/>
                <w:i w:val="0"/>
                <w:color w:val="212121"/>
                <w:sz w:val="16"/>
              </w:rPr>
              <w:t>Blunted angle, meniscus, or hemithorax opacification with mediastinal shift</w:t>
            </w:r>
          </w:p>
        </w:tc>
        <w:tc>
          <w:tcPr>
            <w:tcW w:type="dxa" w:w="1036"/>
            <w:vAlign w:val="top"/>
          </w:tcPr>
          <w:p>
            <w:pPr>
              <w:spacing w:after="40" w:before="0" w:line="259" w:lineRule="auto"/>
            </w:pPr>
            <w:r>
              <w:rPr>
                <w:rFonts w:ascii="Calibri" w:hAnsi="Calibri"/>
                <w:b w:val="0"/>
                <w:i w:val="0"/>
                <w:color w:val="212121"/>
                <w:sz w:val="16"/>
              </w:rPr>
              <w:t>Detects and estimates effusion size; ~200 mL needed to be visible on erect PA film</w:t>
            </w:r>
          </w:p>
        </w:tc>
        <w:tc>
          <w:tcPr>
            <w:tcW w:type="dxa" w:w="1036"/>
            <w:vAlign w:val="top"/>
          </w:tcPr>
          <w:p>
            <w:pPr>
              <w:spacing w:after="40" w:before="0" w:line="259" w:lineRule="auto"/>
            </w:pPr>
            <w:r>
              <w:rPr>
                <w:rFonts w:ascii="Calibri" w:hAnsi="Calibri"/>
                <w:b w:val="0"/>
                <w:i w:val="0"/>
                <w:color w:val="212121"/>
                <w:sz w:val="16"/>
              </w:rPr>
              <w:t>All suspected effusions, breathless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Lateral film and lateral decubitus increase sensitivity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Free vs loculated fluid; safe puncture site</w:t>
            </w:r>
          </w:p>
        </w:tc>
        <w:tc>
          <w:tcPr>
            <w:tcW w:type="dxa" w:w="892"/>
            <w:vAlign w:val="top"/>
          </w:tcPr>
          <w:p>
            <w:pPr>
              <w:spacing w:after="40" w:before="0" w:line="259" w:lineRule="auto"/>
            </w:pPr>
            <w:r>
              <w:rPr>
                <w:rFonts w:ascii="Calibri" w:hAnsi="Calibri"/>
                <w:b w:val="0"/>
                <w:i w:val="0"/>
                <w:color w:val="212121"/>
                <w:sz w:val="16"/>
              </w:rPr>
              <w:t>Thoracic ultrasound</w:t>
            </w:r>
          </w:p>
        </w:tc>
        <w:tc>
          <w:tcPr>
            <w:tcW w:type="dxa" w:w="950"/>
            <w:vAlign w:val="top"/>
          </w:tcPr>
          <w:p>
            <w:pPr>
              <w:spacing w:after="40" w:before="0" w:line="259" w:lineRule="auto"/>
            </w:pPr>
            <w:r>
              <w:rPr>
                <w:rFonts w:ascii="Calibri" w:hAnsi="Calibri"/>
                <w:b w:val="0"/>
                <w:i w:val="0"/>
                <w:color w:val="212121"/>
                <w:sz w:val="16"/>
              </w:rPr>
              <w:t>No pleural fluid</w:t>
            </w:r>
          </w:p>
        </w:tc>
        <w:tc>
          <w:tcPr>
            <w:tcW w:type="dxa" w:w="950"/>
            <w:vAlign w:val="top"/>
          </w:tcPr>
          <w:p>
            <w:pPr>
              <w:spacing w:after="40" w:before="0" w:line="259" w:lineRule="auto"/>
            </w:pPr>
            <w:r>
              <w:rPr>
                <w:rFonts w:ascii="Calibri" w:hAnsi="Calibri"/>
                <w:b w:val="0"/>
                <w:i w:val="0"/>
                <w:color w:val="212121"/>
                <w:sz w:val="16"/>
              </w:rPr>
              <w:t>Anechoic/septated collection; detects ≥ 50 mL</w:t>
            </w:r>
          </w:p>
        </w:tc>
        <w:tc>
          <w:tcPr>
            <w:tcW w:type="dxa" w:w="1036"/>
            <w:vAlign w:val="top"/>
          </w:tcPr>
          <w:p>
            <w:pPr>
              <w:spacing w:after="40" w:before="0" w:line="259" w:lineRule="auto"/>
            </w:pPr>
            <w:r>
              <w:rPr>
                <w:rFonts w:ascii="Calibri" w:hAnsi="Calibri"/>
                <w:b w:val="0"/>
                <w:i w:val="0"/>
                <w:color w:val="212121"/>
                <w:sz w:val="16"/>
              </w:rPr>
              <w:t>Most sensitive bedside tool; distinguishes loculation and guides thoracentesis</w:t>
            </w:r>
          </w:p>
        </w:tc>
        <w:tc>
          <w:tcPr>
            <w:tcW w:type="dxa" w:w="1036"/>
            <w:vAlign w:val="top"/>
          </w:tcPr>
          <w:p>
            <w:pPr>
              <w:spacing w:after="40" w:before="0" w:line="259" w:lineRule="auto"/>
            </w:pPr>
            <w:r>
              <w:rPr>
                <w:rFonts w:ascii="Calibri" w:hAnsi="Calibri"/>
                <w:b w:val="0"/>
                <w:i w:val="0"/>
                <w:color w:val="212121"/>
                <w:sz w:val="16"/>
              </w:rPr>
              <w:t>Small/loculated effusions, pre-procedure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for detection/guidance</w:t>
            </w:r>
          </w:p>
        </w:tc>
        <w:tc>
          <w:tcPr>
            <w:tcW w:type="dxa" w:w="720"/>
            <w:vAlign w:val="top"/>
          </w:tcPr>
          <w:p>
            <w:pPr>
              <w:spacing w:after="40" w:before="0" w:line="259" w:lineRule="auto"/>
            </w:pPr>
            <w:r>
              <w:rPr>
                <w:rFonts w:ascii="Calibri" w:hAnsi="Calibri"/>
                <w:b w:val="0"/>
                <w:i w:val="0"/>
                <w:color w:val="212121"/>
                <w:sz w:val="16"/>
              </w:rPr>
              <w:t>Septations suggest empyema/complicated effusion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Pleural fluid protein &amp; LDH (Light's criteria)</w:t>
            </w:r>
          </w:p>
        </w:tc>
        <w:tc>
          <w:tcPr>
            <w:tcW w:type="dxa" w:w="892"/>
            <w:vAlign w:val="top"/>
          </w:tcPr>
          <w:p>
            <w:pPr>
              <w:spacing w:after="40" w:before="0" w:line="259" w:lineRule="auto"/>
            </w:pPr>
            <w:r>
              <w:rPr>
                <w:rFonts w:ascii="Calibri" w:hAnsi="Calibri"/>
                <w:b w:val="0"/>
                <w:i w:val="0"/>
                <w:color w:val="212121"/>
                <w:sz w:val="16"/>
              </w:rPr>
              <w:t>Diagnostic thoracentesis</w:t>
            </w:r>
          </w:p>
        </w:tc>
        <w:tc>
          <w:tcPr>
            <w:tcW w:type="dxa" w:w="950"/>
            <w:vAlign w:val="top"/>
          </w:tcPr>
          <w:p>
            <w:pPr>
              <w:spacing w:after="40" w:before="0" w:line="259" w:lineRule="auto"/>
            </w:pPr>
            <w:r>
              <w:rPr>
                <w:rFonts w:ascii="Calibri" w:hAnsi="Calibri"/>
                <w:b w:val="0"/>
                <w:i w:val="0"/>
                <w:color w:val="212121"/>
                <w:sz w:val="16"/>
              </w:rPr>
              <w:t>Transudate: protein ratio ≤ 0.5, LDH ratio ≤ 0.6</w:t>
            </w:r>
          </w:p>
        </w:tc>
        <w:tc>
          <w:tcPr>
            <w:tcW w:type="dxa" w:w="950"/>
            <w:vAlign w:val="top"/>
          </w:tcPr>
          <w:p>
            <w:pPr>
              <w:spacing w:after="40" w:before="0" w:line="259" w:lineRule="auto"/>
            </w:pPr>
            <w:r>
              <w:rPr>
                <w:rFonts w:ascii="Calibri" w:hAnsi="Calibri"/>
                <w:b w:val="0"/>
                <w:i w:val="0"/>
                <w:color w:val="212121"/>
                <w:sz w:val="16"/>
              </w:rPr>
              <w:t>Exudate: protein ratio &gt; 0.5, LDH ratio &gt; 0.6, or LDH &gt; 2/3 ULN serum</w:t>
            </w:r>
          </w:p>
        </w:tc>
        <w:tc>
          <w:tcPr>
            <w:tcW w:type="dxa" w:w="1036"/>
            <w:vAlign w:val="top"/>
          </w:tcPr>
          <w:p>
            <w:pPr>
              <w:spacing w:after="40" w:before="0" w:line="259" w:lineRule="auto"/>
            </w:pPr>
            <w:r>
              <w:rPr>
                <w:rFonts w:ascii="Calibri" w:hAnsi="Calibri"/>
                <w:b w:val="0"/>
                <w:i w:val="0"/>
                <w:color w:val="212121"/>
                <w:sz w:val="16"/>
              </w:rPr>
              <w:t>Separates transudate (CHF, cirrhosis, nephrotic) from exudate (TB, malignancy, infection)</w:t>
            </w:r>
          </w:p>
        </w:tc>
        <w:tc>
          <w:tcPr>
            <w:tcW w:type="dxa" w:w="1036"/>
            <w:vAlign w:val="top"/>
          </w:tcPr>
          <w:p>
            <w:pPr>
              <w:spacing w:after="40" w:before="0" w:line="259" w:lineRule="auto"/>
            </w:pPr>
            <w:r>
              <w:rPr>
                <w:rFonts w:ascii="Calibri" w:hAnsi="Calibri"/>
                <w:b w:val="0"/>
                <w:i w:val="0"/>
                <w:color w:val="212121"/>
                <w:sz w:val="16"/>
              </w:rPr>
              <w:t>All effusions of unknown cause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for classification</w:t>
            </w:r>
          </w:p>
        </w:tc>
        <w:tc>
          <w:tcPr>
            <w:tcW w:type="dxa" w:w="720"/>
            <w:vAlign w:val="top"/>
          </w:tcPr>
          <w:p>
            <w:pPr>
              <w:spacing w:after="40" w:before="0" w:line="259" w:lineRule="auto"/>
            </w:pPr>
            <w:r>
              <w:rPr>
                <w:rFonts w:ascii="Calibri" w:hAnsi="Calibri"/>
                <w:b w:val="0"/>
                <w:i w:val="0"/>
                <w:color w:val="212121"/>
                <w:sz w:val="16"/>
              </w:rPr>
              <w:t>Send paired serum protein and LDH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Pleural fluid adenosine deaminase (ADA)</w:t>
            </w:r>
          </w:p>
        </w:tc>
        <w:tc>
          <w:tcPr>
            <w:tcW w:type="dxa" w:w="892"/>
            <w:vAlign w:val="top"/>
          </w:tcPr>
          <w:p>
            <w:pPr>
              <w:spacing w:after="40" w:before="0" w:line="259" w:lineRule="auto"/>
            </w:pPr>
            <w:r>
              <w:rPr>
                <w:rFonts w:ascii="Calibri" w:hAnsi="Calibri"/>
                <w:b w:val="0"/>
                <w:i w:val="0"/>
                <w:color w:val="212121"/>
                <w:sz w:val="16"/>
              </w:rPr>
              <w:t>Pleural fluid ADA assay</w:t>
            </w:r>
          </w:p>
        </w:tc>
        <w:tc>
          <w:tcPr>
            <w:tcW w:type="dxa" w:w="950"/>
            <w:vAlign w:val="top"/>
          </w:tcPr>
          <w:p>
            <w:pPr>
              <w:spacing w:after="40" w:before="0" w:line="259" w:lineRule="auto"/>
            </w:pPr>
            <w:r>
              <w:rPr>
                <w:rFonts w:ascii="Calibri" w:hAnsi="Calibri"/>
                <w:b w:val="0"/>
                <w:i w:val="0"/>
                <w:color w:val="212121"/>
                <w:sz w:val="16"/>
              </w:rPr>
              <w:t>&lt; 40 IU/L</w:t>
            </w:r>
          </w:p>
        </w:tc>
        <w:tc>
          <w:tcPr>
            <w:tcW w:type="dxa" w:w="950"/>
            <w:vAlign w:val="top"/>
          </w:tcPr>
          <w:p>
            <w:pPr>
              <w:spacing w:after="40" w:before="0" w:line="259" w:lineRule="auto"/>
            </w:pPr>
            <w:r>
              <w:rPr>
                <w:rFonts w:ascii="Calibri" w:hAnsi="Calibri"/>
                <w:b w:val="0"/>
                <w:i w:val="0"/>
                <w:color w:val="212121"/>
                <w:sz w:val="16"/>
              </w:rPr>
              <w:t>&gt; 40 IU/L (higher confidence &gt; 70 IU/L)</w:t>
            </w:r>
          </w:p>
        </w:tc>
        <w:tc>
          <w:tcPr>
            <w:tcW w:type="dxa" w:w="1036"/>
            <w:vAlign w:val="top"/>
          </w:tcPr>
          <w:p>
            <w:pPr>
              <w:spacing w:after="40" w:before="0" w:line="259" w:lineRule="auto"/>
            </w:pPr>
            <w:r>
              <w:rPr>
                <w:rFonts w:ascii="Calibri" w:hAnsi="Calibri"/>
                <w:b w:val="0"/>
                <w:i w:val="0"/>
                <w:color w:val="212121"/>
                <w:sz w:val="16"/>
              </w:rPr>
              <w:t>With lymphocyte-predominant exudate, strongly suggests tuberculous pleurisy</w:t>
            </w:r>
          </w:p>
        </w:tc>
        <w:tc>
          <w:tcPr>
            <w:tcW w:type="dxa" w:w="1036"/>
            <w:vAlign w:val="top"/>
          </w:tcPr>
          <w:p>
            <w:pPr>
              <w:spacing w:after="40" w:before="0" w:line="259" w:lineRule="auto"/>
            </w:pPr>
            <w:r>
              <w:rPr>
                <w:rFonts w:ascii="Calibri" w:hAnsi="Calibri"/>
                <w:b w:val="0"/>
                <w:i w:val="0"/>
                <w:color w:val="212121"/>
                <w:sz w:val="16"/>
              </w:rPr>
              <w:t>Young adults, lymphocytic exudates, TB-endemic areas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(India-first)</w:t>
            </w:r>
          </w:p>
        </w:tc>
        <w:tc>
          <w:tcPr>
            <w:tcW w:type="dxa" w:w="720"/>
            <w:vAlign w:val="top"/>
          </w:tcPr>
          <w:p>
            <w:pPr>
              <w:spacing w:after="40" w:before="0" w:line="259" w:lineRule="auto"/>
            </w:pPr>
            <w:r>
              <w:rPr>
                <w:rFonts w:ascii="Calibri" w:hAnsi="Calibri"/>
                <w:b w:val="0"/>
                <w:i w:val="0"/>
                <w:color w:val="212121"/>
                <w:sz w:val="16"/>
              </w:rPr>
              <w:t>Sensitivity ~100% but specificity ~61% at 40 IU/L; specificity improves at 70 IU/L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Malignant cells in pleural fluid</w:t>
            </w:r>
          </w:p>
        </w:tc>
        <w:tc>
          <w:tcPr>
            <w:tcW w:type="dxa" w:w="892"/>
            <w:vAlign w:val="top"/>
          </w:tcPr>
          <w:p>
            <w:pPr>
              <w:spacing w:after="40" w:before="0" w:line="259" w:lineRule="auto"/>
            </w:pPr>
            <w:r>
              <w:rPr>
                <w:rFonts w:ascii="Calibri" w:hAnsi="Calibri"/>
                <w:b w:val="0"/>
                <w:i w:val="0"/>
                <w:color w:val="212121"/>
                <w:sz w:val="16"/>
              </w:rPr>
              <w:t>Pleural fluid cytology</w:t>
            </w:r>
          </w:p>
        </w:tc>
        <w:tc>
          <w:tcPr>
            <w:tcW w:type="dxa" w:w="950"/>
            <w:vAlign w:val="top"/>
          </w:tcPr>
          <w:p>
            <w:pPr>
              <w:spacing w:after="40" w:before="0" w:line="259" w:lineRule="auto"/>
            </w:pPr>
            <w:r>
              <w:rPr>
                <w:rFonts w:ascii="Calibri" w:hAnsi="Calibri"/>
                <w:b w:val="0"/>
                <w:i w:val="0"/>
                <w:color w:val="212121"/>
                <w:sz w:val="16"/>
              </w:rPr>
              <w:t>No malignant cells</w:t>
            </w:r>
          </w:p>
        </w:tc>
        <w:tc>
          <w:tcPr>
            <w:tcW w:type="dxa" w:w="950"/>
            <w:vAlign w:val="top"/>
          </w:tcPr>
          <w:p>
            <w:pPr>
              <w:spacing w:after="40" w:before="0" w:line="259" w:lineRule="auto"/>
            </w:pPr>
            <w:r>
              <w:rPr>
                <w:rFonts w:ascii="Calibri" w:hAnsi="Calibri"/>
                <w:b w:val="0"/>
                <w:i w:val="0"/>
                <w:color w:val="212121"/>
                <w:sz w:val="16"/>
              </w:rPr>
              <w:t>Malignant cells present</w:t>
            </w:r>
          </w:p>
        </w:tc>
        <w:tc>
          <w:tcPr>
            <w:tcW w:type="dxa" w:w="1036"/>
            <w:vAlign w:val="top"/>
          </w:tcPr>
          <w:p>
            <w:pPr>
              <w:spacing w:after="40" w:before="0" w:line="259" w:lineRule="auto"/>
            </w:pPr>
            <w:r>
              <w:rPr>
                <w:rFonts w:ascii="Calibri" w:hAnsi="Calibri"/>
                <w:b w:val="0"/>
                <w:i w:val="0"/>
                <w:color w:val="212121"/>
                <w:sz w:val="16"/>
              </w:rPr>
              <w:t>Confirms malignant effusion and often the primary</w:t>
            </w:r>
          </w:p>
        </w:tc>
        <w:tc>
          <w:tcPr>
            <w:tcW w:type="dxa" w:w="1036"/>
            <w:vAlign w:val="top"/>
          </w:tcPr>
          <w:p>
            <w:pPr>
              <w:spacing w:after="40" w:before="0" w:line="259" w:lineRule="auto"/>
            </w:pPr>
            <w:r>
              <w:rPr>
                <w:rFonts w:ascii="Calibri" w:hAnsi="Calibri"/>
                <w:b w:val="0"/>
                <w:i w:val="0"/>
                <w:color w:val="212121"/>
                <w:sz w:val="16"/>
              </w:rPr>
              <w:t>Elderly, smokers, suspected malignancy</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~60% sensitivity on one sample, ~90% after three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AFB smear, GeneXpert/CBNAAT, MGIT culture</w:t>
            </w:r>
          </w:p>
        </w:tc>
        <w:tc>
          <w:tcPr>
            <w:tcW w:type="dxa" w:w="892"/>
            <w:vAlign w:val="top"/>
          </w:tcPr>
          <w:p>
            <w:pPr>
              <w:spacing w:after="40" w:before="0" w:line="259" w:lineRule="auto"/>
            </w:pPr>
            <w:r>
              <w:rPr>
                <w:rFonts w:ascii="Calibri" w:hAnsi="Calibri"/>
                <w:b w:val="0"/>
                <w:i w:val="0"/>
                <w:color w:val="212121"/>
                <w:sz w:val="16"/>
              </w:rPr>
              <w:t>Pleural fluid &amp; sputum TB testing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AFB/CBNAAT positive or culture growth of M. tuberculosis</w:t>
            </w:r>
          </w:p>
        </w:tc>
        <w:tc>
          <w:tcPr>
            <w:tcW w:type="dxa" w:w="1036"/>
            <w:vAlign w:val="top"/>
          </w:tcPr>
          <w:p>
            <w:pPr>
              <w:spacing w:after="40" w:before="0" w:line="259" w:lineRule="auto"/>
            </w:pPr>
            <w:r>
              <w:rPr>
                <w:rFonts w:ascii="Calibri" w:hAnsi="Calibri"/>
                <w:b w:val="0"/>
                <w:i w:val="0"/>
                <w:color w:val="212121"/>
                <w:sz w:val="16"/>
              </w:rPr>
              <w:t>Microbiological confirmation of tuberculous pleurisy and drug-resistance status</w:t>
            </w:r>
          </w:p>
        </w:tc>
        <w:tc>
          <w:tcPr>
            <w:tcW w:type="dxa" w:w="1036"/>
            <w:vAlign w:val="top"/>
          </w:tcPr>
          <w:p>
            <w:pPr>
              <w:spacing w:after="40" w:before="0" w:line="259" w:lineRule="auto"/>
            </w:pPr>
            <w:r>
              <w:rPr>
                <w:rFonts w:ascii="Calibri" w:hAnsi="Calibri"/>
                <w:b w:val="0"/>
                <w:i w:val="0"/>
                <w:color w:val="212121"/>
                <w:sz w:val="16"/>
              </w:rPr>
              <w:t>Suspected TB, immunocompromised, contacts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Fluid yield is low; combine with pleural biopsy/ADA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Pleural fluid cell count &amp; differential</w:t>
            </w:r>
          </w:p>
        </w:tc>
        <w:tc>
          <w:tcPr>
            <w:tcW w:type="dxa" w:w="892"/>
            <w:vAlign w:val="top"/>
          </w:tcPr>
          <w:p>
            <w:pPr>
              <w:spacing w:after="40" w:before="0" w:line="259" w:lineRule="auto"/>
            </w:pPr>
            <w:r>
              <w:rPr>
                <w:rFonts w:ascii="Calibri" w:hAnsi="Calibri"/>
                <w:b w:val="0"/>
                <w:i w:val="0"/>
                <w:color w:val="212121"/>
                <w:sz w:val="16"/>
              </w:rPr>
              <w:t>Diagnostic thoracentesis</w:t>
            </w:r>
          </w:p>
        </w:tc>
        <w:tc>
          <w:tcPr>
            <w:tcW w:type="dxa" w:w="950"/>
            <w:vAlign w:val="top"/>
          </w:tcPr>
          <w:p>
            <w:pPr>
              <w:spacing w:after="40" w:before="0" w:line="259" w:lineRule="auto"/>
            </w:pPr>
            <w:r>
              <w:rPr>
                <w:rFonts w:ascii="Calibri" w:hAnsi="Calibri"/>
                <w:b w:val="0"/>
                <w:i w:val="0"/>
                <w:color w:val="212121"/>
                <w:sz w:val="16"/>
              </w:rPr>
              <w:t>Scant cells</w:t>
            </w:r>
          </w:p>
        </w:tc>
        <w:tc>
          <w:tcPr>
            <w:tcW w:type="dxa" w:w="950"/>
            <w:vAlign w:val="top"/>
          </w:tcPr>
          <w:p>
            <w:pPr>
              <w:spacing w:after="40" w:before="0" w:line="259" w:lineRule="auto"/>
            </w:pPr>
            <w:r>
              <w:rPr>
                <w:rFonts w:ascii="Calibri" w:hAnsi="Calibri"/>
                <w:b w:val="0"/>
                <w:i w:val="0"/>
                <w:color w:val="212121"/>
                <w:sz w:val="16"/>
              </w:rPr>
              <w:t>Lymphocyte-predominant (TB, malignancy) vs neutrophil-predominant (parapneumonic)</w:t>
            </w:r>
          </w:p>
        </w:tc>
        <w:tc>
          <w:tcPr>
            <w:tcW w:type="dxa" w:w="1036"/>
            <w:vAlign w:val="top"/>
          </w:tcPr>
          <w:p>
            <w:pPr>
              <w:spacing w:after="40" w:before="0" w:line="259" w:lineRule="auto"/>
            </w:pPr>
            <w:r>
              <w:rPr>
                <w:rFonts w:ascii="Calibri" w:hAnsi="Calibri"/>
                <w:b w:val="0"/>
                <w:i w:val="0"/>
                <w:color w:val="212121"/>
                <w:sz w:val="16"/>
              </w:rPr>
              <w:t>Differential narrows the cause and flags infection</w:t>
            </w:r>
          </w:p>
        </w:tc>
        <w:tc>
          <w:tcPr>
            <w:tcW w:type="dxa" w:w="1036"/>
            <w:vAlign w:val="top"/>
          </w:tcPr>
          <w:p>
            <w:pPr>
              <w:spacing w:after="40" w:before="0" w:line="259" w:lineRule="auto"/>
            </w:pPr>
            <w:r>
              <w:rPr>
                <w:rFonts w:ascii="Calibri" w:hAnsi="Calibri"/>
                <w:b w:val="0"/>
                <w:i w:val="0"/>
                <w:color w:val="212121"/>
                <w:sz w:val="16"/>
              </w:rPr>
              <w:t>All exudates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Eosinophilia suggests air/blood, drug or parasitic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Pleural fluid glucose &amp; pH</w:t>
            </w:r>
          </w:p>
        </w:tc>
        <w:tc>
          <w:tcPr>
            <w:tcW w:type="dxa" w:w="892"/>
            <w:vAlign w:val="top"/>
          </w:tcPr>
          <w:p>
            <w:pPr>
              <w:spacing w:after="40" w:before="0" w:line="259" w:lineRule="auto"/>
            </w:pPr>
            <w:r>
              <w:rPr>
                <w:rFonts w:ascii="Calibri" w:hAnsi="Calibri"/>
                <w:b w:val="0"/>
                <w:i w:val="0"/>
                <w:color w:val="212121"/>
                <w:sz w:val="16"/>
              </w:rPr>
              <w:t>Diagnostic thoracentesis</w:t>
            </w:r>
          </w:p>
        </w:tc>
        <w:tc>
          <w:tcPr>
            <w:tcW w:type="dxa" w:w="950"/>
            <w:vAlign w:val="top"/>
          </w:tcPr>
          <w:p>
            <w:pPr>
              <w:spacing w:after="40" w:before="0" w:line="259" w:lineRule="auto"/>
            </w:pPr>
            <w:r>
              <w:rPr>
                <w:rFonts w:ascii="Calibri" w:hAnsi="Calibri"/>
                <w:b w:val="0"/>
                <w:i w:val="0"/>
                <w:color w:val="212121"/>
                <w:sz w:val="16"/>
              </w:rPr>
              <w:t>Glucose ≈ serum; pH ≥ 7.30</w:t>
            </w:r>
          </w:p>
        </w:tc>
        <w:tc>
          <w:tcPr>
            <w:tcW w:type="dxa" w:w="950"/>
            <w:vAlign w:val="top"/>
          </w:tcPr>
          <w:p>
            <w:pPr>
              <w:spacing w:after="40" w:before="0" w:line="259" w:lineRule="auto"/>
            </w:pPr>
            <w:r>
              <w:rPr>
                <w:rFonts w:ascii="Calibri" w:hAnsi="Calibri"/>
                <w:b w:val="0"/>
                <w:i w:val="0"/>
                <w:color w:val="212121"/>
                <w:sz w:val="16"/>
              </w:rPr>
              <w:t>Low glucose (&lt; 60 mg/dL) and pH &lt; 7.20</w:t>
            </w:r>
          </w:p>
        </w:tc>
        <w:tc>
          <w:tcPr>
            <w:tcW w:type="dxa" w:w="1036"/>
            <w:vAlign w:val="top"/>
          </w:tcPr>
          <w:p>
            <w:pPr>
              <w:spacing w:after="40" w:before="0" w:line="259" w:lineRule="auto"/>
            </w:pPr>
            <w:r>
              <w:rPr>
                <w:rFonts w:ascii="Calibri" w:hAnsi="Calibri"/>
                <w:b w:val="0"/>
                <w:i w:val="0"/>
                <w:color w:val="212121"/>
                <w:sz w:val="16"/>
              </w:rPr>
              <w:t>Marks complicated parapneumonic effusion/empyema needing chest-tube drainage</w:t>
            </w:r>
          </w:p>
        </w:tc>
        <w:tc>
          <w:tcPr>
            <w:tcW w:type="dxa" w:w="1036"/>
            <w:vAlign w:val="top"/>
          </w:tcPr>
          <w:p>
            <w:pPr>
              <w:spacing w:after="40" w:before="0" w:line="259" w:lineRule="auto"/>
            </w:pPr>
            <w:r>
              <w:rPr>
                <w:rFonts w:ascii="Calibri" w:hAnsi="Calibri"/>
                <w:b w:val="0"/>
                <w:i w:val="0"/>
                <w:color w:val="212121"/>
                <w:sz w:val="16"/>
              </w:rPr>
              <w:t>Pneumonia patients, suspected empyema</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Decision-guiding</w:t>
            </w:r>
          </w:p>
        </w:tc>
        <w:tc>
          <w:tcPr>
            <w:tcW w:type="dxa" w:w="720"/>
            <w:vAlign w:val="top"/>
          </w:tcPr>
          <w:p>
            <w:pPr>
              <w:spacing w:after="40" w:before="0" w:line="259" w:lineRule="auto"/>
            </w:pPr>
            <w:r>
              <w:rPr>
                <w:rFonts w:ascii="Calibri" w:hAnsi="Calibri"/>
                <w:b w:val="0"/>
                <w:i w:val="0"/>
                <w:color w:val="212121"/>
                <w:sz w:val="16"/>
              </w:rPr>
              <w:t>Process pH promptly in a blood-gas analyser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Breathlessness, pleuritic chest pain, cough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Progressive dyspnoea, sharp pain worse on breathing, dry cough</w:t>
            </w:r>
          </w:p>
        </w:tc>
        <w:tc>
          <w:tcPr>
            <w:tcW w:type="dxa" w:w="1036"/>
            <w:vAlign w:val="top"/>
          </w:tcPr>
          <w:p>
            <w:pPr>
              <w:spacing w:after="40" w:before="0" w:line="259" w:lineRule="auto"/>
            </w:pPr>
            <w:r>
              <w:rPr>
                <w:rFonts w:ascii="Calibri" w:hAnsi="Calibri"/>
                <w:b w:val="0"/>
                <w:i w:val="0"/>
                <w:color w:val="212121"/>
                <w:sz w:val="16"/>
              </w:rPr>
              <w:t>Cardinal symptoms of fluid accumulation and pleural inflammation</w:t>
            </w:r>
          </w:p>
        </w:tc>
        <w:tc>
          <w:tcPr>
            <w:tcW w:type="dxa" w:w="1036"/>
            <w:vAlign w:val="top"/>
          </w:tcPr>
          <w:p>
            <w:pPr>
              <w:spacing w:after="40" w:before="0" w:line="259" w:lineRule="auto"/>
            </w:pPr>
            <w:r>
              <w:rPr>
                <w:rFonts w:ascii="Calibri" w:hAnsi="Calibri"/>
                <w:b w:val="0"/>
                <w:i w:val="0"/>
                <w:color w:val="212121"/>
                <w:sz w:val="16"/>
              </w:rPr>
              <w:t>All effusion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Dyspnoea correlates with effusion size and speed of accumulation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 TB symptoms</w:t>
            </w:r>
          </w:p>
        </w:tc>
        <w:tc>
          <w:tcPr>
            <w:tcW w:type="dxa" w:w="979"/>
            <w:vAlign w:val="top"/>
          </w:tcPr>
          <w:p>
            <w:pPr>
              <w:spacing w:after="40" w:before="0" w:line="259" w:lineRule="auto"/>
            </w:pPr>
            <w:r>
              <w:rPr>
                <w:rFonts w:ascii="Calibri" w:hAnsi="Calibri"/>
                <w:b w:val="0"/>
                <w:i w:val="0"/>
                <w:color w:val="212121"/>
                <w:sz w:val="16"/>
              </w:rPr>
              <w:t>Fever, night sweats, weight loss, anorexia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especially with cough &gt; 2 weeks</w:t>
            </w:r>
          </w:p>
        </w:tc>
        <w:tc>
          <w:tcPr>
            <w:tcW w:type="dxa" w:w="1036"/>
            <w:vAlign w:val="top"/>
          </w:tcPr>
          <w:p>
            <w:pPr>
              <w:spacing w:after="40" w:before="0" w:line="259" w:lineRule="auto"/>
            </w:pPr>
            <w:r>
              <w:rPr>
                <w:rFonts w:ascii="Calibri" w:hAnsi="Calibri"/>
                <w:b w:val="0"/>
                <w:i w:val="0"/>
                <w:color w:val="212121"/>
                <w:sz w:val="16"/>
              </w:rPr>
              <w:t>Strongly suggests tuberculous or malignant effusion in India</w:t>
            </w:r>
          </w:p>
        </w:tc>
        <w:tc>
          <w:tcPr>
            <w:tcW w:type="dxa" w:w="1036"/>
            <w:vAlign w:val="top"/>
          </w:tcPr>
          <w:p>
            <w:pPr>
              <w:spacing w:after="40" w:before="0" w:line="259" w:lineRule="auto"/>
            </w:pPr>
            <w:r>
              <w:rPr>
                <w:rFonts w:ascii="Calibri" w:hAnsi="Calibri"/>
                <w:b w:val="0"/>
                <w:i w:val="0"/>
                <w:color w:val="212121"/>
                <w:sz w:val="16"/>
              </w:rPr>
              <w:t>Young adults, TB contacts, endemic areas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High (India-first)</w:t>
            </w:r>
          </w:p>
        </w:tc>
        <w:tc>
          <w:tcPr>
            <w:tcW w:type="dxa" w:w="720"/>
            <w:vAlign w:val="top"/>
          </w:tcPr>
          <w:p>
            <w:pPr>
              <w:spacing w:after="40" w:before="0" w:line="259" w:lineRule="auto"/>
            </w:pPr>
            <w:r>
              <w:rPr>
                <w:rFonts w:ascii="Calibri" w:hAnsi="Calibri"/>
                <w:b w:val="0"/>
                <w:i w:val="0"/>
                <w:color w:val="212121"/>
                <w:sz w:val="16"/>
              </w:rPr>
              <w:t>Cough (87%), fever (76%) and dyspnoea (77%) are common in TB effusion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Risk-exposure history</w:t>
            </w:r>
          </w:p>
        </w:tc>
        <w:tc>
          <w:tcPr>
            <w:tcW w:type="dxa" w:w="979"/>
            <w:vAlign w:val="top"/>
          </w:tcPr>
          <w:p>
            <w:pPr>
              <w:spacing w:after="40" w:before="0" w:line="259" w:lineRule="auto"/>
            </w:pPr>
            <w:r>
              <w:rPr>
                <w:rFonts w:ascii="Calibri" w:hAnsi="Calibri"/>
                <w:b w:val="0"/>
                <w:i w:val="0"/>
                <w:color w:val="212121"/>
                <w:sz w:val="16"/>
              </w:rPr>
              <w:t>TB contact, smoking, alcohol, occupation, cardiac/renal disease</w:t>
            </w:r>
          </w:p>
        </w:tc>
        <w:tc>
          <w:tcPr>
            <w:tcW w:type="dxa" w:w="950"/>
            <w:vAlign w:val="top"/>
          </w:tcPr>
          <w:p>
            <w:pPr>
              <w:spacing w:after="40" w:before="0" w:line="259" w:lineRule="auto"/>
            </w:pPr>
            <w:r>
              <w:rPr>
                <w:rFonts w:ascii="Calibri" w:hAnsi="Calibri"/>
                <w:b w:val="0"/>
                <w:i w:val="0"/>
                <w:color w:val="212121"/>
                <w:sz w:val="16"/>
              </w:rPr>
              <w:t>No exposures</w:t>
            </w:r>
          </w:p>
        </w:tc>
        <w:tc>
          <w:tcPr>
            <w:tcW w:type="dxa" w:w="950"/>
            <w:vAlign w:val="top"/>
          </w:tcPr>
          <w:p>
            <w:pPr>
              <w:spacing w:after="40" w:before="0" w:line="259" w:lineRule="auto"/>
            </w:pPr>
            <w:r>
              <w:rPr>
                <w:rFonts w:ascii="Calibri" w:hAnsi="Calibri"/>
                <w:b w:val="0"/>
                <w:i w:val="0"/>
                <w:color w:val="212121"/>
                <w:sz w:val="16"/>
              </w:rPr>
              <w:t>TB contact, heavy smoking/alcohol, asbestos work, CHF/CKD</w:t>
            </w:r>
          </w:p>
        </w:tc>
        <w:tc>
          <w:tcPr>
            <w:tcW w:type="dxa" w:w="1036"/>
            <w:vAlign w:val="top"/>
          </w:tcPr>
          <w:p>
            <w:pPr>
              <w:spacing w:after="40" w:before="0" w:line="259" w:lineRule="auto"/>
            </w:pPr>
            <w:r>
              <w:rPr>
                <w:rFonts w:ascii="Calibri" w:hAnsi="Calibri"/>
                <w:b w:val="0"/>
                <w:i w:val="0"/>
                <w:color w:val="212121"/>
                <w:sz w:val="16"/>
              </w:rPr>
              <w:t>Points to the likely cause and guides fluid testing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 Alcohol;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Occupational asbestos raises mesothelioma suspicion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Chest movement</w:t>
            </w:r>
          </w:p>
        </w:tc>
        <w:tc>
          <w:tcPr>
            <w:tcW w:type="dxa" w:w="979"/>
            <w:vAlign w:val="top"/>
          </w:tcPr>
          <w:p>
            <w:pPr>
              <w:spacing w:after="40" w:before="0" w:line="259" w:lineRule="auto"/>
            </w:pPr>
            <w:r>
              <w:rPr>
                <w:rFonts w:ascii="Calibri" w:hAnsi="Calibri"/>
                <w:b w:val="0"/>
                <w:i w:val="0"/>
                <w:color w:val="212121"/>
                <w:sz w:val="16"/>
              </w:rPr>
              <w:t>Reduced expansion on affected side</w:t>
            </w:r>
          </w:p>
        </w:tc>
        <w:tc>
          <w:tcPr>
            <w:tcW w:type="dxa" w:w="950"/>
            <w:vAlign w:val="top"/>
          </w:tcPr>
          <w:p>
            <w:pPr>
              <w:spacing w:after="40" w:before="0" w:line="259" w:lineRule="auto"/>
            </w:pPr>
            <w:r>
              <w:rPr>
                <w:rFonts w:ascii="Calibri" w:hAnsi="Calibri"/>
                <w:b w:val="0"/>
                <w:i w:val="0"/>
                <w:color w:val="212121"/>
                <w:sz w:val="16"/>
              </w:rPr>
              <w:t>Symmetrical expansion</w:t>
            </w:r>
          </w:p>
        </w:tc>
        <w:tc>
          <w:tcPr>
            <w:tcW w:type="dxa" w:w="950"/>
            <w:vAlign w:val="top"/>
          </w:tcPr>
          <w:p>
            <w:pPr>
              <w:spacing w:after="40" w:before="0" w:line="259" w:lineRule="auto"/>
            </w:pPr>
            <w:r>
              <w:rPr>
                <w:rFonts w:ascii="Calibri" w:hAnsi="Calibri"/>
                <w:b w:val="0"/>
                <w:i w:val="0"/>
                <w:color w:val="212121"/>
                <w:sz w:val="16"/>
              </w:rPr>
              <w:t>Diminished movement, fullness of intercostal spaces</w:t>
            </w:r>
          </w:p>
        </w:tc>
        <w:tc>
          <w:tcPr>
            <w:tcW w:type="dxa" w:w="1036"/>
            <w:vAlign w:val="top"/>
          </w:tcPr>
          <w:p>
            <w:pPr>
              <w:spacing w:after="40" w:before="0" w:line="259" w:lineRule="auto"/>
            </w:pPr>
            <w:r>
              <w:rPr>
                <w:rFonts w:ascii="Calibri" w:hAnsi="Calibri"/>
                <w:b w:val="0"/>
                <w:i w:val="0"/>
                <w:color w:val="212121"/>
                <w:sz w:val="16"/>
              </w:rPr>
              <w:t>Suggests moderate-to-large effusion</w:t>
            </w:r>
          </w:p>
        </w:tc>
        <w:tc>
          <w:tcPr>
            <w:tcW w:type="dxa" w:w="1036"/>
            <w:vAlign w:val="top"/>
          </w:tcPr>
          <w:p>
            <w:pPr>
              <w:spacing w:after="40" w:before="0" w:line="259" w:lineRule="auto"/>
            </w:pPr>
            <w:r>
              <w:rPr>
                <w:rFonts w:ascii="Calibri" w:hAnsi="Calibri"/>
                <w:b w:val="0"/>
                <w:i w:val="0"/>
                <w:color w:val="212121"/>
                <w:sz w:val="16"/>
              </w:rPr>
              <w:t>Moderate/large effusions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sign</w:t>
            </w:r>
          </w:p>
        </w:tc>
        <w:tc>
          <w:tcPr>
            <w:tcW w:type="dxa" w:w="720"/>
            <w:vAlign w:val="top"/>
          </w:tcPr>
          <w:p>
            <w:pPr>
              <w:spacing w:after="40" w:before="0" w:line="259" w:lineRule="auto"/>
            </w:pPr>
            <w:r>
              <w:rPr>
                <w:rFonts w:ascii="Calibri" w:hAnsi="Calibri"/>
                <w:b w:val="0"/>
                <w:i w:val="0"/>
                <w:color w:val="212121"/>
                <w:sz w:val="16"/>
              </w:rPr>
              <w:t>Look for tachypnoea and use of accessory muscles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Tactile vocal fremitus &amp; trachea</w:t>
            </w:r>
          </w:p>
        </w:tc>
        <w:tc>
          <w:tcPr>
            <w:tcW w:type="dxa" w:w="979"/>
            <w:vAlign w:val="top"/>
          </w:tcPr>
          <w:p>
            <w:pPr>
              <w:spacing w:after="40" w:before="0" w:line="259" w:lineRule="auto"/>
            </w:pPr>
            <w:r>
              <w:rPr>
                <w:rFonts w:ascii="Calibri" w:hAnsi="Calibri"/>
                <w:b w:val="0"/>
                <w:i w:val="0"/>
                <w:color w:val="212121"/>
                <w:sz w:val="16"/>
              </w:rPr>
              <w:t>Reduced fremitus; tracheal shift away from fluid</w:t>
            </w:r>
          </w:p>
        </w:tc>
        <w:tc>
          <w:tcPr>
            <w:tcW w:type="dxa" w:w="950"/>
            <w:vAlign w:val="top"/>
          </w:tcPr>
          <w:p>
            <w:pPr>
              <w:spacing w:after="40" w:before="0" w:line="259" w:lineRule="auto"/>
            </w:pPr>
            <w:r>
              <w:rPr>
                <w:rFonts w:ascii="Calibri" w:hAnsi="Calibri"/>
                <w:b w:val="0"/>
                <w:i w:val="0"/>
                <w:color w:val="212121"/>
                <w:sz w:val="16"/>
              </w:rPr>
              <w:t>Normal fremitus, central trachea</w:t>
            </w:r>
          </w:p>
        </w:tc>
        <w:tc>
          <w:tcPr>
            <w:tcW w:type="dxa" w:w="950"/>
            <w:vAlign w:val="top"/>
          </w:tcPr>
          <w:p>
            <w:pPr>
              <w:spacing w:after="40" w:before="0" w:line="259" w:lineRule="auto"/>
            </w:pPr>
            <w:r>
              <w:rPr>
                <w:rFonts w:ascii="Calibri" w:hAnsi="Calibri"/>
                <w:b w:val="0"/>
                <w:i w:val="0"/>
                <w:color w:val="212121"/>
                <w:sz w:val="16"/>
              </w:rPr>
              <w:t>Decreased fremitus; contralateral tracheal/mediastinal shift</w:t>
            </w:r>
          </w:p>
        </w:tc>
        <w:tc>
          <w:tcPr>
            <w:tcW w:type="dxa" w:w="1036"/>
            <w:vAlign w:val="top"/>
          </w:tcPr>
          <w:p>
            <w:pPr>
              <w:spacing w:after="40" w:before="0" w:line="259" w:lineRule="auto"/>
            </w:pPr>
            <w:r>
              <w:rPr>
                <w:rFonts w:ascii="Calibri" w:hAnsi="Calibri"/>
                <w:b w:val="0"/>
                <w:i w:val="0"/>
                <w:color w:val="212121"/>
                <w:sz w:val="16"/>
              </w:rPr>
              <w:t>Fluid dampens vibration; large effusion pushes mediastinum away</w:t>
            </w:r>
          </w:p>
        </w:tc>
        <w:tc>
          <w:tcPr>
            <w:tcW w:type="dxa" w:w="1036"/>
            <w:vAlign w:val="top"/>
          </w:tcPr>
          <w:p>
            <w:pPr>
              <w:spacing w:after="40" w:before="0" w:line="259" w:lineRule="auto"/>
            </w:pPr>
            <w:r>
              <w:rPr>
                <w:rFonts w:ascii="Calibri" w:hAnsi="Calibri"/>
                <w:b w:val="0"/>
                <w:i w:val="0"/>
                <w:color w:val="212121"/>
                <w:sz w:val="16"/>
              </w:rPr>
              <w:t>Moderate/large effusions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Localising</w:t>
            </w:r>
          </w:p>
        </w:tc>
        <w:tc>
          <w:tcPr>
            <w:tcW w:type="dxa" w:w="720"/>
            <w:vAlign w:val="top"/>
          </w:tcPr>
          <w:p>
            <w:pPr>
              <w:spacing w:after="40" w:before="0" w:line="259" w:lineRule="auto"/>
            </w:pPr>
            <w:r>
              <w:rPr>
                <w:rFonts w:ascii="Calibri" w:hAnsi="Calibri"/>
                <w:b w:val="0"/>
                <w:i w:val="0"/>
                <w:color w:val="212121"/>
                <w:sz w:val="16"/>
              </w:rPr>
              <w:t>Shift toward the effusion instead suggests collapse/trapped lung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Percussion</w:t>
            </w:r>
          </w:p>
        </w:tc>
        <w:tc>
          <w:tcPr>
            <w:tcW w:type="dxa" w:w="950"/>
            <w:vAlign w:val="top"/>
          </w:tcPr>
          <w:p>
            <w:pPr>
              <w:spacing w:after="40" w:before="0" w:line="259" w:lineRule="auto"/>
            </w:pPr>
            <w:r>
              <w:rPr>
                <w:rFonts w:ascii="Calibri" w:hAnsi="Calibri"/>
                <w:b w:val="0"/>
                <w:i w:val="0"/>
                <w:color w:val="212121"/>
                <w:sz w:val="16"/>
              </w:rPr>
              <w:t>Percussion note</w:t>
            </w:r>
          </w:p>
        </w:tc>
        <w:tc>
          <w:tcPr>
            <w:tcW w:type="dxa" w:w="979"/>
            <w:vAlign w:val="top"/>
          </w:tcPr>
          <w:p>
            <w:pPr>
              <w:spacing w:after="40" w:before="0" w:line="259" w:lineRule="auto"/>
            </w:pPr>
            <w:r>
              <w:rPr>
                <w:rFonts w:ascii="Calibri" w:hAnsi="Calibri"/>
                <w:b w:val="0"/>
                <w:i w:val="0"/>
                <w:color w:val="212121"/>
                <w:sz w:val="16"/>
              </w:rPr>
              <w:t>Stony dullness over effusion</w:t>
            </w:r>
          </w:p>
        </w:tc>
        <w:tc>
          <w:tcPr>
            <w:tcW w:type="dxa" w:w="950"/>
            <w:vAlign w:val="top"/>
          </w:tcPr>
          <w:p>
            <w:pPr>
              <w:spacing w:after="40" w:before="0" w:line="259" w:lineRule="auto"/>
            </w:pPr>
            <w:r>
              <w:rPr>
                <w:rFonts w:ascii="Calibri" w:hAnsi="Calibri"/>
                <w:b w:val="0"/>
                <w:i w:val="0"/>
                <w:color w:val="212121"/>
                <w:sz w:val="16"/>
              </w:rPr>
              <w:t>Resonant</w:t>
            </w:r>
          </w:p>
        </w:tc>
        <w:tc>
          <w:tcPr>
            <w:tcW w:type="dxa" w:w="950"/>
            <w:vAlign w:val="top"/>
          </w:tcPr>
          <w:p>
            <w:pPr>
              <w:spacing w:after="40" w:before="0" w:line="259" w:lineRule="auto"/>
            </w:pPr>
            <w:r>
              <w:rPr>
                <w:rFonts w:ascii="Calibri" w:hAnsi="Calibri"/>
                <w:b w:val="0"/>
                <w:i w:val="0"/>
                <w:color w:val="212121"/>
                <w:sz w:val="16"/>
              </w:rPr>
              <w:t>Stony-dull note with reduced tactile fremitus</w:t>
            </w:r>
          </w:p>
        </w:tc>
        <w:tc>
          <w:tcPr>
            <w:tcW w:type="dxa" w:w="1036"/>
            <w:vAlign w:val="top"/>
          </w:tcPr>
          <w:p>
            <w:pPr>
              <w:spacing w:after="40" w:before="0" w:line="259" w:lineRule="auto"/>
            </w:pPr>
            <w:r>
              <w:rPr>
                <w:rFonts w:ascii="Calibri" w:hAnsi="Calibri"/>
                <w:b w:val="0"/>
                <w:i w:val="0"/>
                <w:color w:val="212121"/>
                <w:sz w:val="16"/>
              </w:rPr>
              <w:t>Classic sign of pleural fluid</w:t>
            </w:r>
          </w:p>
        </w:tc>
        <w:tc>
          <w:tcPr>
            <w:tcW w:type="dxa" w:w="1036"/>
            <w:vAlign w:val="top"/>
          </w:tcPr>
          <w:p>
            <w:pPr>
              <w:spacing w:after="40" w:before="0" w:line="259" w:lineRule="auto"/>
            </w:pPr>
            <w:r>
              <w:rPr>
                <w:rFonts w:ascii="Calibri" w:hAnsi="Calibri"/>
                <w:b w:val="0"/>
                <w:i w:val="0"/>
                <w:color w:val="212121"/>
                <w:sz w:val="16"/>
              </w:rPr>
              <w:t>All effusions above ~300–500 mL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bedside sign</w:t>
            </w:r>
          </w:p>
        </w:tc>
        <w:tc>
          <w:tcPr>
            <w:tcW w:type="dxa" w:w="720"/>
            <w:vAlign w:val="top"/>
          </w:tcPr>
          <w:p>
            <w:pPr>
              <w:spacing w:after="40" w:before="0" w:line="259" w:lineRule="auto"/>
            </w:pPr>
            <w:r>
              <w:rPr>
                <w:rFonts w:ascii="Calibri" w:hAnsi="Calibri"/>
                <w:b w:val="0"/>
                <w:i w:val="0"/>
                <w:color w:val="212121"/>
                <w:sz w:val="16"/>
              </w:rPr>
              <w:t>Dullness shifts with posture in free effusions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Auscultation</w:t>
            </w:r>
          </w:p>
        </w:tc>
        <w:tc>
          <w:tcPr>
            <w:tcW w:type="dxa" w:w="950"/>
            <w:vAlign w:val="top"/>
          </w:tcPr>
          <w:p>
            <w:pPr>
              <w:spacing w:after="40" w:before="0" w:line="259" w:lineRule="auto"/>
            </w:pPr>
            <w:r>
              <w:rPr>
                <w:rFonts w:ascii="Calibri" w:hAnsi="Calibri"/>
                <w:b w:val="0"/>
                <w:i w:val="0"/>
                <w:color w:val="212121"/>
                <w:sz w:val="16"/>
              </w:rPr>
              <w:t>Breath and voice sounds</w:t>
            </w:r>
          </w:p>
        </w:tc>
        <w:tc>
          <w:tcPr>
            <w:tcW w:type="dxa" w:w="979"/>
            <w:vAlign w:val="top"/>
          </w:tcPr>
          <w:p>
            <w:pPr>
              <w:spacing w:after="40" w:before="0" w:line="259" w:lineRule="auto"/>
            </w:pPr>
            <w:r>
              <w:rPr>
                <w:rFonts w:ascii="Calibri" w:hAnsi="Calibri"/>
                <w:b w:val="0"/>
                <w:i w:val="0"/>
                <w:color w:val="212121"/>
                <w:sz w:val="16"/>
              </w:rPr>
              <w:t>Diminished breath sounds, reduced vocal resonance, pleural rub</w:t>
            </w:r>
          </w:p>
        </w:tc>
        <w:tc>
          <w:tcPr>
            <w:tcW w:type="dxa" w:w="950"/>
            <w:vAlign w:val="top"/>
          </w:tcPr>
          <w:p>
            <w:pPr>
              <w:spacing w:after="40" w:before="0" w:line="259" w:lineRule="auto"/>
            </w:pPr>
            <w:r>
              <w:rPr>
                <w:rFonts w:ascii="Calibri" w:hAnsi="Calibri"/>
                <w:b w:val="0"/>
                <w:i w:val="0"/>
                <w:color w:val="212121"/>
                <w:sz w:val="16"/>
              </w:rPr>
              <w:t>Vesicular breath sounds</w:t>
            </w:r>
          </w:p>
        </w:tc>
        <w:tc>
          <w:tcPr>
            <w:tcW w:type="dxa" w:w="950"/>
            <w:vAlign w:val="top"/>
          </w:tcPr>
          <w:p>
            <w:pPr>
              <w:spacing w:after="40" w:before="0" w:line="259" w:lineRule="auto"/>
            </w:pPr>
            <w:r>
              <w:rPr>
                <w:rFonts w:ascii="Calibri" w:hAnsi="Calibri"/>
                <w:b w:val="0"/>
                <w:i w:val="0"/>
                <w:color w:val="212121"/>
                <w:sz w:val="16"/>
              </w:rPr>
              <w:t>Absent/reduced breath sounds; bronchial breathing/egophony at upper border; rub early</w:t>
            </w:r>
          </w:p>
        </w:tc>
        <w:tc>
          <w:tcPr>
            <w:tcW w:type="dxa" w:w="1036"/>
            <w:vAlign w:val="top"/>
          </w:tcPr>
          <w:p>
            <w:pPr>
              <w:spacing w:after="40" w:before="0" w:line="259" w:lineRule="auto"/>
            </w:pPr>
            <w:r>
              <w:rPr>
                <w:rFonts w:ascii="Calibri" w:hAnsi="Calibri"/>
                <w:b w:val="0"/>
                <w:i w:val="0"/>
                <w:color w:val="212121"/>
                <w:sz w:val="16"/>
              </w:rPr>
              <w:t>Confirms effusion and inflammation of pleura</w:t>
            </w:r>
          </w:p>
        </w:tc>
        <w:tc>
          <w:tcPr>
            <w:tcW w:type="dxa" w:w="1036"/>
            <w:vAlign w:val="top"/>
          </w:tcPr>
          <w:p>
            <w:pPr>
              <w:spacing w:after="40" w:before="0" w:line="259" w:lineRule="auto"/>
            </w:pPr>
            <w:r>
              <w:rPr>
                <w:rFonts w:ascii="Calibri" w:hAnsi="Calibri"/>
                <w:b w:val="0"/>
                <w:i w:val="0"/>
                <w:color w:val="212121"/>
                <w:sz w:val="16"/>
              </w:rPr>
              <w:t>All effusions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bedside sign</w:t>
            </w:r>
          </w:p>
        </w:tc>
        <w:tc>
          <w:tcPr>
            <w:tcW w:type="dxa" w:w="720"/>
            <w:vAlign w:val="top"/>
          </w:tcPr>
          <w:p>
            <w:pPr>
              <w:spacing w:after="40" w:before="0" w:line="259" w:lineRule="auto"/>
            </w:pPr>
            <w:r>
              <w:rPr>
                <w:rFonts w:ascii="Calibri" w:hAnsi="Calibri"/>
                <w:b w:val="0"/>
                <w:i w:val="0"/>
                <w:color w:val="212121"/>
                <w:sz w:val="16"/>
              </w:rPr>
              <w:t>Egophony marks the upper fluid level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Signs of underlying cause</w:t>
            </w:r>
          </w:p>
        </w:tc>
        <w:tc>
          <w:tcPr>
            <w:tcW w:type="dxa" w:w="979"/>
            <w:vAlign w:val="top"/>
          </w:tcPr>
          <w:p>
            <w:pPr>
              <w:spacing w:after="40" w:before="0" w:line="259" w:lineRule="auto"/>
            </w:pPr>
            <w:r>
              <w:rPr>
                <w:rFonts w:ascii="Calibri" w:hAnsi="Calibri"/>
                <w:b w:val="0"/>
                <w:i w:val="0"/>
                <w:color w:val="212121"/>
                <w:sz w:val="16"/>
              </w:rPr>
              <w:t>Pedal oedema/raised JVP, clubbing, lymphadenopathy, ascites, cachexia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CHF (oedema, raised JVP), malignancy (clubbing, nodes, cachexia), cirrhosis (ascites)</w:t>
            </w:r>
          </w:p>
        </w:tc>
        <w:tc>
          <w:tcPr>
            <w:tcW w:type="dxa" w:w="1036"/>
            <w:vAlign w:val="top"/>
          </w:tcPr>
          <w:p>
            <w:pPr>
              <w:spacing w:after="40" w:before="0" w:line="259" w:lineRule="auto"/>
            </w:pPr>
            <w:r>
              <w:rPr>
                <w:rFonts w:ascii="Calibri" w:hAnsi="Calibri"/>
                <w:b w:val="0"/>
                <w:i w:val="0"/>
                <w:color w:val="212121"/>
                <w:sz w:val="16"/>
              </w:rPr>
              <w:t>Directs cause-specific workup and management</w:t>
            </w:r>
          </w:p>
        </w:tc>
        <w:tc>
          <w:tcPr>
            <w:tcW w:type="dxa" w:w="1036"/>
            <w:vAlign w:val="top"/>
          </w:tcPr>
          <w:p>
            <w:pPr>
              <w:spacing w:after="40" w:before="0" w:line="259" w:lineRule="auto"/>
            </w:pPr>
            <w:r>
              <w:rPr>
                <w:rFonts w:ascii="Calibri" w:hAnsi="Calibri"/>
                <w:b w:val="0"/>
                <w:i w:val="0"/>
                <w:color w:val="212121"/>
                <w:sz w:val="16"/>
              </w:rPr>
              <w:t>Elderly, cardiac, hepatic, malignancy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Bilateral effusion with oedema favours a transudative cardiac/renal cause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symptom; severity tracks effusion size and the speed of accumulation. Reported in ~77% of an Indian exudative-effusion series.</w:t>
            </w:r>
          </w:p>
        </w:tc>
      </w:tr>
      <w:tr>
        <w:trPr>
          <w:cantSplit/>
        </w:trPr>
        <w:tc>
          <w:tcPr>
            <w:tcW w:type="dxa" w:w="2304"/>
            <w:vAlign w:val="top"/>
          </w:tcPr>
          <w:p>
            <w:pPr>
              <w:spacing w:after="40" w:before="0" w:line="259" w:lineRule="auto"/>
            </w:pPr>
            <w:r>
              <w:rPr>
                <w:rFonts w:ascii="Calibri" w:hAnsi="Calibri"/>
                <w:b/>
                <w:i w:val="0"/>
                <w:color w:val="212121"/>
                <w:sz w:val="19"/>
              </w:rPr>
              <w:t>Pleuritic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localised pain worse on inspiration or coughing, from inflammation of the parietal pleura; often eases as fluid separates the pleural surfaces.</w:t>
            </w:r>
          </w:p>
        </w:tc>
      </w:tr>
      <w:tr>
        <w:trPr>
          <w:cantSplit/>
        </w:trPr>
        <w:tc>
          <w:tcPr>
            <w:tcW w:type="dxa" w:w="2304"/>
            <w:vAlign w:val="top"/>
          </w:tcPr>
          <w:p>
            <w:pPr>
              <w:spacing w:after="40" w:before="0" w:line="259" w:lineRule="auto"/>
            </w:pPr>
            <w:r>
              <w:rPr>
                <w:rFonts w:ascii="Calibri" w:hAnsi="Calibri"/>
                <w:b/>
                <w:i w:val="0"/>
                <w:color w:val="212121"/>
                <w:sz w:val="19"/>
              </w:rPr>
              <w:t>Cough (usually dry)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Non-productive cough from pleural irritation and lung compression; the commonest symptom (~87%) in TB effusion series.</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Low-grade or intermittent fever pointing to tuberculous or parapneumonic causes; present in ~76% of Indian TB-effusion patients.</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tiredness reflecting the underlying infection, malignancy or cardiac failure.</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Drenching night sweats are a classic pointer to tuberculous pleurisy in the Indian context.</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weight loss suggests tuberculosis or malignancy as the cause.</w:t>
            </w:r>
          </w:p>
        </w:tc>
      </w:tr>
      <w:tr>
        <w:trPr>
          <w:cantSplit/>
        </w:trPr>
        <w:tc>
          <w:tcPr>
            <w:tcW w:type="dxa" w:w="2304"/>
            <w:vAlign w:val="top"/>
          </w:tcPr>
          <w:p>
            <w:pPr>
              <w:spacing w:after="40" w:before="0" w:line="259" w:lineRule="auto"/>
            </w:pPr>
            <w:r>
              <w:rPr>
                <w:rFonts w:ascii="Calibri" w:hAnsi="Calibri"/>
                <w:b/>
                <w:i w:val="0"/>
                <w:color w:val="212121"/>
                <w:sz w:val="19"/>
              </w:rPr>
              <w:t>Orthopnoea / positional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Worsening breathlessness on lying flat, prominent with large effusions and coexisting heart failure.</w:t>
            </w:r>
          </w:p>
        </w:tc>
      </w:tr>
      <w:tr>
        <w:trPr>
          <w:cantSplit/>
        </w:trPr>
        <w:tc>
          <w:tcPr>
            <w:tcW w:type="dxa" w:w="2304"/>
            <w:vAlign w:val="top"/>
          </w:tcPr>
          <w:p>
            <w:pPr>
              <w:spacing w:after="40" w:before="0" w:line="259" w:lineRule="auto"/>
            </w:pPr>
            <w:r>
              <w:rPr>
                <w:rFonts w:ascii="Calibri" w:hAnsi="Calibri"/>
                <w:b/>
                <w:i w:val="0"/>
                <w:color w:val="212121"/>
                <w:sz w:val="19"/>
              </w:rPr>
              <w:t>Reduced exercise 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Effort intolerance from restricted lung expansion and impaired gas exchange.</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Common with chronic infective or malignant effusions and contributes to weight loss.</w:t>
            </w:r>
          </w:p>
        </w:tc>
      </w:tr>
      <w:tr>
        <w:trPr>
          <w:cantSplit/>
        </w:trPr>
        <w:tc>
          <w:tcPr>
            <w:tcW w:type="dxa" w:w="2304"/>
            <w:vAlign w:val="top"/>
          </w:tcPr>
          <w:p>
            <w:pPr>
              <w:spacing w:after="40" w:before="0" w:line="259" w:lineRule="auto"/>
            </w:pPr>
            <w:r>
              <w:rPr>
                <w:rFonts w:ascii="Calibri" w:hAnsi="Calibri"/>
                <w:b/>
                <w:i w:val="0"/>
                <w:color w:val="212121"/>
                <w:sz w:val="19"/>
              </w:rPr>
              <w:t>Hiccups or shoulder-tip discomfort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Diaphragmatic irritation from basal effusion may refer discomfort to the shoulder or provoke persistent hiccups.</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Coughing blood raises suspicion of malignancy, pulmonary embolism or tuberculosis and warrants urgent evaluation.</w:t>
            </w:r>
          </w:p>
        </w:tc>
      </w:tr>
      <w:tr>
        <w:trPr>
          <w:cantSplit/>
        </w:trPr>
        <w:tc>
          <w:tcPr>
            <w:tcW w:type="dxa" w:w="2304"/>
            <w:vAlign w:val="top"/>
          </w:tcPr>
          <w:p>
            <w:pPr>
              <w:spacing w:after="40" w:before="0" w:line="259" w:lineRule="auto"/>
            </w:pPr>
            <w:r>
              <w:rPr>
                <w:rFonts w:ascii="Calibri" w:hAnsi="Calibri"/>
                <w:b/>
                <w:i w:val="0"/>
                <w:color w:val="212121"/>
                <w:sz w:val="19"/>
              </w:rPr>
              <w:t>Chest heaviness / tightness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vague, dull sensation of fullness on the affected side, usually with large effusions.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Stony-dull percussion note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pleural fluid on the affected side, contrasting with the resonant note of aerated lung.</w:t>
            </w:r>
          </w:p>
        </w:tc>
      </w:tr>
      <w:tr>
        <w:trPr>
          <w:cantSplit/>
        </w:trPr>
        <w:tc>
          <w:tcPr>
            <w:tcW w:type="dxa" w:w="3456"/>
            <w:vAlign w:val="top"/>
          </w:tcPr>
          <w:p>
            <w:pPr>
              <w:spacing w:after="40" w:before="0" w:line="259" w:lineRule="auto"/>
            </w:pPr>
            <w:r>
              <w:rPr>
                <w:rFonts w:ascii="Calibri" w:hAnsi="Calibri"/>
                <w:b/>
                <w:i w:val="0"/>
                <w:color w:val="212121"/>
                <w:sz w:val="19"/>
              </w:rPr>
              <w:t>Diminished or absent breath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Fluid dampens sound transmission, producing quiet breath sounds over the effusion.</w:t>
            </w:r>
          </w:p>
        </w:tc>
      </w:tr>
      <w:tr>
        <w:trPr>
          <w:cantSplit/>
        </w:trPr>
        <w:tc>
          <w:tcPr>
            <w:tcW w:type="dxa" w:w="3456"/>
            <w:vAlign w:val="top"/>
          </w:tcPr>
          <w:p>
            <w:pPr>
              <w:spacing w:after="40" w:before="0" w:line="259" w:lineRule="auto"/>
            </w:pPr>
            <w:r>
              <w:rPr>
                <w:rFonts w:ascii="Calibri" w:hAnsi="Calibri"/>
                <w:b/>
                <w:i w:val="0"/>
                <w:color w:val="212121"/>
                <w:sz w:val="19"/>
              </w:rPr>
              <w:t>Reduced tactile and vocal fremitus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Vibrations from voice/speech are attenuated by the interposed fluid layer.</w:t>
            </w:r>
          </w:p>
        </w:tc>
      </w:tr>
      <w:tr>
        <w:trPr>
          <w:cantSplit/>
        </w:trPr>
        <w:tc>
          <w:tcPr>
            <w:tcW w:type="dxa" w:w="3456"/>
            <w:vAlign w:val="top"/>
          </w:tcPr>
          <w:p>
            <w:pPr>
              <w:spacing w:after="40" w:before="0" w:line="259" w:lineRule="auto"/>
            </w:pPr>
            <w:r>
              <w:rPr>
                <w:rFonts w:ascii="Calibri" w:hAnsi="Calibri"/>
                <w:b/>
                <w:i w:val="0"/>
                <w:color w:val="212121"/>
                <w:sz w:val="19"/>
              </w:rPr>
              <w:t>Reduced chest expansion on the affected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Splinting and mechanical restriction limit movement of the affected hemithorax.</w:t>
            </w:r>
          </w:p>
        </w:tc>
      </w:tr>
      <w:tr>
        <w:trPr>
          <w:cantSplit/>
        </w:trPr>
        <w:tc>
          <w:tcPr>
            <w:tcW w:type="dxa" w:w="3456"/>
            <w:vAlign w:val="top"/>
          </w:tcPr>
          <w:p>
            <w:pPr>
              <w:spacing w:after="40" w:before="0" w:line="259" w:lineRule="auto"/>
            </w:pPr>
            <w:r>
              <w:rPr>
                <w:rFonts w:ascii="Calibri" w:hAnsi="Calibri"/>
                <w:b/>
                <w:i w:val="0"/>
                <w:color w:val="212121"/>
                <w:sz w:val="19"/>
              </w:rPr>
              <w:t>Tachypnoea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responses to impaired ventilation and, in large effusions, cardiovascular compromise.</w:t>
            </w:r>
          </w:p>
        </w:tc>
      </w:tr>
      <w:tr>
        <w:trPr>
          <w:cantSplit/>
        </w:trPr>
        <w:tc>
          <w:tcPr>
            <w:tcW w:type="dxa" w:w="3456"/>
            <w:vAlign w:val="top"/>
          </w:tcPr>
          <w:p>
            <w:pPr>
              <w:spacing w:after="40" w:before="0" w:line="259" w:lineRule="auto"/>
            </w:pPr>
            <w:r>
              <w:rPr>
                <w:rFonts w:ascii="Calibri" w:hAnsi="Calibri"/>
                <w:b/>
                <w:i w:val="0"/>
                <w:color w:val="212121"/>
                <w:sz w:val="19"/>
              </w:rPr>
              <w:t>Decreased vocal resonance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Spoken sounds are muffled on auscultation over the fluid.</w:t>
            </w:r>
          </w:p>
        </w:tc>
      </w:tr>
      <w:tr>
        <w:trPr>
          <w:cantSplit/>
        </w:trPr>
        <w:tc>
          <w:tcPr>
            <w:tcW w:type="dxa" w:w="3456"/>
            <w:vAlign w:val="top"/>
          </w:tcPr>
          <w:p>
            <w:pPr>
              <w:spacing w:after="40" w:before="0" w:line="259" w:lineRule="auto"/>
            </w:pPr>
            <w:r>
              <w:rPr>
                <w:rFonts w:ascii="Calibri" w:hAnsi="Calibri"/>
                <w:b/>
                <w:i w:val="0"/>
                <w:color w:val="212121"/>
                <w:sz w:val="19"/>
              </w:rPr>
              <w:t>Contralateral tracheal / mediastinal shift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Large (massive) effusions push the trachea and mediastinum away from the affected side.</w:t>
            </w:r>
          </w:p>
        </w:tc>
      </w:tr>
      <w:tr>
        <w:trPr>
          <w:cantSplit/>
        </w:trPr>
        <w:tc>
          <w:tcPr>
            <w:tcW w:type="dxa" w:w="3456"/>
            <w:vAlign w:val="top"/>
          </w:tcPr>
          <w:p>
            <w:pPr>
              <w:spacing w:after="40" w:before="0" w:line="259" w:lineRule="auto"/>
            </w:pPr>
            <w:r>
              <w:rPr>
                <w:rFonts w:ascii="Calibri" w:hAnsi="Calibri"/>
                <w:b/>
                <w:i w:val="0"/>
                <w:color w:val="212121"/>
                <w:sz w:val="19"/>
              </w:rPr>
              <w:t>Bronchial breathing / egophony at the upper border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Compressed lung above the fluid line transmits bronchial breath sounds and egophony.</w:t>
            </w:r>
          </w:p>
        </w:tc>
      </w:tr>
      <w:tr>
        <w:trPr>
          <w:cantSplit/>
        </w:trPr>
        <w:tc>
          <w:tcPr>
            <w:tcW w:type="dxa" w:w="3456"/>
            <w:vAlign w:val="top"/>
          </w:tcPr>
          <w:p>
            <w:pPr>
              <w:spacing w:after="40" w:before="0" w:line="259" w:lineRule="auto"/>
            </w:pPr>
            <w:r>
              <w:rPr>
                <w:rFonts w:ascii="Calibri" w:hAnsi="Calibri"/>
                <w:b/>
                <w:i w:val="0"/>
                <w:color w:val="212121"/>
                <w:sz w:val="19"/>
              </w:rPr>
              <w:t>Pleural friction rub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creaking rub audible early with small effusions or as fluid resolves, from inflamed pleural surfaces.</w:t>
            </w:r>
          </w:p>
        </w:tc>
      </w:tr>
      <w:tr>
        <w:trPr>
          <w:cantSplit/>
        </w:trPr>
        <w:tc>
          <w:tcPr>
            <w:tcW w:type="dxa" w:w="3456"/>
            <w:vAlign w:val="top"/>
          </w:tcPr>
          <w:p>
            <w:pPr>
              <w:spacing w:after="40" w:before="0" w:line="259" w:lineRule="auto"/>
            </w:pPr>
            <w:r>
              <w:rPr>
                <w:rFonts w:ascii="Calibri" w:hAnsi="Calibri"/>
                <w:b/>
                <w:i w:val="0"/>
                <w:color w:val="212121"/>
                <w:sz w:val="19"/>
              </w:rPr>
              <w:t>Signs of the underlying cause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JVP and pedal oedema (heart failure), clubbing and lymphadenopathy (malignancy), or ascites (cirrhosis) point to the aetiology.</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with massive effusion causing severe hypoxaemia — a respiratory emergency requiring urgent drainage.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compromise — hypoxaemia and progressive breathlessness from lung 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effusion with contralateral mediastinal shift and cardiovascular embarrassment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Atelectasis (collapse) of the compressed underlying lung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Tension hydrothorax (rare) — large effusion under pressure impairing venous return</w:t>
            </w:r>
          </w:p>
        </w:tc>
        <w:tc>
          <w:tcPr>
            <w:tcW w:type="dxa" w:w="2980"/>
            <w:vAlign w:val="top"/>
          </w:tcPr>
          <w:p>
            <w:pPr>
              <w:spacing w:after="40" w:before="0" w:line="259" w:lineRule="auto"/>
            </w:pPr>
            <w:r>
              <w:rPr>
                <w:rFonts w:ascii="Calibri" w:hAnsi="Calibri"/>
                <w:b w:val="0"/>
                <w:i w:val="0"/>
                <w:color w:val="212121"/>
                <w:sz w:val="19"/>
              </w:rPr>
              <w:t>Direct mechanical and gas-exchange consequences of fluid filling the pleural space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Complicated parapneumonic effusion and empyema (frank pus) requiring chest-tube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Loculation and septation of fluid, hindering complete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pleural infection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complications of drainage — pneumothorax, re-expansion pulmonary oedema (risk with removal of &gt; 1500 mL),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Trapped lung and early pleural thickening limiting re-expansion</w:t>
            </w:r>
          </w:p>
        </w:tc>
        <w:tc>
          <w:tcPr>
            <w:tcW w:type="dxa" w:w="2980"/>
            <w:vAlign w:val="top"/>
          </w:tcPr>
          <w:p>
            <w:pPr>
              <w:spacing w:after="40" w:before="0" w:line="259" w:lineRule="auto"/>
            </w:pPr>
            <w:r>
              <w:rPr>
                <w:rFonts w:ascii="Calibri" w:hAnsi="Calibri"/>
                <w:b w:val="0"/>
                <w:i w:val="0"/>
                <w:color w:val="212121"/>
                <w:sz w:val="19"/>
              </w:rPr>
              <w:t>Arise from infection, organisation of the effusion, or the procedures used to treat it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Fibrothorax with restrictive lung disease and chronic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and reduced exercise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surgical decortication or pleurodesis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malignant effusion with poor prognosis and repeated drainage/indwelling catheter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Post-tuberculous pleural fibrosis and long-term functional disability</w:t>
            </w:r>
          </w:p>
        </w:tc>
        <w:tc>
          <w:tcPr>
            <w:tcW w:type="dxa" w:w="2980"/>
            <w:vAlign w:val="top"/>
          </w:tcPr>
          <w:p>
            <w:pPr>
              <w:spacing w:after="40" w:before="0" w:line="259" w:lineRule="auto"/>
            </w:pPr>
            <w:r>
              <w:rPr>
                <w:rFonts w:ascii="Calibri" w:hAnsi="Calibri"/>
                <w:b w:val="0"/>
                <w:i w:val="0"/>
                <w:color w:val="212121"/>
                <w:sz w:val="19"/>
              </w:rPr>
              <w:t>Irreversible, disabling sequelae of long-standing or inadequately treated effusion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cause of pleural effusion in India; lymphocyte-rich, ADA-high exudate from pleural hypersensitivity.</w:t>
            </w:r>
          </w:p>
          <w:p>
            <w:pPr>
              <w:spacing w:after="40" w:before="0" w:line="259" w:lineRule="auto"/>
            </w:pPr>
            <w:r>
              <w:rPr>
                <w:rFonts w:ascii="Calibri" w:hAnsi="Calibri"/>
                <w:b/>
                <w:i w:val="0"/>
                <w:color w:val="212121"/>
                <w:sz w:val="19"/>
              </w:rPr>
              <w:t>~39–74% of exudates</w:t>
            </w:r>
          </w:p>
        </w:tc>
      </w:tr>
      <w:tr>
        <w:trPr>
          <w:cantSplit/>
        </w:trPr>
        <w:tc>
          <w:tcPr>
            <w:tcW w:type="dxa" w:w="2232"/>
            <w:vAlign w:val="top"/>
          </w:tcPr>
          <w:p>
            <w:pPr>
              <w:spacing w:after="40" w:before="0" w:line="259" w:lineRule="auto"/>
            </w:pPr>
            <w:r>
              <w:rPr>
                <w:rFonts w:ascii="Calibri" w:hAnsi="Calibri"/>
                <w:b/>
                <w:i w:val="0"/>
                <w:color w:val="212121"/>
                <w:sz w:val="19"/>
              </w:rPr>
              <w:t>Malignancy (lung, breast, lymphoma, mesothelioma)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Pleural metastasis or primary tumour causing exudative, often haemorrhagic and recurrent effusion.</w:t>
            </w:r>
          </w:p>
          <w:p>
            <w:pPr>
              <w:spacing w:after="40" w:before="0" w:line="259" w:lineRule="auto"/>
            </w:pPr>
            <w:r>
              <w:rPr>
                <w:rFonts w:ascii="Calibri" w:hAnsi="Calibri"/>
                <w:b/>
                <w:i w:val="0"/>
                <w:color w:val="212121"/>
                <w:sz w:val="19"/>
              </w:rPr>
              <w:t>~19–25% of exudates</w:t>
            </w:r>
          </w:p>
        </w:tc>
      </w:tr>
      <w:tr>
        <w:trPr>
          <w:cantSplit/>
        </w:trPr>
        <w:tc>
          <w:tcPr>
            <w:tcW w:type="dxa" w:w="2232"/>
            <w:vAlign w:val="top"/>
          </w:tcPr>
          <w:p>
            <w:pPr>
              <w:spacing w:after="40" w:before="0" w:line="259" w:lineRule="auto"/>
            </w:pPr>
            <w:r>
              <w:rPr>
                <w:rFonts w:ascii="Calibri" w:hAnsi="Calibri"/>
                <w:b/>
                <w:i w:val="0"/>
                <w:color w:val="212121"/>
                <w:sz w:val="19"/>
              </w:rPr>
              <w:t>Parapneumonic effusion / pneumonia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Neutrophilic exudate adjacent to pneumonia that may organise into empyema.</w:t>
            </w:r>
          </w:p>
          <w:p>
            <w:pPr>
              <w:spacing w:after="40" w:before="0" w:line="259" w:lineRule="auto"/>
            </w:pPr>
            <w:r>
              <w:rPr>
                <w:rFonts w:ascii="Calibri" w:hAnsi="Calibri"/>
                <w:b/>
                <w:i w:val="0"/>
                <w:color w:val="212121"/>
                <w:sz w:val="19"/>
              </w:rPr>
              <w:t>~9% of exudates</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Commonest transudative cause; raised pulmonary capillary pressure, often bilateral.</w:t>
            </w:r>
          </w:p>
        </w:tc>
      </w:tr>
      <w:tr>
        <w:trPr>
          <w:cantSplit/>
        </w:trPr>
        <w:tc>
          <w:tcPr>
            <w:tcW w:type="dxa" w:w="2232"/>
            <w:vAlign w:val="top"/>
          </w:tcPr>
          <w:p>
            <w:pPr>
              <w:spacing w:after="40" w:before="0" w:line="259" w:lineRule="auto"/>
            </w:pPr>
            <w:r>
              <w:rPr>
                <w:rFonts w:ascii="Calibri" w:hAnsi="Calibri"/>
                <w:b/>
                <w:i w:val="0"/>
                <w:color w:val="212121"/>
                <w:sz w:val="19"/>
              </w:rPr>
              <w:t>Cirrhosis (hepatic hydrothorax)</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Ascitic fluid crossing diaphragmatic defects producing a right-sided transudate.</w:t>
            </w:r>
          </w:p>
        </w:tc>
      </w:tr>
      <w:tr>
        <w:trPr>
          <w:cantSplit/>
        </w:trPr>
        <w:tc>
          <w:tcPr>
            <w:tcW w:type="dxa" w:w="2232"/>
            <w:vAlign w:val="top"/>
          </w:tcPr>
          <w:p>
            <w:pPr>
              <w:spacing w:after="40" w:before="0" w:line="259" w:lineRule="auto"/>
            </w:pPr>
            <w:r>
              <w:rPr>
                <w:rFonts w:ascii="Calibri" w:hAnsi="Calibri"/>
                <w:b/>
                <w:i w:val="0"/>
                <w:color w:val="212121"/>
                <w:sz w:val="19"/>
              </w:rPr>
              <w:t>Nephrotic syndrome / chronic kidney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Hypoalbuminaemia and volume overload cause transudative effusions.</w:t>
            </w:r>
          </w:p>
        </w:tc>
      </w:tr>
      <w:tr>
        <w:trPr>
          <w:cantSplit/>
        </w:trPr>
        <w:tc>
          <w:tcPr>
            <w:tcW w:type="dxa" w:w="2232"/>
            <w:vAlign w:val="top"/>
          </w:tcPr>
          <w:p>
            <w:pPr>
              <w:spacing w:after="40" w:before="0" w:line="259" w:lineRule="auto"/>
            </w:pPr>
            <w:r>
              <w:rPr>
                <w:rFonts w:ascii="Calibri" w:hAnsi="Calibri"/>
                <w:b/>
                <w:i w:val="0"/>
                <w:color w:val="212121"/>
                <w:sz w:val="19"/>
              </w:rPr>
              <w:t>Hypoalbuminaemia /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oncotic pressure allows fluid to accumulate; also weakens anti-TB immunity.</w:t>
            </w:r>
          </w:p>
        </w:tc>
      </w:tr>
      <w:tr>
        <w:trPr>
          <w:cantSplit/>
        </w:trPr>
        <w:tc>
          <w:tcPr>
            <w:tcW w:type="dxa" w:w="2232"/>
            <w:vAlign w:val="top"/>
          </w:tcPr>
          <w:p>
            <w:pPr>
              <w:spacing w:after="40" w:before="0" w:line="259" w:lineRule="auto"/>
            </w:pPr>
            <w:r>
              <w:rPr>
                <w:rFonts w:ascii="Calibri" w:hAnsi="Calibri"/>
                <w:b/>
                <w:i w:val="0"/>
                <w:color w:val="212121"/>
                <w:sz w:val="19"/>
              </w:rPr>
              <w:t>Pulmonary embolism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Infarction and inflammation cause small, often exudative and sometimes bloody effusions.</w:t>
            </w:r>
          </w:p>
        </w:tc>
      </w:tr>
      <w:tr>
        <w:trPr>
          <w:cantSplit/>
        </w:trPr>
        <w:tc>
          <w:tcPr>
            <w:tcW w:type="dxa" w:w="2232"/>
            <w:vAlign w:val="top"/>
          </w:tcPr>
          <w:p>
            <w:pPr>
              <w:spacing w:after="40" w:before="0" w:line="259" w:lineRule="auto"/>
            </w:pPr>
            <w:r>
              <w:rPr>
                <w:rFonts w:ascii="Calibri" w:hAnsi="Calibri"/>
                <w:b/>
                <w:i w:val="0"/>
                <w:color w:val="212121"/>
                <w:sz w:val="19"/>
              </w:rPr>
              <w:t>Pancreatitis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Sub-diaphragmatic inflammation produces a left-sided, amylase-rich exudate.</w:t>
            </w:r>
          </w:p>
        </w:tc>
      </w:tr>
      <w:tr>
        <w:trPr>
          <w:cantSplit/>
        </w:trPr>
        <w:tc>
          <w:tcPr>
            <w:tcW w:type="dxa" w:w="2232"/>
            <w:vAlign w:val="top"/>
          </w:tcPr>
          <w:p>
            <w:pPr>
              <w:spacing w:after="40" w:before="0" w:line="259" w:lineRule="auto"/>
            </w:pPr>
            <w:r>
              <w:rPr>
                <w:rFonts w:ascii="Calibri" w:hAnsi="Calibri"/>
                <w:b/>
                <w:i w:val="0"/>
                <w:color w:val="212121"/>
                <w:sz w:val="19"/>
              </w:rPr>
              <w:t>Rheumatoid arthritis / SLE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Autoimmune pleuritis produces exudative effusions, classically low-glucose in RA.</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Immunosuppression greatly increases tuberculous and other infective effusions.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evaluation for any cough lasting more than 2 weeks, especially with fever, night sweats or weight loss — the classic warning of tuberculous pleurisy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or worsening breathlessness, one-sided chest pain or reduced exercise tolerance promptly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anti-tuberculosis treatment (usually 6 months) without interruption to prevent relapse, drug resistance and residual pleural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household TB contact screening and complete any recommended preventive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BCG vaccination in infancy and follow national TB-elimination and pneumonia-vaccination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chest X-rays after treatment to confirm resolution and detect trapped lung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early after surgery, childbirth or acute illness to reduce the risk of venous thromboembolism and pulmonary 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graduated compression and prescribed thromboprophylaxis when immobilised or hospitalised.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light regular activity to maintain cardiorespiratory fitness and support heart-failure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unbroken bed rest where medically safe.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guided breathing exercises and incentive spirometry after drainage to aid lung re-expansion and prevent trapped lung.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supervised pulmonary rehabilitation after empyema or fibrothorax to restore exercise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as breathlessness improves, pacing effort to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chest physiotherapy as advised during recovery from parapneumonic effusion.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Empyema/fibrothorax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effusion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calorie intake to keep serum albumin normal and prevent transudative effusion from hypoalbuminaemia.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which weakens immunity and promotes progression of latent tuberculosis — a leading cause of effusion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with pulses, dairy, eggs/lean protein, whole grains, fruit and vegetables; use nutrition-support programmes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and fluid in heart-failure or kidney-related effusions to limit volume overload.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high-protein, high-calorie nutritional support during anti-TB or cancer treatment to aid recovery and effusion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hypoalbuminaemia and treat the underlying cirrhosis, nephrotic syndrome or malnutrition driving a transudate.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a heart-failure diet (salt and fluid restriction with diuretic therapy) to reduce recurrent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dietitian referral for tailored support in chronic or recurrent effusions.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Cirrhosis/nephrotic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to reduce heart-failure risk and associated transudative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semi-upright when breathless from a large effusion to ease orthopnoea until definitive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immune function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large effusions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the single most effective step to cut the risk of lung cancer (and malignant effusion), pneumonia and severe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biomass/indoor air pollution, which also raise respiratory-infection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 counselling, quitlines and pharmacotherapy (nicotine replacement) —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respiratory protection and follow dust controls in asbestos, silica and stone-crushing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to reduce the risk of pancreatitis, cirrhosis (hepatic hydrothorax) and aspiration pneumonia with empyema.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predisposes to aspiration and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including de-addiction services, to protect liver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established liver disease, abstain completely to prevent progression and recurrent effusion.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Aspiration-risk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adherence support during prolonged anti-TB and heart-failure therapy to prevent treatment interruption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chronic or malignant effusions and reduce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psychosocial and palliative support for recurrent malignant effusion, focusing on breathlessness relief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community DOTS/support networks to sustain engagement with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 on long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Cancer/malignant-effusion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breathless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adherence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irm.org/archive/volume/11/issue/2/article/26926" TargetMode="External"/><Relationship Id="rId10" Type="http://schemas.openxmlformats.org/officeDocument/2006/relationships/hyperlink" Target="https://www.msjonline.org/index.php/ijrms/article/view/15701" TargetMode="External"/><Relationship Id="rId11" Type="http://schemas.openxmlformats.org/officeDocument/2006/relationships/hyperlink" Target="https://www.drishtiias.com/daily-updates/daily-news-analysis/global-tuberculosis-report-2024" TargetMode="External"/><Relationship Id="rId12" Type="http://schemas.openxmlformats.org/officeDocument/2006/relationships/hyperlink" Target="https://www.who.int/southeastasia/health-topics/tuberculosis" TargetMode="External"/><Relationship Id="rId13" Type="http://schemas.openxmlformats.org/officeDocument/2006/relationships/hyperlink" Target="https://www.ncbi.nlm.nih.gov/books/NBK574541/" TargetMode="External"/><Relationship Id="rId14" Type="http://schemas.openxmlformats.org/officeDocument/2006/relationships/hyperlink" Target="https://www.ncbi.nlm.nih.gov/books/NBK448189/" TargetMode="External"/><Relationship Id="rId15" Type="http://schemas.openxmlformats.org/officeDocument/2006/relationships/hyperlink" Target="https://www.nature.com/articles/s41598-022-11460-w" TargetMode="External"/><Relationship Id="rId16" Type="http://schemas.openxmlformats.org/officeDocument/2006/relationships/hyperlink" Target="https://www.ncbi.nlm.nih.gov/books/NBK534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