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Pneumothorax</w:t>
      </w:r>
    </w:p>
    <w:p>
      <w:pPr>
        <w:spacing w:before="0" w:after="160"/>
      </w:pPr>
      <w:r>
        <w:rPr>
          <w:rFonts w:ascii="Calibri" w:hAnsi="Calibri"/>
          <w:b/>
          <w:i w:val="0"/>
          <w:color w:val="212121"/>
          <w:sz w:val="22"/>
        </w:rPr>
        <w:t xml:space="preserve">AKA </w:t>
      </w:r>
      <w:r>
        <w:rPr>
          <w:rFonts w:ascii="Calibri" w:hAnsi="Calibri"/>
          <w:b w:val="0"/>
          <w:i w:val="0"/>
          <w:color w:val="212121"/>
          <w:sz w:val="22"/>
        </w:rPr>
        <w:t>i.e., Collapsed lung, Air in the pleural space, Spontaneous pneumothorax (SP), “dropped lung”</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Pneumothorax is the abnormal accumulation of air within the pleural space — the potential cavity between the visceral and parietal pleura — which abolishes the normal negative intrapleural pressure and causes partial or complete collapse of the underlying lung. It may arise spontaneously without any external cause, or follow chest trauma or medical procedures. Presentation ranges from an incidental, asymptomatic finding to acute pleuritic chest pain with breathlessness; a tension pneumothorax, in which air is trapped under progressively rising pressure, is an immediately life-threatening emergency.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Pneumothorax is a common thoracic emergency in India, with a striking male predominance — Indian hospital series report men making up around 90% or more of cases. Unlike Western data where primary (idiopathic) spontaneous pneumothorax dominates, secondary spontaneous pneumothorax linked to COPD and tuberculosis accounts for the majority of Indian cases. Globally, primary spontaneous pneumothorax has an annual incidence of roughly 7.4–24 per 100,000 in men and 1.2–6 per 100,000 in women, typically affecting people aged 15–40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Pneumothorax is diagnosed by combining a compatible clinical picture (sudden pleuritic chest pain and dyspnoea) with imaging that demonstrates air in the pleural space. The following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sudden ipsilateral pleuritic chest pain and breathlessness with reduced/absent breath sounds and a hyperresonant percussion note on the affected side;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erect chest radiograph (PA) showing a visceral pleural line with absence of lung markings peripheral to it — the confirmatory first-line investigation;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size estimation (British Thoracic Society): a rim of air ≥ 2 cm at the level of the hilum is a “large” pneumothorax, while &lt; 2 cm is “small”;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point-of-care lung ultrasound showing absent lung sliding, absent B-lines and a “lung point” sign — more sensitive than a supine film, especially in trauma;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CT of the thorax — the gold standard when the radiograph is equivocal, to size small/loculated collections and detect blebs, bullae or underlying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tension pneumothorax is a CLINICAL diagnosis (hypotension, distended neck veins, tracheal deviation away from the affected side) — treat by immediate decompression without waiting for imaging;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arterial blood gas may show hypoxaemia and acute respiratory alkalosis in larger collections.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Pneumothorax is classified primarily by underlying cause and clinical urgency:</w:t>
      </w:r>
    </w:p>
    <w:p>
      <w:pPr>
        <w:spacing w:before="0" w:after="80"/>
      </w:pPr>
      <w:r>
        <w:rPr>
          <w:rFonts w:ascii="Calibri" w:hAnsi="Calibri"/>
          <w:b w:val="0"/>
          <w:i w:val="0"/>
          <w:color w:val="212121"/>
          <w:sz w:val="21"/>
        </w:rPr>
        <w:t>(1) Primary spontaneous pneumothorax (PSP), occurring without clinically apparent lung disease — classically in tall, thin, young male smokers from rupture of apical subpleural blebs or bullae;</w:t>
      </w:r>
    </w:p>
    <w:p>
      <w:pPr>
        <w:spacing w:before="0" w:after="80"/>
      </w:pPr>
      <w:r>
        <w:rPr>
          <w:rFonts w:ascii="Calibri" w:hAnsi="Calibri"/>
          <w:b w:val="0"/>
          <w:i w:val="0"/>
          <w:color w:val="212121"/>
          <w:sz w:val="21"/>
        </w:rPr>
        <w:t>(2) Secondary spontaneous pneumothorax (SSP), developing on a background of established lung disease (COPD/emphysema, tuberculosis, asthma, interstitial lung disease, cystic fibrosis, Pneumocystis pneumonia or malignancy) — more symptomatic, more dangerous and with higher mortality;</w:t>
      </w:r>
    </w:p>
    <w:p>
      <w:pPr>
        <w:spacing w:before="0" w:after="80"/>
      </w:pPr>
      <w:r>
        <w:rPr>
          <w:rFonts w:ascii="Calibri" w:hAnsi="Calibri"/>
          <w:b w:val="0"/>
          <w:i w:val="0"/>
          <w:color w:val="212121"/>
          <w:sz w:val="21"/>
        </w:rPr>
        <w:t>(3) Traumatic pneumothorax, from penetrating or blunt chest injury (e.g., rib fracture, stab or road-traffic trauma), often accompanied by haemothorax;</w:t>
      </w:r>
    </w:p>
    <w:p>
      <w:pPr>
        <w:spacing w:before="0" w:after="80"/>
      </w:pPr>
      <w:r>
        <w:rPr>
          <w:rFonts w:ascii="Calibri" w:hAnsi="Calibri"/>
          <w:b w:val="0"/>
          <w:i w:val="0"/>
          <w:color w:val="212121"/>
          <w:sz w:val="21"/>
        </w:rPr>
        <w:t>(4) Iatrogenic pneumothorax, following medical procedures such as subclavian central-line insertion, thoracocentesis, transbronchial or CT-guided lung biopsy, and positive-pressure/mechanical ventilation (barotrauma); and</w:t>
      </w:r>
    </w:p>
    <w:p>
      <w:pPr>
        <w:spacing w:before="0" w:after="80"/>
      </w:pPr>
      <w:r>
        <w:rPr>
          <w:rFonts w:ascii="Calibri" w:hAnsi="Calibri"/>
          <w:b w:val="0"/>
          <w:i w:val="0"/>
          <w:color w:val="212121"/>
          <w:sz w:val="21"/>
        </w:rPr>
        <w:t>(5) Special forms — tension pneumothorax (a one-way valve mechanism causing a medical emergency, any cause), catamenial pneumothorax (recurrent, menstruation-related, usually right-sided, linked to thoracic endometriosis) and neonatal pneumothorax.</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Subpleural bleb/bulla rupture: Rupture of apical blebs or bullae releases air into the pleural space and is the dominant mechanism in primary spontaneous pneumothorax.</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Cigarette (and cannabis) smoking: Small-airway inflammation and distal emphysema-like changes promote bleb formation; smoking is the single strongest modifiable risk factor.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Underlying lung disease: COPD/emphysema, tuberculosis, asthma, interstitial lung disease, cystic fibrosis and Pneumocystis pneumonia weaken lung parenchyma, causing secondary spontaneous pneumothorax.</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Tall, thin body habitus and connective-tissue disorders: A greater apex-to-base pleural pressure gradient plus abnormal connective tissue (Marfan, Ehlers–Danlos, Birt–Hogg–Dubé syndrome) predispose to apical blebs.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Trauma and iatrogenic injury: Penetrating/blunt chest trauma, rib fractures and invasive procedures (central lines, thoracocentesis, lung biopsy, mechanical ventilation) directly breach the pleura.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Acute rise in transpulmonary pressure: Coughing, straining, Valsalva, air travel, and scuba diving can precipitate rupture of a vulnerable pleura.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(15–40 years)</w:t>
            </w:r>
          </w:p>
        </w:tc>
        <w:tc>
          <w:tcPr>
            <w:tcW w:type="dxa" w:w="4276"/>
            <w:vAlign w:val="top"/>
          </w:tcPr>
          <w:p>
            <w:pPr>
              <w:spacing w:after="60" w:line="259" w:lineRule="auto"/>
            </w:pPr>
            <w:r>
              <w:rPr>
                <w:rFonts w:ascii="Calibri" w:hAnsi="Calibri"/>
                <w:b w:val="0"/>
                <w:i w:val="0"/>
                <w:color w:val="212121"/>
                <w:sz w:val="19"/>
              </w:rPr>
              <w:t>Primary spontaneous pneumothorax peaks in this age band, driven by rupture of apical subpleural blebs in otherwise healthy tall, thin individuals. The compliant, rapidly grown chest of youth favours bleb formation at the apex.</w:t>
            </w:r>
          </w:p>
          <w:p>
            <w:pPr>
              <w:spacing w:after="40" w:before="60" w:line="259" w:lineRule="auto"/>
            </w:pPr>
            <w:r>
              <w:rPr>
                <w:rFonts w:ascii="Calibri" w:hAnsi="Calibri"/>
                <w:b w:val="0"/>
                <w:i w:val="0"/>
                <w:color w:val="212121"/>
                <w:sz w:val="19"/>
              </w:rPr>
              <w:t>Primary spontaneous pneumothorax primarily affects people aged 15–40 years, with incidence of about 7.4–24 per 100,000 per year in men.</w:t>
            </w:r>
          </w:p>
          <w:p>
            <w:pPr>
              <w:spacing w:after="40" w:line="252" w:lineRule="auto"/>
            </w:pPr>
            <w:hyperlink r:id="rId9">
              <w:r>
                <w:rPr>
                  <w:rFonts w:ascii="Calibri" w:hAnsi="Calibri" w:cs="Calibri"/>
                  <w:sz w:val="18"/>
                  <w:color w:val="1155CC"/>
                  <w:u w:val="single"/>
                </w:rPr>
                <w:t xml:space="preserve">ncbi.nlm.nih.gov — StatPearls: Spontaneous Pneumothorax</w:t>
              </w:r>
            </w:hyperlink>
          </w:p>
          <w:p>
            <w:pPr>
              <w:spacing w:before="60" w:after="40"/>
            </w:pPr>
            <w:r>
              <w:rPr>
                <w:rFonts w:ascii="Calibri" w:hAnsi="Calibri"/>
                <w:b w:val="0"/>
                <w:i w:val="0"/>
                <w:color w:val="5A5A5A"/>
                <w:sz w:val="18"/>
              </w:rPr>
              <w:t>#PSP  #apicalblebs  #youngadults  #tallthin  #pleura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55 years)</w:t>
            </w:r>
          </w:p>
        </w:tc>
        <w:tc>
          <w:tcPr>
            <w:tcW w:type="dxa" w:w="4276"/>
            <w:vAlign w:val="top"/>
          </w:tcPr>
          <w:p>
            <w:pPr>
              <w:spacing w:after="60" w:line="259" w:lineRule="auto"/>
            </w:pPr>
            <w:r>
              <w:rPr>
                <w:rFonts w:ascii="Calibri" w:hAnsi="Calibri"/>
                <w:b w:val="0"/>
                <w:i w:val="0"/>
                <w:color w:val="212121"/>
                <w:sz w:val="19"/>
              </w:rPr>
              <w:t>Older adults are prone to SECONDARY spontaneous pneumothorax on a background of COPD/emphysema and old tuberculosis. Diminished pulmonary reserve makes even a small pneumothorax poorly tolerated and more dangerous.</w:t>
            </w:r>
          </w:p>
          <w:p>
            <w:pPr>
              <w:spacing w:after="40" w:before="60" w:line="259" w:lineRule="auto"/>
            </w:pPr>
            <w:r>
              <w:rPr>
                <w:rFonts w:ascii="Calibri" w:hAnsi="Calibri"/>
                <w:b w:val="0"/>
                <w:i w:val="0"/>
                <w:color w:val="212121"/>
                <w:sz w:val="19"/>
              </w:rPr>
              <w:t>In an Indian series the peak was in the 3rd–4th decades, but secondary pneumothorax (64% of cases) clustered in older smokers with COPD and TB.</w:t>
            </w:r>
          </w:p>
          <w:p>
            <w:pPr>
              <w:spacing w:after="40" w:line="252" w:lineRule="auto"/>
            </w:pPr>
            <w:hyperlink r:id="rId10">
              <w:r>
                <w:rPr>
                  <w:rFonts w:ascii="Calibri" w:hAnsi="Calibri" w:cs="Calibri"/>
                  <w:sz w:val="18"/>
                  <w:color w:val="1155CC"/>
                  <w:u w:val="single"/>
                </w:rPr>
                <w:t xml:space="preserve">pmc.ncbi.nlm.nih.gov — Central India pneumothorax study</w:t>
              </w:r>
            </w:hyperlink>
          </w:p>
          <w:p>
            <w:pPr>
              <w:spacing w:before="60" w:after="40"/>
            </w:pPr>
            <w:r>
              <w:rPr>
                <w:rFonts w:ascii="Calibri" w:hAnsi="Calibri"/>
                <w:b w:val="0"/>
                <w:i w:val="0"/>
                <w:color w:val="5A5A5A"/>
                <w:sz w:val="18"/>
              </w:rPr>
              <w:t>#SSP  #COPD  #lowreserve  #elderly  #emphysema</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dominate pneumothorax presentations because of higher smoking rates, taller stature and greater apical bleb prevalence. Male predominance is one of the most consistent findings across Indian and global series (males were 92% of an Indian cohort).</w:t>
            </w:r>
          </w:p>
          <w:p>
            <w:pPr>
              <w:spacing w:after="40" w:before="60" w:line="259" w:lineRule="auto"/>
            </w:pPr>
            <w:r>
              <w:rPr>
                <w:rFonts w:ascii="Calibri" w:hAnsi="Calibri"/>
                <w:b w:val="0"/>
                <w:i w:val="0"/>
                <w:color w:val="212121"/>
                <w:sz w:val="19"/>
              </w:rPr>
              <w:t>National smoking prevalence is far higher in men (19.0%) than women (2.0%), paralleling the strong male predominance of pneumothorax (GATS-2 India, 2016–17).</w:t>
            </w:r>
          </w:p>
          <w:p>
            <w:pPr>
              <w:spacing w:after="40" w:line="252" w:lineRule="auto"/>
            </w:pPr>
            <w:hyperlink r:id="rId11">
              <w:r>
                <w:rPr>
                  <w:rFonts w:ascii="Calibri" w:hAnsi="Calibri" w:cs="Calibri"/>
                  <w:sz w:val="18"/>
                  <w:color w:val="1155CC"/>
                  <w:u w:val="single"/>
                </w:rPr>
                <w:t xml:space="preserve">ntcp.mohfw.gov.in — GATS-2 India 2016–17 fact sheet</w:t>
              </w:r>
            </w:hyperlink>
          </w:p>
          <w:p>
            <w:pPr>
              <w:spacing w:before="60" w:after="40"/>
            </w:pPr>
            <w:r>
              <w:rPr>
                <w:rFonts w:ascii="Calibri" w:hAnsi="Calibri"/>
                <w:b w:val="0"/>
                <w:i w:val="0"/>
                <w:color w:val="5A5A5A"/>
                <w:sz w:val="18"/>
              </w:rPr>
              <w:t>#malepredominance  #smoking  #stature  #blebs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Women of reproductive age (catamenial)</w:t>
            </w:r>
          </w:p>
        </w:tc>
        <w:tc>
          <w:tcPr>
            <w:tcW w:type="dxa" w:w="4276"/>
            <w:vAlign w:val="top"/>
          </w:tcPr>
          <w:p>
            <w:pPr>
              <w:spacing w:after="60" w:line="259" w:lineRule="auto"/>
            </w:pPr>
            <w:r>
              <w:rPr>
                <w:rFonts w:ascii="Calibri" w:hAnsi="Calibri"/>
                <w:b w:val="0"/>
                <w:i w:val="0"/>
                <w:color w:val="212121"/>
                <w:sz w:val="19"/>
              </w:rPr>
              <w:t>Recurrent, usually right-sided pneumothorax occurring around menstruation suggests catamenial pneumothorax from thoracic endometriosis with diaphragmatic defects. It is easily missed and needs a menstrual history in every young woman with recurrent pneumothorax.</w:t>
            </w:r>
          </w:p>
          <w:p>
            <w:pPr>
              <w:spacing w:after="40" w:before="60" w:line="259" w:lineRule="auto"/>
            </w:pPr>
            <w:r>
              <w:rPr>
                <w:rFonts w:ascii="Calibri" w:hAnsi="Calibri"/>
                <w:b w:val="0"/>
                <w:i w:val="0"/>
                <w:color w:val="212121"/>
                <w:sz w:val="19"/>
              </w:rPr>
              <w:t>Catamenial/endometriosis-related cases account for 18–33% of reproductive-age women referred for surgery, are right-sided in 87.5–100%, and show thoracic endometriosis in 52–87.5%.</w:t>
            </w:r>
          </w:p>
          <w:p>
            <w:pPr>
              <w:spacing w:after="40" w:line="252" w:lineRule="auto"/>
            </w:pPr>
            <w:hyperlink r:id="rId12">
              <w:r>
                <w:rPr>
                  <w:rFonts w:ascii="Calibri" w:hAnsi="Calibri" w:cs="Calibri"/>
                  <w:sz w:val="18"/>
                  <w:color w:val="1155CC"/>
                  <w:u w:val="single"/>
                </w:rPr>
                <w:t xml:space="preserve">jtd.amegroups.org — Catamenial pneumothorax review</w:t>
              </w:r>
            </w:hyperlink>
          </w:p>
          <w:p>
            <w:pPr>
              <w:spacing w:before="60" w:after="40"/>
            </w:pPr>
            <w:r>
              <w:rPr>
                <w:rFonts w:ascii="Calibri" w:hAnsi="Calibri"/>
                <w:b w:val="0"/>
                <w:i w:val="0"/>
                <w:color w:val="5A5A5A"/>
                <w:sz w:val="18"/>
              </w:rPr>
              <w:t>#catamenial  #endometriosis  #rightsided  #recurrent  #women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undernourished adults</w:t>
            </w:r>
          </w:p>
        </w:tc>
        <w:tc>
          <w:tcPr>
            <w:tcW w:type="dxa" w:w="4276"/>
            <w:vAlign w:val="top"/>
          </w:tcPr>
          <w:p>
            <w:pPr>
              <w:spacing w:after="60" w:line="259" w:lineRule="auto"/>
            </w:pPr>
            <w:r>
              <w:rPr>
                <w:rFonts w:ascii="Calibri" w:hAnsi="Calibri"/>
                <w:b w:val="0"/>
                <w:i w:val="0"/>
                <w:color w:val="212121"/>
                <w:sz w:val="19"/>
              </w:rPr>
              <w:t>Poverty concentrates the two big Indian drivers of secondary pneumothorax — tuberculosis and biomass/tobacco-related COPD — while low body weight and delayed care worsen outcomes. Late presentation increases the chance of a large or tension pneumothorax.</w:t>
            </w:r>
          </w:p>
          <w:p>
            <w:pPr>
              <w:spacing w:after="40" w:before="60" w:line="259" w:lineRule="auto"/>
            </w:pPr>
            <w:r>
              <w:rPr>
                <w:rFonts w:ascii="Calibri" w:hAnsi="Calibri"/>
                <w:b w:val="0"/>
                <w:i w:val="0"/>
                <w:color w:val="212121"/>
                <w:sz w:val="19"/>
              </w:rPr>
              <w:t>India still records the world's highest TB burden at 187 cases per 100,000 population (2024), a leading cause of secondary pneumothorax.</w:t>
            </w:r>
          </w:p>
          <w:p>
            <w:pPr>
              <w:spacing w:after="40" w:line="252" w:lineRule="auto"/>
            </w:pPr>
            <w:hyperlink r:id="rId13">
              <w:r>
                <w:rPr>
                  <w:rFonts w:ascii="Calibri" w:hAnsi="Calibri" w:cs="Calibri"/>
                  <w:sz w:val="18"/>
                  <w:color w:val="1155CC"/>
                  <w:u w:val="single"/>
                </w:rPr>
                <w:t xml:space="preserve">pib.gov.in — India TB incidence 2024</w:t>
              </w:r>
            </w:hyperlink>
          </w:p>
          <w:p>
            <w:pPr>
              <w:spacing w:before="60" w:after="40"/>
            </w:pPr>
            <w:r>
              <w:rPr>
                <w:rFonts w:ascii="Calibri" w:hAnsi="Calibri"/>
                <w:b w:val="0"/>
                <w:i w:val="0"/>
                <w:color w:val="5A5A5A"/>
                <w:sz w:val="18"/>
              </w:rPr>
              <w:t>#tuberculosis  #poverty  #undernutrition  #biomass  #latecare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disease burden</w:t>
            </w:r>
          </w:p>
        </w:tc>
        <w:tc>
          <w:tcPr>
            <w:tcW w:type="dxa" w:w="2160"/>
            <w:vAlign w:val="top"/>
          </w:tcPr>
          <w:p>
            <w:pPr>
              <w:spacing w:after="40" w:before="0" w:line="259" w:lineRule="auto"/>
            </w:pPr>
            <w:r>
              <w:rPr>
                <w:rFonts w:ascii="Calibri" w:hAnsi="Calibri"/>
                <w:b w:val="0"/>
                <w:i w:val="0"/>
                <w:color w:val="212121"/>
                <w:sz w:val="19"/>
              </w:rPr>
              <w:t>Indian (TB-endemic) population</w:t>
            </w:r>
          </w:p>
        </w:tc>
        <w:tc>
          <w:tcPr>
            <w:tcW w:type="dxa" w:w="4276"/>
            <w:vAlign w:val="top"/>
          </w:tcPr>
          <w:p>
            <w:pPr>
              <w:spacing w:after="60" w:line="259" w:lineRule="auto"/>
            </w:pPr>
            <w:r>
              <w:rPr>
                <w:rFonts w:ascii="Calibri" w:hAnsi="Calibri"/>
                <w:b w:val="0"/>
                <w:i w:val="0"/>
                <w:color w:val="212121"/>
                <w:sz w:val="19"/>
              </w:rPr>
              <w:t>In India the epidemiology is shifted towards secondary spontaneous pneumothorax because of the enormous burden of tuberculosis (active and healed cavitary/fibrotic disease) and COPD from smoking and household biomass smoke.</w:t>
            </w:r>
          </w:p>
          <w:p>
            <w:pPr>
              <w:spacing w:after="40" w:before="60" w:line="259" w:lineRule="auto"/>
            </w:pPr>
            <w:r>
              <w:rPr>
                <w:rFonts w:ascii="Calibri" w:hAnsi="Calibri"/>
                <w:b w:val="0"/>
                <w:i w:val="0"/>
                <w:color w:val="212121"/>
                <w:sz w:val="19"/>
              </w:rPr>
              <w:t>In an Indian cohort, secondary pneumothorax was 64% of cases; among these, active TB caused 15.6% and healed TB 12.5% (≈28% TB-related).</w:t>
            </w:r>
          </w:p>
          <w:p>
            <w:pPr>
              <w:spacing w:after="40" w:line="252" w:lineRule="auto"/>
            </w:pPr>
            <w:hyperlink r:id="rId10">
              <w:r>
                <w:rPr>
                  <w:rFonts w:ascii="Calibri" w:hAnsi="Calibri" w:cs="Calibri"/>
                  <w:sz w:val="18"/>
                  <w:color w:val="1155CC"/>
                  <w:u w:val="single"/>
                </w:rPr>
                <w:t xml:space="preserve">pmc.ncbi.nlm.nih.gov — Central India pneumothorax study</w:t>
              </w:r>
            </w:hyperlink>
          </w:p>
          <w:p>
            <w:pPr>
              <w:spacing w:before="60" w:after="40"/>
            </w:pPr>
            <w:r>
              <w:rPr>
                <w:rFonts w:ascii="Calibri" w:hAnsi="Calibri"/>
                <w:b w:val="0"/>
                <w:i w:val="0"/>
                <w:color w:val="5A5A5A"/>
                <w:sz w:val="18"/>
              </w:rPr>
              <w:t>#India  #TBendemic  #secondary  #cavitary  #fibrosis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Body build / stature</w:t>
            </w:r>
          </w:p>
        </w:tc>
        <w:tc>
          <w:tcPr>
            <w:tcW w:type="dxa" w:w="2160"/>
            <w:vAlign w:val="top"/>
          </w:tcPr>
          <w:p>
            <w:pPr>
              <w:spacing w:after="40" w:before="0" w:line="259" w:lineRule="auto"/>
            </w:pPr>
            <w:r>
              <w:rPr>
                <w:rFonts w:ascii="Calibri" w:hAnsi="Calibri"/>
                <w:b w:val="0"/>
                <w:i w:val="0"/>
                <w:color w:val="212121"/>
                <w:sz w:val="19"/>
              </w:rPr>
              <w:t>Tall, thin (asthenic) habitus</w:t>
            </w:r>
          </w:p>
        </w:tc>
        <w:tc>
          <w:tcPr>
            <w:tcW w:type="dxa" w:w="4276"/>
            <w:vAlign w:val="top"/>
          </w:tcPr>
          <w:p>
            <w:pPr>
              <w:spacing w:after="60" w:line="259" w:lineRule="auto"/>
            </w:pPr>
            <w:r>
              <w:rPr>
                <w:rFonts w:ascii="Calibri" w:hAnsi="Calibri"/>
                <w:b w:val="0"/>
                <w:i w:val="0"/>
                <w:color w:val="212121"/>
                <w:sz w:val="19"/>
              </w:rPr>
              <w:t>Rapid longitudinal growth creates a steeper apex-to-base pleural pressure gradient, over-distending apical alveoli and predisposing to subpleural blebs. This body type is the classic PSP phenotype.</w:t>
            </w:r>
          </w:p>
          <w:p>
            <w:pPr>
              <w:spacing w:after="40" w:before="60" w:line="259" w:lineRule="auto"/>
            </w:pPr>
            <w:r>
              <w:rPr>
                <w:rFonts w:ascii="Calibri" w:hAnsi="Calibri"/>
                <w:b w:val="0"/>
                <w:i w:val="0"/>
                <w:color w:val="212121"/>
                <w:sz w:val="19"/>
              </w:rPr>
              <w:t>Tall, thin body habitus — especially in young male smokers — is a well-established risk factor for primary spontaneous pneumothorax.</w:t>
            </w:r>
          </w:p>
          <w:p>
            <w:pPr>
              <w:spacing w:after="40" w:line="252" w:lineRule="auto"/>
            </w:pPr>
            <w:hyperlink r:id="rId9">
              <w:r>
                <w:rPr>
                  <w:rFonts w:ascii="Calibri" w:hAnsi="Calibri" w:cs="Calibri"/>
                  <w:sz w:val="18"/>
                  <w:color w:val="1155CC"/>
                  <w:u w:val="single"/>
                </w:rPr>
                <w:t xml:space="preserve">ncbi.nlm.nih.gov — StatPearls: Spontaneous Pneumothorax</w:t>
              </w:r>
            </w:hyperlink>
          </w:p>
          <w:p>
            <w:pPr>
              <w:spacing w:before="60" w:after="40"/>
            </w:pPr>
            <w:r>
              <w:rPr>
                <w:rFonts w:ascii="Calibri" w:hAnsi="Calibri"/>
                <w:b w:val="0"/>
                <w:i w:val="0"/>
                <w:color w:val="5A5A5A"/>
                <w:sz w:val="18"/>
              </w:rPr>
              <w:t>#tallthin  #asthenic  #pressuregradient  #apicalblebs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cigarette smokers</w:t>
            </w:r>
          </w:p>
        </w:tc>
        <w:tc>
          <w:tcPr>
            <w:tcW w:type="dxa" w:w="4276"/>
            <w:vAlign w:val="top"/>
          </w:tcPr>
          <w:p>
            <w:pPr>
              <w:spacing w:after="60" w:line="259" w:lineRule="auto"/>
            </w:pPr>
            <w:r>
              <w:rPr>
                <w:rFonts w:ascii="Calibri" w:hAnsi="Calibri"/>
                <w:b w:val="0"/>
                <w:i w:val="0"/>
                <w:color w:val="212121"/>
                <w:sz w:val="19"/>
              </w:rPr>
              <w:t>Smoking causes small-airway inflammation and distal emphysematous change that generate blebs and dramatically raise pneumothorax risk in a dose-dependent way. Risk persists for years after the first episode and drives recurrence.</w:t>
            </w:r>
          </w:p>
          <w:p>
            <w:pPr>
              <w:spacing w:after="40" w:before="60" w:line="259" w:lineRule="auto"/>
            </w:pPr>
            <w:r>
              <w:rPr>
                <w:rFonts w:ascii="Calibri" w:hAnsi="Calibri"/>
                <w:b w:val="0"/>
                <w:i w:val="0"/>
                <w:color w:val="212121"/>
                <w:sz w:val="19"/>
              </w:rPr>
              <w:t>Smoking raises the lifetime risk of spontaneous pneumothorax roughly 9-fold in women and 22-fold in men, with a clear dose–response (Bense et al.).</w:t>
            </w:r>
          </w:p>
          <w:p>
            <w:pPr>
              <w:spacing w:after="40" w:line="252" w:lineRule="auto"/>
            </w:pPr>
            <w:hyperlink r:id="rId14">
              <w:r>
                <w:rPr>
                  <w:rFonts w:ascii="Calibri" w:hAnsi="Calibri" w:cs="Calibri"/>
                  <w:sz w:val="18"/>
                  <w:color w:val="1155CC"/>
                  <w:u w:val="single"/>
                </w:rPr>
                <w:t xml:space="preserve">pubmed.ncbi.nlm.nih.gov/3677805 — Bense: smoking &amp; pneumothorax</w:t>
              </w:r>
            </w:hyperlink>
          </w:p>
          <w:p>
            <w:pPr>
              <w:spacing w:before="60" w:after="40"/>
            </w:pPr>
            <w:r>
              <w:rPr>
                <w:rFonts w:ascii="Calibri" w:hAnsi="Calibri"/>
                <w:b w:val="0"/>
                <w:i w:val="0"/>
                <w:color w:val="5A5A5A"/>
                <w:sz w:val="18"/>
              </w:rPr>
              <w:t>#smoking  #doseresponse  #blebs  #modifiable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Cannabis / vaping</w:t>
            </w:r>
          </w:p>
        </w:tc>
        <w:tc>
          <w:tcPr>
            <w:tcW w:type="dxa" w:w="2160"/>
            <w:vAlign w:val="top"/>
          </w:tcPr>
          <w:p>
            <w:pPr>
              <w:spacing w:after="40" w:before="0" w:line="259" w:lineRule="auto"/>
            </w:pPr>
            <w:r>
              <w:rPr>
                <w:rFonts w:ascii="Calibri" w:hAnsi="Calibri"/>
                <w:b w:val="0"/>
                <w:i w:val="0"/>
                <w:color w:val="212121"/>
                <w:sz w:val="19"/>
              </w:rPr>
              <w:t>Young cannabis smokers and e-cigarette users</w:t>
            </w:r>
          </w:p>
        </w:tc>
        <w:tc>
          <w:tcPr>
            <w:tcW w:type="dxa" w:w="4276"/>
            <w:vAlign w:val="top"/>
          </w:tcPr>
          <w:p>
            <w:pPr>
              <w:spacing w:after="60" w:line="259" w:lineRule="auto"/>
            </w:pPr>
            <w:r>
              <w:rPr>
                <w:rFonts w:ascii="Calibri" w:hAnsi="Calibri"/>
                <w:b w:val="0"/>
                <w:i w:val="0"/>
                <w:color w:val="212121"/>
                <w:sz w:val="19"/>
              </w:rPr>
              <w:t>Deep, prolonged breath-holding inhalation and high combustion temperatures cause early apical bullous lung disease, producing pneumothorax at a younger age and with more severe presentations than tobacco alone.</w:t>
            </w:r>
          </w:p>
          <w:p>
            <w:pPr>
              <w:spacing w:after="40" w:before="60" w:line="259" w:lineRule="auto"/>
            </w:pPr>
            <w:r>
              <w:rPr>
                <w:rFonts w:ascii="Calibri" w:hAnsi="Calibri"/>
                <w:b w:val="0"/>
                <w:i w:val="0"/>
                <w:color w:val="212121"/>
                <w:sz w:val="19"/>
              </w:rPr>
              <w:t>Cannabis smokers had markedly higher odds of high-grade bullous disease (OR ≈ 41) and tension pneumothorax (OR ≈ 10.7) versus controls.</w:t>
            </w:r>
          </w:p>
          <w:p>
            <w:pPr>
              <w:spacing w:after="40" w:line="252" w:lineRule="auto"/>
            </w:pPr>
            <w:hyperlink r:id="rId15">
              <w:r>
                <w:rPr>
                  <w:rFonts w:ascii="Calibri" w:hAnsi="Calibri" w:cs="Calibri"/>
                  <w:sz w:val="18"/>
                  <w:color w:val="1155CC"/>
                  <w:u w:val="single"/>
                </w:rPr>
                <w:t xml:space="preserve">journals.plos.org — cannabis &amp; bullous lung disease (case–control)</w:t>
              </w:r>
            </w:hyperlink>
          </w:p>
          <w:p>
            <w:pPr>
              <w:spacing w:before="60" w:after="40"/>
            </w:pPr>
            <w:r>
              <w:rPr>
                <w:rFonts w:ascii="Calibri" w:hAnsi="Calibri"/>
                <w:b w:val="0"/>
                <w:i w:val="0"/>
                <w:color w:val="5A5A5A"/>
                <w:sz w:val="18"/>
              </w:rPr>
              <w:t>#cannabis  #vaping  #bullousdisease  #youngmales  #tension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 pressure exposure</w:t>
            </w:r>
          </w:p>
        </w:tc>
        <w:tc>
          <w:tcPr>
            <w:tcW w:type="dxa" w:w="2160"/>
            <w:vAlign w:val="top"/>
          </w:tcPr>
          <w:p>
            <w:pPr>
              <w:spacing w:after="40" w:before="0" w:line="259" w:lineRule="auto"/>
            </w:pPr>
            <w:r>
              <w:rPr>
                <w:rFonts w:ascii="Calibri" w:hAnsi="Calibri"/>
                <w:b w:val="0"/>
                <w:i w:val="0"/>
                <w:color w:val="212121"/>
                <w:sz w:val="19"/>
              </w:rPr>
              <w:t>Scuba divers, aviators, wind-instrument players</w:t>
            </w:r>
          </w:p>
        </w:tc>
        <w:tc>
          <w:tcPr>
            <w:tcW w:type="dxa" w:w="4276"/>
            <w:vAlign w:val="top"/>
          </w:tcPr>
          <w:p>
            <w:pPr>
              <w:spacing w:after="60" w:line="259" w:lineRule="auto"/>
            </w:pPr>
            <w:r>
              <w:rPr>
                <w:rFonts w:ascii="Calibri" w:hAnsi="Calibri"/>
                <w:b w:val="0"/>
                <w:i w:val="0"/>
                <w:color w:val="212121"/>
                <w:sz w:val="19"/>
              </w:rPr>
              <w:t>Large swings in transpulmonary and ambient pressure (ascent from depth, cabin depressurisation, forceful expiration) can rupture a vulnerable pleura or expand trapped air. A prior spontaneous pneumothorax is a lifelong contraindication to diving unless definitively surgically corrected.</w:t>
            </w:r>
          </w:p>
          <w:p>
            <w:pPr>
              <w:spacing w:after="40" w:before="60" w:line="259" w:lineRule="auto"/>
            </w:pPr>
            <w:r>
              <w:rPr>
                <w:rFonts w:ascii="Calibri" w:hAnsi="Calibri"/>
                <w:b w:val="0"/>
                <w:i w:val="0"/>
                <w:color w:val="212121"/>
                <w:sz w:val="19"/>
              </w:rPr>
              <w:t>Barotrauma from diving/flying is a recognised provoking factor; guidelines advise permanent avoidance of scuba diving after spontaneous pneumothorax.</w:t>
            </w:r>
          </w:p>
          <w:p>
            <w:pPr>
              <w:spacing w:after="40" w:line="252" w:lineRule="auto"/>
            </w:pPr>
            <w:hyperlink r:id="rId9">
              <w:r>
                <w:rPr>
                  <w:rFonts w:ascii="Calibri" w:hAnsi="Calibri" w:cs="Calibri"/>
                  <w:sz w:val="18"/>
                  <w:color w:val="1155CC"/>
                  <w:u w:val="single"/>
                </w:rPr>
                <w:t xml:space="preserve">ncbi.nlm.nih.gov — StatPearls: Spontaneous Pneumothorax</w:t>
              </w:r>
            </w:hyperlink>
          </w:p>
          <w:p>
            <w:pPr>
              <w:spacing w:before="60" w:after="40"/>
            </w:pPr>
            <w:r>
              <w:rPr>
                <w:rFonts w:ascii="Calibri" w:hAnsi="Calibri"/>
                <w:b w:val="0"/>
                <w:i w:val="0"/>
                <w:color w:val="5A5A5A"/>
                <w:sz w:val="18"/>
              </w:rPr>
              <w:t>#barotrauma  #diving  #aviation  #Valsalva  #pressure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body weight</w:t>
            </w:r>
          </w:p>
        </w:tc>
        <w:tc>
          <w:tcPr>
            <w:tcW w:type="dxa" w:w="2160"/>
            <w:vAlign w:val="top"/>
          </w:tcPr>
          <w:p>
            <w:pPr>
              <w:spacing w:after="40" w:before="0" w:line="259" w:lineRule="auto"/>
            </w:pPr>
            <w:r>
              <w:rPr>
                <w:rFonts w:ascii="Calibri" w:hAnsi="Calibri"/>
                <w:b w:val="0"/>
                <w:i w:val="0"/>
                <w:color w:val="212121"/>
                <w:sz w:val="19"/>
              </w:rPr>
              <w:t>Underweight / low-BMI adults</w:t>
            </w:r>
          </w:p>
        </w:tc>
        <w:tc>
          <w:tcPr>
            <w:tcW w:type="dxa" w:w="4276"/>
            <w:vAlign w:val="top"/>
          </w:tcPr>
          <w:p>
            <w:pPr>
              <w:spacing w:after="60" w:line="259" w:lineRule="auto"/>
            </w:pPr>
            <w:r>
              <w:rPr>
                <w:rFonts w:ascii="Calibri" w:hAnsi="Calibri"/>
                <w:b w:val="0"/>
                <w:i w:val="0"/>
                <w:color w:val="212121"/>
                <w:sz w:val="19"/>
              </w:rPr>
              <w:t>Low body-mass index correlates with the tall, thin phenotype and reduced subcutaneous and mediastinal fat, factors linked to apical bleb formation and primary spontaneous pneumothorax. Undernutrition also predisposes to TB-related secondary disease.</w:t>
            </w:r>
          </w:p>
          <w:p>
            <w:pPr>
              <w:spacing w:after="40" w:before="60" w:line="259" w:lineRule="auto"/>
            </w:pPr>
            <w:r>
              <w:rPr>
                <w:rFonts w:ascii="Calibri" w:hAnsi="Calibri"/>
                <w:b w:val="0"/>
                <w:i w:val="0"/>
                <w:color w:val="212121"/>
                <w:sz w:val="19"/>
              </w:rPr>
              <w:t>Low BMI/underweight status is characteristic of the primary spontaneous pneumothorax phenotype; no specific nutrient deficiency is causal.</w:t>
            </w:r>
          </w:p>
          <w:p>
            <w:pPr>
              <w:spacing w:before="60" w:after="40"/>
            </w:pPr>
            <w:r>
              <w:rPr>
                <w:rFonts w:ascii="Calibri" w:hAnsi="Calibri"/>
                <w:b w:val="0"/>
                <w:i w:val="0"/>
                <w:color w:val="5A5A5A"/>
                <w:sz w:val="18"/>
              </w:rPr>
              <w:t>#underweight  #lowBMI  #asthenic  #undernutrition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pneumothorax / Birt–Hogg–Dubé (FLCN)</w:t>
            </w:r>
          </w:p>
        </w:tc>
        <w:tc>
          <w:tcPr>
            <w:tcW w:type="dxa" w:w="4276"/>
            <w:vAlign w:val="top"/>
          </w:tcPr>
          <w:p>
            <w:pPr>
              <w:spacing w:after="60" w:line="259" w:lineRule="auto"/>
            </w:pPr>
            <w:r>
              <w:rPr>
                <w:rFonts w:ascii="Calibri" w:hAnsi="Calibri"/>
                <w:b w:val="0"/>
                <w:i w:val="0"/>
                <w:color w:val="212121"/>
                <w:sz w:val="19"/>
              </w:rPr>
              <w:t>Mutations in the folliculin (FLCN) gene cause Birt–Hogg–Dubé syndrome with basal lung cysts, skin fibrofolliculomas and renal tumours; a strong family history of pneumothorax warrants genetic evaluation. Familial clustering points to an inherited connective-tissue basis.</w:t>
            </w:r>
          </w:p>
          <w:p>
            <w:pPr>
              <w:spacing w:after="40" w:before="60" w:line="259" w:lineRule="auto"/>
            </w:pPr>
            <w:r>
              <w:rPr>
                <w:rFonts w:ascii="Calibri" w:hAnsi="Calibri"/>
                <w:b w:val="0"/>
                <w:i w:val="0"/>
                <w:color w:val="212121"/>
                <w:sz w:val="19"/>
              </w:rPr>
              <w:t>Spontaneous pneumothorax occurs in about 38% of Birt–Hogg–Dubé patients (cystic lung disease in ~84%); roughly 11.5% of spontaneous pneumothoraces arise in families.</w:t>
            </w:r>
          </w:p>
          <w:p>
            <w:pPr>
              <w:spacing w:after="40" w:line="252" w:lineRule="auto"/>
            </w:pPr>
            <w:hyperlink r:id="rId16">
              <w:r>
                <w:rPr>
                  <w:rFonts w:ascii="Calibri" w:hAnsi="Calibri" w:cs="Calibri"/>
                  <w:sz w:val="18"/>
                  <w:color w:val="1155CC"/>
                  <w:u w:val="single"/>
                </w:rPr>
                <w:t xml:space="preserve">pmc.ncbi.nlm.nih.gov — Birt–Hogg–Dubé &amp; pneumothorax</w:t>
              </w:r>
            </w:hyperlink>
          </w:p>
          <w:p>
            <w:pPr>
              <w:spacing w:before="60" w:after="40"/>
            </w:pPr>
            <w:r>
              <w:rPr>
                <w:rFonts w:ascii="Calibri" w:hAnsi="Calibri"/>
                <w:b w:val="0"/>
                <w:i w:val="0"/>
                <w:color w:val="5A5A5A"/>
                <w:sz w:val="18"/>
              </w:rPr>
              <w:t>#FLCN  #BirtHoggDube  #familial  #lungcysts  #genetic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Connective-tissue disorder</w:t>
            </w:r>
          </w:p>
        </w:tc>
        <w:tc>
          <w:tcPr>
            <w:tcW w:type="dxa" w:w="2160"/>
            <w:vAlign w:val="top"/>
          </w:tcPr>
          <w:p>
            <w:pPr>
              <w:spacing w:after="40" w:before="0" w:line="259" w:lineRule="auto"/>
            </w:pPr>
            <w:r>
              <w:rPr>
                <w:rFonts w:ascii="Calibri" w:hAnsi="Calibri"/>
                <w:b w:val="0"/>
                <w:i w:val="0"/>
                <w:color w:val="212121"/>
                <w:sz w:val="19"/>
              </w:rPr>
              <w:t>Marfan / Ehlers–Danlos syndrome</w:t>
            </w:r>
          </w:p>
        </w:tc>
        <w:tc>
          <w:tcPr>
            <w:tcW w:type="dxa" w:w="4276"/>
            <w:vAlign w:val="top"/>
          </w:tcPr>
          <w:p>
            <w:pPr>
              <w:spacing w:after="60" w:line="259" w:lineRule="auto"/>
            </w:pPr>
            <w:r>
              <w:rPr>
                <w:rFonts w:ascii="Calibri" w:hAnsi="Calibri"/>
                <w:b w:val="0"/>
                <w:i w:val="0"/>
                <w:color w:val="212121"/>
                <w:sz w:val="19"/>
              </w:rPr>
              <w:t>Heritable connective-tissue disorders produce abnormal elastin/collagen and apical bullae, greatly increasing spontaneous and recurrent pneumothorax risk in tall, hypermobile young patients.</w:t>
            </w:r>
          </w:p>
          <w:p>
            <w:pPr>
              <w:spacing w:after="40" w:before="60" w:line="259" w:lineRule="auto"/>
            </w:pPr>
            <w:r>
              <w:rPr>
                <w:rFonts w:ascii="Calibri" w:hAnsi="Calibri"/>
                <w:b w:val="0"/>
                <w:i w:val="0"/>
                <w:color w:val="212121"/>
                <w:sz w:val="19"/>
              </w:rPr>
              <w:t>Marfan and Ehlers–Danlos syndromes are established connective-tissue causes of secondary spontaneous pneumothorax.</w:t>
            </w:r>
          </w:p>
          <w:p>
            <w:pPr>
              <w:spacing w:after="40" w:line="252" w:lineRule="auto"/>
            </w:pPr>
            <w:hyperlink r:id="rId9">
              <w:r>
                <w:rPr>
                  <w:rFonts w:ascii="Calibri" w:hAnsi="Calibri" w:cs="Calibri"/>
                  <w:sz w:val="18"/>
                  <w:color w:val="1155CC"/>
                  <w:u w:val="single"/>
                </w:rPr>
                <w:t xml:space="preserve">ncbi.nlm.nih.gov — StatPearls: Spontaneous Pneumothorax</w:t>
              </w:r>
            </w:hyperlink>
          </w:p>
          <w:p>
            <w:pPr>
              <w:spacing w:before="60" w:after="40"/>
            </w:pPr>
            <w:r>
              <w:rPr>
                <w:rFonts w:ascii="Calibri" w:hAnsi="Calibri"/>
                <w:b w:val="0"/>
                <w:i w:val="0"/>
                <w:color w:val="5A5A5A"/>
                <w:sz w:val="18"/>
              </w:rPr>
              <w:t>#Marfan  #EhlersDanlos  #connectivetissue  #bullae  #tallstature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COPD / emphysema</w:t>
            </w:r>
          </w:p>
        </w:tc>
        <w:tc>
          <w:tcPr>
            <w:tcW w:type="dxa" w:w="2160"/>
            <w:vAlign w:val="top"/>
          </w:tcPr>
          <w:p>
            <w:pPr>
              <w:spacing w:after="40" w:before="0" w:line="259" w:lineRule="auto"/>
            </w:pPr>
            <w:r>
              <w:rPr>
                <w:rFonts w:ascii="Calibri" w:hAnsi="Calibri"/>
                <w:b w:val="0"/>
                <w:i w:val="0"/>
                <w:color w:val="212121"/>
                <w:sz w:val="19"/>
              </w:rPr>
              <w:t>Patients with COPD and emphysema</w:t>
            </w:r>
          </w:p>
        </w:tc>
        <w:tc>
          <w:tcPr>
            <w:tcW w:type="dxa" w:w="4276"/>
            <w:vAlign w:val="top"/>
          </w:tcPr>
          <w:p>
            <w:pPr>
              <w:spacing w:after="60" w:line="259" w:lineRule="auto"/>
            </w:pPr>
            <w:r>
              <w:rPr>
                <w:rFonts w:ascii="Calibri" w:hAnsi="Calibri"/>
                <w:b w:val="0"/>
                <w:i w:val="0"/>
                <w:color w:val="212121"/>
                <w:sz w:val="19"/>
              </w:rPr>
              <w:t>Destruction of alveolar walls and formation of large bullae make the lung fragile, so COPD is the leading cause of secondary spontaneous pneumothorax and predicts a persistent air leak and poor tolerance.</w:t>
            </w:r>
          </w:p>
          <w:p>
            <w:pPr>
              <w:spacing w:after="40" w:before="60" w:line="259" w:lineRule="auto"/>
            </w:pPr>
            <w:r>
              <w:rPr>
                <w:rFonts w:ascii="Calibri" w:hAnsi="Calibri"/>
                <w:b w:val="0"/>
                <w:i w:val="0"/>
                <w:color w:val="212121"/>
                <w:sz w:val="19"/>
              </w:rPr>
              <w:t>India's pooled adult COPD prevalence is about 7.4% (11.4% in men); COPD/emphysema underlay 53.1% of secondary pneumothoraces in a Central India series.</w:t>
            </w:r>
          </w:p>
          <w:p>
            <w:pPr>
              <w:spacing w:after="40" w:line="252" w:lineRule="auto"/>
            </w:pPr>
            <w:hyperlink r:id="rId17">
              <w:r>
                <w:rPr>
                  <w:rFonts w:ascii="Calibri" w:hAnsi="Calibri" w:cs="Calibri"/>
                  <w:sz w:val="18"/>
                  <w:color w:val="1155CC"/>
                  <w:u w:val="single"/>
                </w:rPr>
                <w:t xml:space="preserve">pmc.ncbi.nlm.nih.gov — COPD prevalence in India (meta-analysis)</w:t>
              </w:r>
            </w:hyperlink>
          </w:p>
          <w:p>
            <w:pPr>
              <w:spacing w:before="60" w:after="40"/>
            </w:pPr>
            <w:r>
              <w:rPr>
                <w:rFonts w:ascii="Calibri" w:hAnsi="Calibri"/>
                <w:b w:val="0"/>
                <w:i w:val="0"/>
                <w:color w:val="5A5A5A"/>
                <w:sz w:val="18"/>
              </w:rPr>
              <w:t>#COPD  #emphysema  #bullae  #SSP  #airleak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Active or healed pulmonary TB</w:t>
            </w:r>
          </w:p>
        </w:tc>
        <w:tc>
          <w:tcPr>
            <w:tcW w:type="dxa" w:w="4276"/>
            <w:vAlign w:val="top"/>
          </w:tcPr>
          <w:p>
            <w:pPr>
              <w:spacing w:after="60" w:line="259" w:lineRule="auto"/>
            </w:pPr>
            <w:r>
              <w:rPr>
                <w:rFonts w:ascii="Calibri" w:hAnsi="Calibri"/>
                <w:b w:val="0"/>
                <w:i w:val="0"/>
                <w:color w:val="212121"/>
                <w:sz w:val="19"/>
              </w:rPr>
              <w:t>Cavitation, necrosis and fibrotic traction from tuberculosis rupture into the pleural space, a leading cause of secondary pneumothorax in India that can produce pyopneumothorax and bronchopleural fistula.</w:t>
            </w:r>
          </w:p>
          <w:p>
            <w:pPr>
              <w:spacing w:after="40" w:before="60" w:line="259" w:lineRule="auto"/>
            </w:pPr>
            <w:r>
              <w:rPr>
                <w:rFonts w:ascii="Calibri" w:hAnsi="Calibri"/>
                <w:b w:val="0"/>
                <w:i w:val="0"/>
                <w:color w:val="212121"/>
                <w:sz w:val="19"/>
              </w:rPr>
              <w:t>Active TB (15.6%) and healed TB (12.5%) together accounted for ≈28% of secondary pneumothoraces in a Central India cohort.</w:t>
            </w:r>
          </w:p>
          <w:p>
            <w:pPr>
              <w:spacing w:after="40" w:line="252" w:lineRule="auto"/>
            </w:pPr>
            <w:hyperlink r:id="rId10">
              <w:r>
                <w:rPr>
                  <w:rFonts w:ascii="Calibri" w:hAnsi="Calibri" w:cs="Calibri"/>
                  <w:sz w:val="18"/>
                  <w:color w:val="1155CC"/>
                  <w:u w:val="single"/>
                </w:rPr>
                <w:t xml:space="preserve">pmc.ncbi.nlm.nih.gov — Central India pneumothorax study</w:t>
              </w:r>
            </w:hyperlink>
          </w:p>
          <w:p>
            <w:pPr>
              <w:spacing w:before="60" w:after="40"/>
            </w:pPr>
            <w:r>
              <w:rPr>
                <w:rFonts w:ascii="Calibri" w:hAnsi="Calibri"/>
                <w:b w:val="0"/>
                <w:i w:val="0"/>
                <w:color w:val="5A5A5A"/>
                <w:sz w:val="18"/>
              </w:rPr>
              <w:t>#tuberculosis  #cavitary  #pyopneumothorax  #fistula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Asthma</w:t>
            </w:r>
          </w:p>
        </w:tc>
        <w:tc>
          <w:tcPr>
            <w:tcW w:type="dxa" w:w="2160"/>
            <w:vAlign w:val="top"/>
          </w:tcPr>
          <w:p>
            <w:pPr>
              <w:spacing w:after="40" w:before="0" w:line="259" w:lineRule="auto"/>
            </w:pPr>
            <w:r>
              <w:rPr>
                <w:rFonts w:ascii="Calibri" w:hAnsi="Calibri"/>
                <w:b w:val="0"/>
                <w:i w:val="0"/>
                <w:color w:val="212121"/>
                <w:sz w:val="19"/>
              </w:rPr>
              <w:t>Patients with bronchial asthma</w:t>
            </w:r>
          </w:p>
        </w:tc>
        <w:tc>
          <w:tcPr>
            <w:tcW w:type="dxa" w:w="4276"/>
            <w:vAlign w:val="top"/>
          </w:tcPr>
          <w:p>
            <w:pPr>
              <w:spacing w:after="60" w:line="259" w:lineRule="auto"/>
            </w:pPr>
            <w:r>
              <w:rPr>
                <w:rFonts w:ascii="Calibri" w:hAnsi="Calibri"/>
                <w:b w:val="0"/>
                <w:i w:val="0"/>
                <w:color w:val="212121"/>
                <w:sz w:val="19"/>
              </w:rPr>
              <w:t>Air-trapping and dynamic hyperinflation during acute severe asthma raise intra-alveolar pressure and can rupture alveoli, causing pneumothorax and pneumomediastinum.</w:t>
            </w:r>
          </w:p>
          <w:p>
            <w:pPr>
              <w:spacing w:after="40" w:before="60" w:line="259" w:lineRule="auto"/>
            </w:pPr>
            <w:r>
              <w:rPr>
                <w:rFonts w:ascii="Calibri" w:hAnsi="Calibri"/>
                <w:b w:val="0"/>
                <w:i w:val="0"/>
                <w:color w:val="212121"/>
                <w:sz w:val="19"/>
              </w:rPr>
              <w:t>Bronchial asthma is a recognised contributor to secondary spontaneous pneumothorax, especially during severe exacerbations.</w:t>
            </w:r>
          </w:p>
          <w:p>
            <w:pPr>
              <w:spacing w:after="40" w:line="252" w:lineRule="auto"/>
            </w:pPr>
            <w:hyperlink r:id="rId10">
              <w:r>
                <w:rPr>
                  <w:rFonts w:ascii="Calibri" w:hAnsi="Calibri" w:cs="Calibri"/>
                  <w:sz w:val="18"/>
                  <w:color w:val="1155CC"/>
                  <w:u w:val="single"/>
                </w:rPr>
                <w:t xml:space="preserve">pmc.ncbi.nlm.nih.gov — Central India pneumothorax study</w:t>
              </w:r>
            </w:hyperlink>
          </w:p>
          <w:p>
            <w:pPr>
              <w:spacing w:before="60" w:after="40"/>
            </w:pPr>
            <w:r>
              <w:rPr>
                <w:rFonts w:ascii="Calibri" w:hAnsi="Calibri"/>
                <w:b w:val="0"/>
                <w:i w:val="0"/>
                <w:color w:val="5A5A5A"/>
                <w:sz w:val="18"/>
              </w:rPr>
              <w:t>#asthma  #airtrapping  #hyperinflation  #exacerbation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Interstitial lung disease</w:t>
            </w:r>
          </w:p>
        </w:tc>
        <w:tc>
          <w:tcPr>
            <w:tcW w:type="dxa" w:w="2160"/>
            <w:vAlign w:val="top"/>
          </w:tcPr>
          <w:p>
            <w:pPr>
              <w:spacing w:after="40" w:before="0" w:line="259" w:lineRule="auto"/>
            </w:pPr>
            <w:r>
              <w:rPr>
                <w:rFonts w:ascii="Calibri" w:hAnsi="Calibri"/>
                <w:b w:val="0"/>
                <w:i w:val="0"/>
                <w:color w:val="212121"/>
                <w:sz w:val="19"/>
              </w:rPr>
              <w:t>Pulmonary fibrosis / ILD</w:t>
            </w:r>
          </w:p>
        </w:tc>
        <w:tc>
          <w:tcPr>
            <w:tcW w:type="dxa" w:w="4276"/>
            <w:vAlign w:val="top"/>
          </w:tcPr>
          <w:p>
            <w:pPr>
              <w:spacing w:after="60" w:line="259" w:lineRule="auto"/>
            </w:pPr>
            <w:r>
              <w:rPr>
                <w:rFonts w:ascii="Calibri" w:hAnsi="Calibri"/>
                <w:b w:val="0"/>
                <w:i w:val="0"/>
                <w:color w:val="212121"/>
                <w:sz w:val="19"/>
              </w:rPr>
              <w:t>Honeycomb cysts and traction bronchiectasis in fibrotic lung create rigid, fragile parenchyma; pneumothorax in ILD is often refractory, with persistent air leaks and high mortality.</w:t>
            </w:r>
          </w:p>
          <w:p>
            <w:pPr>
              <w:spacing w:after="40" w:before="60" w:line="259" w:lineRule="auto"/>
            </w:pPr>
            <w:r>
              <w:rPr>
                <w:rFonts w:ascii="Calibri" w:hAnsi="Calibri"/>
                <w:b w:val="0"/>
                <w:i w:val="0"/>
                <w:color w:val="212121"/>
                <w:sz w:val="19"/>
              </w:rPr>
              <w:t>Pneumothorax in interstitial lung disease carries a poor prognosis, with recurrence approaching or exceeding that of other secondary causes.</w:t>
            </w:r>
          </w:p>
          <w:p>
            <w:pPr>
              <w:spacing w:after="40" w:line="252" w:lineRule="auto"/>
            </w:pPr>
            <w:hyperlink r:id="rId9">
              <w:r>
                <w:rPr>
                  <w:rFonts w:ascii="Calibri" w:hAnsi="Calibri" w:cs="Calibri"/>
                  <w:sz w:val="18"/>
                  <w:color w:val="1155CC"/>
                  <w:u w:val="single"/>
                </w:rPr>
                <w:t xml:space="preserve">ncbi.nlm.nih.gov — StatPearls: Spontaneous Pneumothorax</w:t>
              </w:r>
            </w:hyperlink>
          </w:p>
          <w:p>
            <w:pPr>
              <w:spacing w:before="60" w:after="40"/>
            </w:pPr>
            <w:r>
              <w:rPr>
                <w:rFonts w:ascii="Calibri" w:hAnsi="Calibri"/>
                <w:b w:val="0"/>
                <w:i w:val="0"/>
                <w:color w:val="5A5A5A"/>
                <w:sz w:val="18"/>
              </w:rPr>
              <w:t>#ILD  #pulmonaryfibrosis  #honeycomb  #refractory  #airleak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pneumothorax</w:t>
            </w:r>
          </w:p>
        </w:tc>
        <w:tc>
          <w:tcPr>
            <w:tcW w:type="dxa" w:w="2160"/>
            <w:vAlign w:val="top"/>
          </w:tcPr>
          <w:p>
            <w:pPr>
              <w:spacing w:after="40" w:before="0" w:line="259" w:lineRule="auto"/>
            </w:pPr>
            <w:r>
              <w:rPr>
                <w:rFonts w:ascii="Calibri" w:hAnsi="Calibri"/>
                <w:b w:val="0"/>
                <w:i w:val="0"/>
                <w:color w:val="212121"/>
                <w:sz w:val="19"/>
              </w:rPr>
              <w:t>Patients with a previous pneumothorax</w:t>
            </w:r>
          </w:p>
        </w:tc>
        <w:tc>
          <w:tcPr>
            <w:tcW w:type="dxa" w:w="4276"/>
            <w:vAlign w:val="top"/>
          </w:tcPr>
          <w:p>
            <w:pPr>
              <w:spacing w:after="60" w:line="259" w:lineRule="auto"/>
            </w:pPr>
            <w:r>
              <w:rPr>
                <w:rFonts w:ascii="Calibri" w:hAnsi="Calibri"/>
                <w:b w:val="0"/>
                <w:i w:val="0"/>
                <w:color w:val="212121"/>
                <w:sz w:val="19"/>
              </w:rPr>
              <w:t>A first spontaneous pneumothorax carries a substantial recurrence risk, highest in continuing smokers and those with underlying lung disease; recurrence is a key indication for definitive surgery (pleurodesis/pleurectomy).</w:t>
            </w:r>
          </w:p>
          <w:p>
            <w:pPr>
              <w:spacing w:after="40" w:before="60" w:line="259" w:lineRule="auto"/>
            </w:pPr>
            <w:r>
              <w:rPr>
                <w:rFonts w:ascii="Calibri" w:hAnsi="Calibri"/>
                <w:b w:val="0"/>
                <w:i w:val="0"/>
                <w:color w:val="212121"/>
                <w:sz w:val="19"/>
              </w:rPr>
              <w:t>Primary spontaneous pneumothorax recurs in roughly 20–32%, while secondary pneumothorax recurrence approaches 43%, mostly within the first year.</w:t>
            </w:r>
          </w:p>
          <w:p>
            <w:pPr>
              <w:spacing w:after="40" w:line="252" w:lineRule="auto"/>
            </w:pPr>
            <w:hyperlink r:id="rId9">
              <w:r>
                <w:rPr>
                  <w:rFonts w:ascii="Calibri" w:hAnsi="Calibri" w:cs="Calibri"/>
                  <w:sz w:val="18"/>
                  <w:color w:val="1155CC"/>
                  <w:u w:val="single"/>
                </w:rPr>
                <w:t xml:space="preserve">ncbi.nlm.nih.gov — StatPearls: Spontaneous Pneumothorax</w:t>
              </w:r>
            </w:hyperlink>
          </w:p>
          <w:p>
            <w:pPr>
              <w:spacing w:before="60" w:after="40"/>
            </w:pPr>
            <w:r>
              <w:rPr>
                <w:rFonts w:ascii="Calibri" w:hAnsi="Calibri"/>
                <w:b w:val="0"/>
                <w:i w:val="0"/>
                <w:color w:val="5A5A5A"/>
                <w:sz w:val="18"/>
              </w:rPr>
              <w:t>#recurrence  #pleurodesis  #VATS  #smokingcessation  #followup</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Most primary spontaneous pneumothoraces actually occur at REST rather than during exertion, but strenuous straining, heavy lifting and Valsalva can precipitate bleb rupture. After an episode, vigorous exercise and contact sports should be deferred until healed.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specific food causes pneumothorax; however, a low body-mass index/underweight state is part of the primary spontaneous pneumothorax phenotype, and undernutrition predisposes to TB-related secondary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Positive-pressure sleep therapy (CPAP) is theoretically avoided immediately after a pneumothorax, but sleep itself is not a recognised risk factor.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the single strongest modifiable risk factor, raising lifetime risk roughly 9-fold in women and 22-fold in men with a clear dose–response; cannabis and vaping add early bullous disease and more severe presentations.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Weak and indirect association — chiefly via chronic cough, vomiting/retching (rarely oesophageal rupture) and malnutrition; alcohol is not an independent risk factor for pneumothorax.</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but anxiety and hyperventilation amplify perceived dyspnoea, and the fear of recurrence after a first episode can significantly affect quality of life and activity.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hydration status and pneumothorax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pneumothorax risk.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Relevant indirectly — preventing respiratory infections (TB, pneumonia, Pneumocystis) reduces secondary pneumothorax, and sterile technique/drain care prevents empyema and pyopneumothorax after intervention.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Highly relevant: commercial air travel, scuba diving, high-altitude exposure, mechanical/positive-pressure ventilation (barotrauma), chest trauma and invasive thoracic procedures can all precipitate or worsen a pneumothorax.</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smoking raises risk dose-dependently and drives recurrence</w:t>
            </w:r>
          </w:p>
          <w:p>
            <w:pPr>
              <w:spacing w:after="40" w:line="252" w:lineRule="auto"/>
            </w:pPr>
            <w:hyperlink r:id="rId14">
              <w:r>
                <w:rPr>
                  <w:rFonts w:ascii="Calibri" w:hAnsi="Calibri" w:cs="Calibri"/>
                  <w:sz w:val="18"/>
                  <w:color w:val="1155CC"/>
                  <w:u w:val="single"/>
                </w:rPr>
                <w:t xml:space="preserve">https://pubmed.ncbi.nlm.nih.gov/3677805/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Cumulative exposure (pack-years)</w:t>
            </w:r>
          </w:p>
        </w:tc>
        <w:tc>
          <w:tcPr>
            <w:tcW w:type="dxa" w:w="1655"/>
            <w:vAlign w:val="top"/>
          </w:tcPr>
          <w:p>
            <w:pPr>
              <w:spacing w:after="40" w:before="0" w:line="259" w:lineRule="auto"/>
            </w:pPr>
            <w:r>
              <w:rPr>
                <w:rFonts w:ascii="Calibri" w:hAnsi="Calibri"/>
                <w:b w:val="0"/>
                <w:i w:val="0"/>
                <w:color w:val="212121"/>
                <w:sz w:val="19"/>
              </w:rPr>
              <w:t>Long-term smokers</w:t>
            </w:r>
          </w:p>
        </w:tc>
        <w:tc>
          <w:tcPr>
            <w:tcW w:type="dxa" w:w="1512"/>
            <w:vAlign w:val="top"/>
          </w:tcPr>
          <w:p>
            <w:pPr>
              <w:spacing w:after="40" w:before="0" w:line="259" w:lineRule="auto"/>
            </w:pPr>
            <w:r>
              <w:rPr>
                <w:rFonts w:ascii="Calibri" w:hAnsi="Calibri"/>
                <w:b w:val="0"/>
                <w:i w:val="0"/>
                <w:color w:val="212121"/>
                <w:sz w:val="19"/>
              </w:rPr>
              <w:t>0 pack-years</w:t>
            </w:r>
          </w:p>
        </w:tc>
        <w:tc>
          <w:tcPr>
            <w:tcW w:type="dxa" w:w="1512"/>
            <w:vAlign w:val="top"/>
          </w:tcPr>
          <w:p>
            <w:pPr>
              <w:spacing w:after="40" w:before="0" w:line="259" w:lineRule="auto"/>
            </w:pPr>
            <w:r>
              <w:rPr>
                <w:rFonts w:ascii="Calibri" w:hAnsi="Calibri"/>
                <w:b w:val="0"/>
                <w:i w:val="0"/>
                <w:color w:val="212121"/>
                <w:sz w:val="19"/>
              </w:rPr>
              <w:t>Rising with cumulative pack-years</w:t>
            </w:r>
          </w:p>
        </w:tc>
        <w:tc>
          <w:tcPr>
            <w:tcW w:type="dxa" w:w="1468"/>
            <w:vAlign w:val="top"/>
          </w:tcPr>
          <w:p>
            <w:pPr>
              <w:spacing w:after="60" w:line="259" w:lineRule="auto"/>
            </w:pPr>
            <w:r>
              <w:rPr>
                <w:rFonts w:ascii="Calibri" w:hAnsi="Calibri"/>
                <w:b w:val="0"/>
                <w:i w:val="0"/>
                <w:color w:val="212121"/>
                <w:sz w:val="19"/>
              </w:rPr>
              <w:t>Greater cumulative exposure means more bleb/emphysema burden</w:t>
            </w:r>
          </w:p>
          <w:p>
            <w:pPr>
              <w:spacing w:after="40" w:line="252" w:lineRule="auto"/>
            </w:pPr>
            <w:hyperlink r:id="rId9">
              <w:r>
                <w:rPr>
                  <w:rFonts w:ascii="Calibri" w:hAnsi="Calibri" w:cs="Calibri"/>
                  <w:sz w:val="18"/>
                  <w:color w:val="1155CC"/>
                  <w:u w:val="single"/>
                </w:rPr>
                <w:t xml:space="preserve">https://www.ncbi.nlm.nih.gov/books/NBK459302/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Cannabis exposure (dose-years)</w:t>
            </w:r>
          </w:p>
        </w:tc>
        <w:tc>
          <w:tcPr>
            <w:tcW w:type="dxa" w:w="1655"/>
            <w:vAlign w:val="top"/>
          </w:tcPr>
          <w:p>
            <w:pPr>
              <w:spacing w:after="40" w:before="0" w:line="259" w:lineRule="auto"/>
            </w:pPr>
            <w:r>
              <w:rPr>
                <w:rFonts w:ascii="Calibri" w:hAnsi="Calibri"/>
                <w:b w:val="0"/>
                <w:i w:val="0"/>
                <w:color w:val="212121"/>
                <w:sz w:val="19"/>
              </w:rPr>
              <w:t>Young cannabis smokers</w:t>
            </w:r>
          </w:p>
        </w:tc>
        <w:tc>
          <w:tcPr>
            <w:tcW w:type="dxa" w:w="1512"/>
            <w:vAlign w:val="top"/>
          </w:tcPr>
          <w:p>
            <w:pPr>
              <w:spacing w:after="40" w:before="0" w:line="259" w:lineRule="auto"/>
            </w:pPr>
            <w:r>
              <w:rPr>
                <w:rFonts w:ascii="Calibri" w:hAnsi="Calibri"/>
                <w:b w:val="0"/>
                <w:i w:val="0"/>
                <w:color w:val="212121"/>
                <w:sz w:val="19"/>
              </w:rPr>
              <w:t>0 dose-years</w:t>
            </w:r>
          </w:p>
        </w:tc>
        <w:tc>
          <w:tcPr>
            <w:tcW w:type="dxa" w:w="1512"/>
            <w:vAlign w:val="top"/>
          </w:tcPr>
          <w:p>
            <w:pPr>
              <w:spacing w:after="40" w:before="0" w:line="259" w:lineRule="auto"/>
            </w:pPr>
            <w:r>
              <w:rPr>
                <w:rFonts w:ascii="Calibri" w:hAnsi="Calibri"/>
                <w:b w:val="0"/>
                <w:i w:val="0"/>
                <w:color w:val="212121"/>
                <w:sz w:val="19"/>
              </w:rPr>
              <w:t>≥ 6.25 dose-years (high bullous-disease risk)</w:t>
            </w:r>
          </w:p>
        </w:tc>
        <w:tc>
          <w:tcPr>
            <w:tcW w:type="dxa" w:w="1468"/>
            <w:vAlign w:val="top"/>
          </w:tcPr>
          <w:p>
            <w:pPr>
              <w:spacing w:after="60" w:line="259" w:lineRule="auto"/>
            </w:pPr>
            <w:r>
              <w:rPr>
                <w:rFonts w:ascii="Calibri" w:hAnsi="Calibri"/>
                <w:b w:val="0"/>
                <w:i w:val="0"/>
                <w:color w:val="212121"/>
                <w:sz w:val="19"/>
              </w:rPr>
              <w:t>Cannabis accelerates apical bullous lung disease</w:t>
            </w:r>
          </w:p>
          <w:p>
            <w:pPr>
              <w:spacing w:after="40" w:line="252" w:lineRule="auto"/>
            </w:pPr>
            <w:hyperlink r:id="rId15">
              <w:r>
                <w:rPr>
                  <w:rFonts w:ascii="Calibri" w:hAnsi="Calibri" w:cs="Calibri"/>
                  <w:sz w:val="18"/>
                  <w:color w:val="1155CC"/>
                  <w:u w:val="single"/>
                </w:rPr>
                <w:t xml:space="preserve">https://journals.plos.org/plosone/article?id=10.1371%2Fjournal.pone.0230419</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Young adults (PSP phenotype)</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kg/m² (underweight)</w:t>
            </w:r>
          </w:p>
        </w:tc>
        <w:tc>
          <w:tcPr>
            <w:tcW w:type="dxa" w:w="1468"/>
            <w:vAlign w:val="top"/>
          </w:tcPr>
          <w:p>
            <w:pPr>
              <w:spacing w:after="40" w:before="0" w:line="259" w:lineRule="auto"/>
            </w:pPr>
            <w:r>
              <w:rPr>
                <w:rFonts w:ascii="Calibri" w:hAnsi="Calibri"/>
                <w:b w:val="0"/>
                <w:i w:val="0"/>
                <w:color w:val="212121"/>
                <w:sz w:val="19"/>
              </w:rPr>
              <w:t>Low BMI/tall-thin habitus predisposes to apical blebs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Pneumothorax size (rim of air at hilum)</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No pleural air</w:t>
            </w:r>
          </w:p>
        </w:tc>
        <w:tc>
          <w:tcPr>
            <w:tcW w:type="dxa" w:w="1512"/>
            <w:vAlign w:val="top"/>
          </w:tcPr>
          <w:p>
            <w:pPr>
              <w:spacing w:after="40" w:before="0" w:line="259" w:lineRule="auto"/>
            </w:pPr>
            <w:r>
              <w:rPr>
                <w:rFonts w:ascii="Calibri" w:hAnsi="Calibri"/>
                <w:b w:val="0"/>
                <w:i w:val="0"/>
                <w:color w:val="212121"/>
                <w:sz w:val="19"/>
              </w:rPr>
              <w:t>≥ 2 cm rim = large (BTS)</w:t>
            </w:r>
          </w:p>
        </w:tc>
        <w:tc>
          <w:tcPr>
            <w:tcW w:type="dxa" w:w="1468"/>
            <w:vAlign w:val="top"/>
          </w:tcPr>
          <w:p>
            <w:pPr>
              <w:spacing w:after="60" w:line="259" w:lineRule="auto"/>
            </w:pPr>
            <w:r>
              <w:rPr>
                <w:rFonts w:ascii="Calibri" w:hAnsi="Calibri"/>
                <w:b w:val="0"/>
                <w:i w:val="0"/>
                <w:color w:val="212121"/>
                <w:sz w:val="19"/>
              </w:rPr>
              <w:t>Guides observation vs aspiration/chest drain</w:t>
            </w:r>
          </w:p>
          <w:p>
            <w:pPr>
              <w:spacing w:after="40" w:line="252" w:lineRule="auto"/>
            </w:pPr>
            <w:hyperlink r:id="rId9">
              <w:r>
                <w:rPr>
                  <w:rFonts w:ascii="Calibri" w:hAnsi="Calibri" w:cs="Calibri"/>
                  <w:sz w:val="18"/>
                  <w:color w:val="1155CC"/>
                  <w:u w:val="single"/>
                </w:rPr>
                <w:t xml:space="preserve">https://www.ncbi.nlm.nih.gov/books/NBK459302/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Commercial air travel</w:t>
            </w:r>
          </w:p>
        </w:tc>
        <w:tc>
          <w:tcPr>
            <w:tcW w:type="dxa" w:w="1655"/>
            <w:vAlign w:val="top"/>
          </w:tcPr>
          <w:p>
            <w:pPr>
              <w:spacing w:after="40" w:before="0" w:line="259" w:lineRule="auto"/>
            </w:pPr>
            <w:r>
              <w:rPr>
                <w:rFonts w:ascii="Calibri" w:hAnsi="Calibri"/>
                <w:b w:val="0"/>
                <w:i w:val="0"/>
                <w:color w:val="212121"/>
                <w:sz w:val="19"/>
              </w:rPr>
              <w:t>Recent pneumothorax patients</w:t>
            </w:r>
          </w:p>
        </w:tc>
        <w:tc>
          <w:tcPr>
            <w:tcW w:type="dxa" w:w="1512"/>
            <w:vAlign w:val="top"/>
          </w:tcPr>
          <w:p>
            <w:pPr>
              <w:spacing w:after="40" w:before="0" w:line="259" w:lineRule="auto"/>
            </w:pPr>
            <w:r>
              <w:rPr>
                <w:rFonts w:ascii="Calibri" w:hAnsi="Calibri"/>
                <w:b w:val="0"/>
                <w:i w:val="0"/>
                <w:color w:val="212121"/>
                <w:sz w:val="19"/>
              </w:rPr>
              <w:t>Fly only after full radiographic resolution (commonly ≥ 1–2 weeks after)</w:t>
            </w:r>
          </w:p>
        </w:tc>
        <w:tc>
          <w:tcPr>
            <w:tcW w:type="dxa" w:w="1512"/>
            <w:vAlign w:val="top"/>
          </w:tcPr>
          <w:p>
            <w:pPr>
              <w:spacing w:after="40" w:before="0" w:line="259" w:lineRule="auto"/>
            </w:pPr>
            <w:r>
              <w:rPr>
                <w:rFonts w:ascii="Calibri" w:hAnsi="Calibri"/>
                <w:b w:val="0"/>
                <w:i w:val="0"/>
                <w:color w:val="212121"/>
                <w:sz w:val="19"/>
              </w:rPr>
              <w:t>Flying with any residual pleural air</w:t>
            </w:r>
          </w:p>
        </w:tc>
        <w:tc>
          <w:tcPr>
            <w:tcW w:type="dxa" w:w="1468"/>
            <w:vAlign w:val="top"/>
          </w:tcPr>
          <w:p>
            <w:pPr>
              <w:spacing w:after="60" w:line="259" w:lineRule="auto"/>
            </w:pPr>
            <w:r>
              <w:rPr>
                <w:rFonts w:ascii="Calibri" w:hAnsi="Calibri"/>
                <w:b w:val="0"/>
                <w:i w:val="0"/>
                <w:color w:val="212121"/>
                <w:sz w:val="19"/>
              </w:rPr>
              <w:t>Cabin depressurisation expands trapped air</w:t>
            </w:r>
          </w:p>
          <w:p>
            <w:pPr>
              <w:spacing w:after="40" w:line="252" w:lineRule="auto"/>
            </w:pPr>
            <w:hyperlink r:id="rId9">
              <w:r>
                <w:rPr>
                  <w:rFonts w:ascii="Calibri" w:hAnsi="Calibri" w:cs="Calibri"/>
                  <w:sz w:val="18"/>
                  <w:color w:val="1155CC"/>
                  <w:u w:val="single"/>
                </w:rPr>
                <w:t xml:space="preserve">https://www.ncbi.nlm.nih.gov/books/NBK459302/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Scuba diving</w:t>
            </w:r>
          </w:p>
        </w:tc>
        <w:tc>
          <w:tcPr>
            <w:tcW w:type="dxa" w:w="1655"/>
            <w:vAlign w:val="top"/>
          </w:tcPr>
          <w:p>
            <w:pPr>
              <w:spacing w:after="40" w:before="0" w:line="259" w:lineRule="auto"/>
            </w:pPr>
            <w:r>
              <w:rPr>
                <w:rFonts w:ascii="Calibri" w:hAnsi="Calibri"/>
                <w:b w:val="0"/>
                <w:i w:val="0"/>
                <w:color w:val="212121"/>
                <w:sz w:val="19"/>
              </w:rPr>
              <w:t>Any prior spontaneous pneumothorax</w:t>
            </w:r>
          </w:p>
        </w:tc>
        <w:tc>
          <w:tcPr>
            <w:tcW w:type="dxa" w:w="1512"/>
            <w:vAlign w:val="top"/>
          </w:tcPr>
          <w:p>
            <w:pPr>
              <w:spacing w:after="40" w:before="0" w:line="259" w:lineRule="auto"/>
            </w:pPr>
            <w:r>
              <w:rPr>
                <w:rFonts w:ascii="Calibri" w:hAnsi="Calibri"/>
                <w:b w:val="0"/>
                <w:i w:val="0"/>
                <w:color w:val="212121"/>
                <w:sz w:val="19"/>
              </w:rPr>
              <w:t>Permanent avoidance unless definitive surgery</w:t>
            </w:r>
          </w:p>
        </w:tc>
        <w:tc>
          <w:tcPr>
            <w:tcW w:type="dxa" w:w="1512"/>
            <w:vAlign w:val="top"/>
          </w:tcPr>
          <w:p>
            <w:pPr>
              <w:spacing w:after="40" w:before="0" w:line="259" w:lineRule="auto"/>
            </w:pPr>
            <w:r>
              <w:rPr>
                <w:rFonts w:ascii="Calibri" w:hAnsi="Calibri"/>
                <w:b w:val="0"/>
                <w:i w:val="0"/>
                <w:color w:val="212121"/>
                <w:sz w:val="19"/>
              </w:rPr>
              <w:t>Diving after spontaneous pneumothorax</w:t>
            </w:r>
          </w:p>
        </w:tc>
        <w:tc>
          <w:tcPr>
            <w:tcW w:type="dxa" w:w="1468"/>
            <w:vAlign w:val="top"/>
          </w:tcPr>
          <w:p>
            <w:pPr>
              <w:spacing w:after="60" w:line="259" w:lineRule="auto"/>
            </w:pPr>
            <w:r>
              <w:rPr>
                <w:rFonts w:ascii="Calibri" w:hAnsi="Calibri"/>
                <w:b w:val="0"/>
                <w:i w:val="0"/>
                <w:color w:val="212121"/>
                <w:sz w:val="19"/>
              </w:rPr>
              <w:t>Ascent barotrauma risks fatal tension pneumothorax</w:t>
            </w:r>
          </w:p>
          <w:p>
            <w:pPr>
              <w:spacing w:after="40" w:line="252" w:lineRule="auto"/>
            </w:pPr>
            <w:hyperlink r:id="rId9">
              <w:r>
                <w:rPr>
                  <w:rFonts w:ascii="Calibri" w:hAnsi="Calibri" w:cs="Calibri"/>
                  <w:sz w:val="18"/>
                  <w:color w:val="1155CC"/>
                  <w:u w:val="single"/>
                </w:rPr>
                <w:t xml:space="preserve">https://www.ncbi.nlm.nih.gov/books/NBK459302/</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Oxygen saturation (SpO₂, room air)</w:t>
            </w:r>
          </w:p>
        </w:tc>
        <w:tc>
          <w:tcPr>
            <w:tcW w:type="dxa" w:w="1655"/>
            <w:vAlign w:val="top"/>
          </w:tcPr>
          <w:p>
            <w:pPr>
              <w:spacing w:after="40" w:before="0" w:line="259" w:lineRule="auto"/>
            </w:pPr>
            <w:r>
              <w:rPr>
                <w:rFonts w:ascii="Calibri" w:hAnsi="Calibri"/>
                <w:b w:val="0"/>
                <w:i w:val="0"/>
                <w:color w:val="212121"/>
                <w:sz w:val="19"/>
              </w:rPr>
              <w:t>Symptomatic patients</w:t>
            </w:r>
          </w:p>
        </w:tc>
        <w:tc>
          <w:tcPr>
            <w:tcW w:type="dxa" w:w="1512"/>
            <w:vAlign w:val="top"/>
          </w:tcPr>
          <w:p>
            <w:pPr>
              <w:spacing w:after="40" w:before="0" w:line="259" w:lineRule="auto"/>
            </w:pPr>
            <w:r>
              <w:rPr>
                <w:rFonts w:ascii="Calibri" w:hAnsi="Calibri"/>
                <w:b w:val="0"/>
                <w:i w:val="0"/>
                <w:color w:val="212121"/>
                <w:sz w:val="19"/>
              </w:rPr>
              <w:t>≥ 94%</w:t>
            </w:r>
          </w:p>
        </w:tc>
        <w:tc>
          <w:tcPr>
            <w:tcW w:type="dxa" w:w="1512"/>
            <w:vAlign w:val="top"/>
          </w:tcPr>
          <w:p>
            <w:pPr>
              <w:spacing w:after="40" w:before="0" w:line="259" w:lineRule="auto"/>
            </w:pPr>
            <w:r>
              <w:rPr>
                <w:rFonts w:ascii="Calibri" w:hAnsi="Calibri"/>
                <w:b w:val="0"/>
                <w:i w:val="0"/>
                <w:color w:val="212121"/>
                <w:sz w:val="19"/>
              </w:rPr>
              <w:t>&lt; 92% (significant collapse/hypoxaemia)</w:t>
            </w:r>
          </w:p>
        </w:tc>
        <w:tc>
          <w:tcPr>
            <w:tcW w:type="dxa" w:w="1468"/>
            <w:vAlign w:val="top"/>
          </w:tcPr>
          <w:p>
            <w:pPr>
              <w:spacing w:after="60" w:line="259" w:lineRule="auto"/>
            </w:pPr>
            <w:r>
              <w:rPr>
                <w:rFonts w:ascii="Calibri" w:hAnsi="Calibri"/>
                <w:b w:val="0"/>
                <w:i w:val="0"/>
                <w:color w:val="212121"/>
                <w:sz w:val="19"/>
              </w:rPr>
              <w:t>Falling SpO₂ signals a large or tension pneumothorax</w:t>
            </w:r>
          </w:p>
          <w:p>
            <w:pPr>
              <w:spacing w:after="40" w:line="252" w:lineRule="auto"/>
            </w:pPr>
            <w:hyperlink r:id="rId9">
              <w:r>
                <w:rPr>
                  <w:rFonts w:ascii="Calibri" w:hAnsi="Calibri" w:cs="Calibri"/>
                  <w:sz w:val="18"/>
                  <w:color w:val="1155CC"/>
                  <w:u w:val="single"/>
                </w:rPr>
                <w:t xml:space="preserve">https://www.ncbi.nlm.nih.gov/books/NBK459302/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Respiratory rate (breaths/min)</w:t>
            </w:r>
          </w:p>
        </w:tc>
        <w:tc>
          <w:tcPr>
            <w:tcW w:type="dxa" w:w="1655"/>
            <w:vAlign w:val="top"/>
          </w:tcPr>
          <w:p>
            <w:pPr>
              <w:spacing w:after="40" w:before="0" w:line="259" w:lineRule="auto"/>
            </w:pPr>
            <w:r>
              <w:rPr>
                <w:rFonts w:ascii="Calibri" w:hAnsi="Calibri"/>
                <w:b w:val="0"/>
                <w:i w:val="0"/>
                <w:color w:val="212121"/>
                <w:sz w:val="19"/>
              </w:rPr>
              <w:t>Symptomatic patients</w:t>
            </w:r>
          </w:p>
        </w:tc>
        <w:tc>
          <w:tcPr>
            <w:tcW w:type="dxa" w:w="1512"/>
            <w:vAlign w:val="top"/>
          </w:tcPr>
          <w:p>
            <w:pPr>
              <w:spacing w:after="40" w:before="0" w:line="259" w:lineRule="auto"/>
            </w:pPr>
            <w:r>
              <w:rPr>
                <w:rFonts w:ascii="Calibri" w:hAnsi="Calibri"/>
                <w:b w:val="0"/>
                <w:i w:val="0"/>
                <w:color w:val="212121"/>
                <w:sz w:val="19"/>
              </w:rPr>
              <w:t>12–20 /min</w:t>
            </w:r>
          </w:p>
        </w:tc>
        <w:tc>
          <w:tcPr>
            <w:tcW w:type="dxa" w:w="1512"/>
            <w:vAlign w:val="top"/>
          </w:tcPr>
          <w:p>
            <w:pPr>
              <w:spacing w:after="40" w:before="0" w:line="259" w:lineRule="auto"/>
            </w:pPr>
            <w:r>
              <w:rPr>
                <w:rFonts w:ascii="Calibri" w:hAnsi="Calibri"/>
                <w:b w:val="0"/>
                <w:i w:val="0"/>
                <w:color w:val="212121"/>
                <w:sz w:val="19"/>
              </w:rPr>
              <w:t>&gt; 24 /min (tachypnoea)</w:t>
            </w:r>
          </w:p>
        </w:tc>
        <w:tc>
          <w:tcPr>
            <w:tcW w:type="dxa" w:w="1468"/>
            <w:vAlign w:val="top"/>
          </w:tcPr>
          <w:p>
            <w:pPr>
              <w:spacing w:after="60" w:line="259" w:lineRule="auto"/>
            </w:pPr>
            <w:r>
              <w:rPr>
                <w:rFonts w:ascii="Calibri" w:hAnsi="Calibri"/>
                <w:b w:val="0"/>
                <w:i w:val="0"/>
                <w:color w:val="212121"/>
                <w:sz w:val="19"/>
              </w:rPr>
              <w:t>Tachypnoea reflects respiratory distress</w:t>
            </w:r>
          </w:p>
          <w:p>
            <w:pPr>
              <w:spacing w:after="40" w:line="252" w:lineRule="auto"/>
            </w:pPr>
            <w:hyperlink r:id="rId9">
              <w:r>
                <w:rPr>
                  <w:rFonts w:ascii="Calibri" w:hAnsi="Calibri" w:cs="Calibri"/>
                  <w:sz w:val="18"/>
                  <w:color w:val="1155CC"/>
                  <w:u w:val="single"/>
                </w:rPr>
                <w:t xml:space="preserve">https://www.ncbi.nlm.nih.gov/books/NBK459302/</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Heart rate (beats/min)</w:t>
            </w:r>
          </w:p>
        </w:tc>
        <w:tc>
          <w:tcPr>
            <w:tcW w:type="dxa" w:w="1655"/>
            <w:vAlign w:val="top"/>
          </w:tcPr>
          <w:p>
            <w:pPr>
              <w:spacing w:after="40" w:before="0" w:line="259" w:lineRule="auto"/>
            </w:pPr>
            <w:r>
              <w:rPr>
                <w:rFonts w:ascii="Calibri" w:hAnsi="Calibri"/>
                <w:b w:val="0"/>
                <w:i w:val="0"/>
                <w:color w:val="212121"/>
                <w:sz w:val="19"/>
              </w:rPr>
              <w:t>Symptomatic patients</w:t>
            </w:r>
          </w:p>
        </w:tc>
        <w:tc>
          <w:tcPr>
            <w:tcW w:type="dxa" w:w="1512"/>
            <w:vAlign w:val="top"/>
          </w:tcPr>
          <w:p>
            <w:pPr>
              <w:spacing w:after="40" w:before="0" w:line="259" w:lineRule="auto"/>
            </w:pPr>
            <w:r>
              <w:rPr>
                <w:rFonts w:ascii="Calibri" w:hAnsi="Calibri"/>
                <w:b w:val="0"/>
                <w:i w:val="0"/>
                <w:color w:val="212121"/>
                <w:sz w:val="19"/>
              </w:rPr>
              <w:t>60–100 /min</w:t>
            </w:r>
          </w:p>
        </w:tc>
        <w:tc>
          <w:tcPr>
            <w:tcW w:type="dxa" w:w="1512"/>
            <w:vAlign w:val="top"/>
          </w:tcPr>
          <w:p>
            <w:pPr>
              <w:spacing w:after="40" w:before="0" w:line="259" w:lineRule="auto"/>
            </w:pPr>
            <w:r>
              <w:rPr>
                <w:rFonts w:ascii="Calibri" w:hAnsi="Calibri"/>
                <w:b w:val="0"/>
                <w:i w:val="0"/>
                <w:color w:val="212121"/>
                <w:sz w:val="19"/>
              </w:rPr>
              <w:t>&gt; 135 /min with hypotension (tension)</w:t>
            </w:r>
          </w:p>
        </w:tc>
        <w:tc>
          <w:tcPr>
            <w:tcW w:type="dxa" w:w="1468"/>
            <w:vAlign w:val="top"/>
          </w:tcPr>
          <w:p>
            <w:pPr>
              <w:spacing w:after="60" w:line="259" w:lineRule="auto"/>
            </w:pPr>
            <w:r>
              <w:rPr>
                <w:rFonts w:ascii="Calibri" w:hAnsi="Calibri"/>
                <w:b w:val="0"/>
                <w:i w:val="0"/>
                <w:color w:val="212121"/>
                <w:sz w:val="19"/>
              </w:rPr>
              <w:t>Tachycardia is the most frequent sign; hypotension = tension</w:t>
            </w:r>
          </w:p>
          <w:p>
            <w:pPr>
              <w:spacing w:after="40" w:line="252" w:lineRule="auto"/>
            </w:pPr>
            <w:hyperlink r:id="rId9">
              <w:r>
                <w:rPr>
                  <w:rFonts w:ascii="Calibri" w:hAnsi="Calibri" w:cs="Calibri"/>
                  <w:sz w:val="18"/>
                  <w:color w:val="1155CC"/>
                  <w:u w:val="single"/>
                </w:rPr>
                <w:t xml:space="preserve">https://www.ncbi.nlm.nih.gov/books/NBK459302/</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Visceral pleural line, absent peripheral lung markings</w:t>
            </w:r>
          </w:p>
        </w:tc>
        <w:tc>
          <w:tcPr>
            <w:tcW w:type="dxa" w:w="892"/>
            <w:vAlign w:val="top"/>
          </w:tcPr>
          <w:p>
            <w:pPr>
              <w:spacing w:after="40" w:before="0" w:line="259" w:lineRule="auto"/>
            </w:pPr>
            <w:r>
              <w:rPr>
                <w:rFonts w:ascii="Calibri" w:hAnsi="Calibri"/>
                <w:b w:val="0"/>
                <w:i w:val="0"/>
                <w:color w:val="212121"/>
                <w:sz w:val="16"/>
              </w:rPr>
              <w:t>Erect chest X-ray (PA)</w:t>
            </w:r>
          </w:p>
        </w:tc>
        <w:tc>
          <w:tcPr>
            <w:tcW w:type="dxa" w:w="950"/>
            <w:vAlign w:val="top"/>
          </w:tcPr>
          <w:p>
            <w:pPr>
              <w:spacing w:after="40" w:before="0" w:line="259" w:lineRule="auto"/>
            </w:pPr>
            <w:r>
              <w:rPr>
                <w:rFonts w:ascii="Calibri" w:hAnsi="Calibri"/>
                <w:b w:val="0"/>
                <w:i w:val="0"/>
                <w:color w:val="212121"/>
                <w:sz w:val="16"/>
              </w:rPr>
              <w:t>Lung markings to chest wall; no pleural line</w:t>
            </w:r>
          </w:p>
        </w:tc>
        <w:tc>
          <w:tcPr>
            <w:tcW w:type="dxa" w:w="950"/>
            <w:vAlign w:val="top"/>
          </w:tcPr>
          <w:p>
            <w:pPr>
              <w:spacing w:after="40" w:before="0" w:line="259" w:lineRule="auto"/>
            </w:pPr>
            <w:r>
              <w:rPr>
                <w:rFonts w:ascii="Calibri" w:hAnsi="Calibri"/>
                <w:b w:val="0"/>
                <w:i w:val="0"/>
                <w:color w:val="212121"/>
                <w:sz w:val="16"/>
              </w:rPr>
              <w:t>Pleural line with lucent, avascular space peripherally</w:t>
            </w:r>
          </w:p>
        </w:tc>
        <w:tc>
          <w:tcPr>
            <w:tcW w:type="dxa" w:w="1036"/>
            <w:vAlign w:val="top"/>
          </w:tcPr>
          <w:p>
            <w:pPr>
              <w:spacing w:after="40" w:before="0" w:line="259" w:lineRule="auto"/>
            </w:pPr>
            <w:r>
              <w:rPr>
                <w:rFonts w:ascii="Calibri" w:hAnsi="Calibri"/>
                <w:b w:val="0"/>
                <w:i w:val="0"/>
                <w:color w:val="212121"/>
                <w:sz w:val="16"/>
              </w:rPr>
              <w:t>First-line confirmatory test; also estimates size and mediastinal shift</w:t>
            </w:r>
          </w:p>
        </w:tc>
        <w:tc>
          <w:tcPr>
            <w:tcW w:type="dxa" w:w="1036"/>
            <w:vAlign w:val="top"/>
          </w:tcPr>
          <w:p>
            <w:pPr>
              <w:spacing w:after="40" w:before="0" w:line="259" w:lineRule="auto"/>
            </w:pPr>
            <w:r>
              <w:rPr>
                <w:rFonts w:ascii="Calibri" w:hAnsi="Calibri"/>
                <w:b w:val="0"/>
                <w:i w:val="0"/>
                <w:color w:val="212121"/>
                <w:sz w:val="16"/>
              </w:rPr>
              <w:t>All suspected pneumothorax, PSP, SSP</w:t>
            </w:r>
          </w:p>
        </w:tc>
        <w:tc>
          <w:tcPr>
            <w:tcW w:type="dxa" w:w="720"/>
            <w:vAlign w:val="top"/>
          </w:tcPr>
          <w:p>
            <w:pPr>
              <w:spacing w:after="40" w:before="0" w:line="259" w:lineRule="auto"/>
            </w:pPr>
            <w:r>
              <w:rPr>
                <w:rFonts w:ascii="Calibri" w:hAnsi="Calibri"/>
                <w:b w:val="0"/>
                <w:i w:val="0"/>
                <w:color w:val="212121"/>
                <w:sz w:val="16"/>
              </w:rPr>
              <w:t>Provoking factors; Smoking</w:t>
            </w:r>
          </w:p>
        </w:tc>
        <w:tc>
          <w:tcPr>
            <w:tcW w:type="dxa" w:w="720"/>
            <w:vAlign w:val="top"/>
          </w:tcPr>
          <w:p>
            <w:pPr>
              <w:spacing w:after="40" w:before="0" w:line="259" w:lineRule="auto"/>
            </w:pPr>
            <w:r>
              <w:rPr>
                <w:rFonts w:ascii="Calibri" w:hAnsi="Calibri"/>
                <w:b w:val="0"/>
                <w:i w:val="0"/>
                <w:color w:val="212121"/>
                <w:sz w:val="16"/>
              </w:rPr>
              <w:t>Gold standard (first-line)</w:t>
            </w:r>
          </w:p>
        </w:tc>
        <w:tc>
          <w:tcPr>
            <w:tcW w:type="dxa" w:w="720"/>
            <w:vAlign w:val="top"/>
          </w:tcPr>
          <w:p>
            <w:pPr>
              <w:spacing w:after="40" w:before="0" w:line="259" w:lineRule="auto"/>
            </w:pPr>
            <w:r>
              <w:rPr>
                <w:rFonts w:ascii="Calibri" w:hAnsi="Calibri"/>
                <w:b w:val="0"/>
                <w:i w:val="0"/>
                <w:color w:val="212121"/>
                <w:sz w:val="16"/>
              </w:rPr>
              <w:t>Erect/expiratory film improves small-PTX detection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Pleural air, blebs, bullae, underlying disease</w:t>
            </w:r>
          </w:p>
        </w:tc>
        <w:tc>
          <w:tcPr>
            <w:tcW w:type="dxa" w:w="892"/>
            <w:vAlign w:val="top"/>
          </w:tcPr>
          <w:p>
            <w:pPr>
              <w:spacing w:after="40" w:before="0" w:line="259" w:lineRule="auto"/>
            </w:pPr>
            <w:r>
              <w:rPr>
                <w:rFonts w:ascii="Calibri" w:hAnsi="Calibri"/>
                <w:b w:val="0"/>
                <w:i w:val="0"/>
                <w:color w:val="212121"/>
                <w:sz w:val="16"/>
              </w:rPr>
              <w:t>CT thorax</w:t>
            </w:r>
          </w:p>
        </w:tc>
        <w:tc>
          <w:tcPr>
            <w:tcW w:type="dxa" w:w="950"/>
            <w:vAlign w:val="top"/>
          </w:tcPr>
          <w:p>
            <w:pPr>
              <w:spacing w:after="40" w:before="0" w:line="259" w:lineRule="auto"/>
            </w:pPr>
            <w:r>
              <w:rPr>
                <w:rFonts w:ascii="Calibri" w:hAnsi="Calibri"/>
                <w:b w:val="0"/>
                <w:i w:val="0"/>
                <w:color w:val="212121"/>
                <w:sz w:val="16"/>
              </w:rPr>
              <w:t>No pleural air; normal parenchyma</w:t>
            </w:r>
          </w:p>
        </w:tc>
        <w:tc>
          <w:tcPr>
            <w:tcW w:type="dxa" w:w="950"/>
            <w:vAlign w:val="top"/>
          </w:tcPr>
          <w:p>
            <w:pPr>
              <w:spacing w:after="40" w:before="0" w:line="259" w:lineRule="auto"/>
            </w:pPr>
            <w:r>
              <w:rPr>
                <w:rFonts w:ascii="Calibri" w:hAnsi="Calibri"/>
                <w:b w:val="0"/>
                <w:i w:val="0"/>
                <w:color w:val="212121"/>
                <w:sz w:val="16"/>
              </w:rPr>
              <w:t>Pleural air ± apical blebs/bullae/fibrosis</w:t>
            </w:r>
          </w:p>
        </w:tc>
        <w:tc>
          <w:tcPr>
            <w:tcW w:type="dxa" w:w="1036"/>
            <w:vAlign w:val="top"/>
          </w:tcPr>
          <w:p>
            <w:pPr>
              <w:spacing w:after="40" w:before="0" w:line="259" w:lineRule="auto"/>
            </w:pPr>
            <w:r>
              <w:rPr>
                <w:rFonts w:ascii="Calibri" w:hAnsi="Calibri"/>
                <w:b w:val="0"/>
                <w:i w:val="0"/>
                <w:color w:val="212121"/>
                <w:sz w:val="16"/>
              </w:rPr>
              <w:t>Definitive when X-ray equivocal; characterises PSP vs SSP and pre-surgical planning</w:t>
            </w:r>
          </w:p>
        </w:tc>
        <w:tc>
          <w:tcPr>
            <w:tcW w:type="dxa" w:w="1036"/>
            <w:vAlign w:val="top"/>
          </w:tcPr>
          <w:p>
            <w:pPr>
              <w:spacing w:after="40" w:before="0" w:line="259" w:lineRule="auto"/>
            </w:pPr>
            <w:r>
              <w:rPr>
                <w:rFonts w:ascii="Calibri" w:hAnsi="Calibri"/>
                <w:b w:val="0"/>
                <w:i w:val="0"/>
                <w:color w:val="212121"/>
                <w:sz w:val="16"/>
              </w:rPr>
              <w:t>Equivocal films, recurrent/secondary PTX</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Gold standard (problem-solving)</w:t>
            </w:r>
          </w:p>
        </w:tc>
        <w:tc>
          <w:tcPr>
            <w:tcW w:type="dxa" w:w="720"/>
            <w:vAlign w:val="top"/>
          </w:tcPr>
          <w:p>
            <w:pPr>
              <w:spacing w:after="40" w:before="0" w:line="259" w:lineRule="auto"/>
            </w:pPr>
            <w:r>
              <w:rPr>
                <w:rFonts w:ascii="Calibri" w:hAnsi="Calibri"/>
                <w:b w:val="0"/>
                <w:i w:val="0"/>
                <w:color w:val="212121"/>
                <w:sz w:val="16"/>
              </w:rPr>
              <w:t>Detects small, loculated or bilateral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 ultrasound</w:t>
            </w:r>
          </w:p>
        </w:tc>
        <w:tc>
          <w:tcPr>
            <w:tcW w:type="dxa" w:w="1036"/>
            <w:vAlign w:val="top"/>
          </w:tcPr>
          <w:p>
            <w:pPr>
              <w:spacing w:after="40" w:before="0" w:line="259" w:lineRule="auto"/>
            </w:pPr>
            <w:r>
              <w:rPr>
                <w:rFonts w:ascii="Calibri" w:hAnsi="Calibri"/>
                <w:b w:val="0"/>
                <w:i w:val="0"/>
                <w:color w:val="212121"/>
                <w:sz w:val="16"/>
              </w:rPr>
              <w:t>Lung sliding, B-lines, lung point</w:t>
            </w:r>
          </w:p>
        </w:tc>
        <w:tc>
          <w:tcPr>
            <w:tcW w:type="dxa" w:w="892"/>
            <w:vAlign w:val="top"/>
          </w:tcPr>
          <w:p>
            <w:pPr>
              <w:spacing w:after="40" w:before="0" w:line="259" w:lineRule="auto"/>
            </w:pPr>
            <w:r>
              <w:rPr>
                <w:rFonts w:ascii="Calibri" w:hAnsi="Calibri"/>
                <w:b w:val="0"/>
                <w:i w:val="0"/>
                <w:color w:val="212121"/>
                <w:sz w:val="16"/>
              </w:rPr>
              <w:t>Bedside lung ultrasound</w:t>
            </w:r>
          </w:p>
        </w:tc>
        <w:tc>
          <w:tcPr>
            <w:tcW w:type="dxa" w:w="950"/>
            <w:vAlign w:val="top"/>
          </w:tcPr>
          <w:p>
            <w:pPr>
              <w:spacing w:after="40" w:before="0" w:line="259" w:lineRule="auto"/>
            </w:pPr>
            <w:r>
              <w:rPr>
                <w:rFonts w:ascii="Calibri" w:hAnsi="Calibri"/>
                <w:b w:val="0"/>
                <w:i w:val="0"/>
                <w:color w:val="212121"/>
                <w:sz w:val="16"/>
              </w:rPr>
              <w:t>Present lung sliding + B-lines; seashore sign</w:t>
            </w:r>
          </w:p>
        </w:tc>
        <w:tc>
          <w:tcPr>
            <w:tcW w:type="dxa" w:w="950"/>
            <w:vAlign w:val="top"/>
          </w:tcPr>
          <w:p>
            <w:pPr>
              <w:spacing w:after="40" w:before="0" w:line="259" w:lineRule="auto"/>
            </w:pPr>
            <w:r>
              <w:rPr>
                <w:rFonts w:ascii="Calibri" w:hAnsi="Calibri"/>
                <w:b w:val="0"/>
                <w:i w:val="0"/>
                <w:color w:val="212121"/>
                <w:sz w:val="16"/>
              </w:rPr>
              <w:t>Absent sliding/B-lines; barcode sign; lung point</w:t>
            </w:r>
          </w:p>
        </w:tc>
        <w:tc>
          <w:tcPr>
            <w:tcW w:type="dxa" w:w="1036"/>
            <w:vAlign w:val="top"/>
          </w:tcPr>
          <w:p>
            <w:pPr>
              <w:spacing w:after="40" w:before="0" w:line="259" w:lineRule="auto"/>
            </w:pPr>
            <w:r>
              <w:rPr>
                <w:rFonts w:ascii="Calibri" w:hAnsi="Calibri"/>
                <w:b w:val="0"/>
                <w:i w:val="0"/>
                <w:color w:val="212121"/>
                <w:sz w:val="16"/>
              </w:rPr>
              <w:t>Rapid bedside detection, more sensitive than supine film in trauma/critical care</w:t>
            </w:r>
          </w:p>
        </w:tc>
        <w:tc>
          <w:tcPr>
            <w:tcW w:type="dxa" w:w="1036"/>
            <w:vAlign w:val="top"/>
          </w:tcPr>
          <w:p>
            <w:pPr>
              <w:spacing w:after="40" w:before="0" w:line="259" w:lineRule="auto"/>
            </w:pPr>
            <w:r>
              <w:rPr>
                <w:rFonts w:ascii="Calibri" w:hAnsi="Calibri"/>
                <w:b w:val="0"/>
                <w:i w:val="0"/>
                <w:color w:val="212121"/>
                <w:sz w:val="16"/>
              </w:rPr>
              <w:t>Trauma, unstable, ventilated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(bedside)</w:t>
            </w:r>
          </w:p>
        </w:tc>
        <w:tc>
          <w:tcPr>
            <w:tcW w:type="dxa" w:w="720"/>
            <w:vAlign w:val="top"/>
          </w:tcPr>
          <w:p>
            <w:pPr>
              <w:spacing w:after="40" w:before="0" w:line="259" w:lineRule="auto"/>
            </w:pPr>
            <w:r>
              <w:rPr>
                <w:rFonts w:ascii="Calibri" w:hAnsi="Calibri"/>
                <w:b w:val="0"/>
                <w:i w:val="0"/>
                <w:color w:val="212121"/>
                <w:sz w:val="16"/>
              </w:rPr>
              <w:t>Lung point is highly 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PaO₂, PaCO₂, pH</w:t>
            </w:r>
          </w:p>
        </w:tc>
        <w:tc>
          <w:tcPr>
            <w:tcW w:type="dxa" w:w="892"/>
            <w:vAlign w:val="top"/>
          </w:tcPr>
          <w:p>
            <w:pPr>
              <w:spacing w:after="40" w:before="0" w:line="259" w:lineRule="auto"/>
            </w:pPr>
            <w:r>
              <w:rPr>
                <w:rFonts w:ascii="Calibri" w:hAnsi="Calibri"/>
                <w:b w:val="0"/>
                <w:i w:val="0"/>
                <w:color w:val="212121"/>
                <w:sz w:val="16"/>
              </w:rPr>
              <w:t>Arterial blood gas</w:t>
            </w:r>
          </w:p>
        </w:tc>
        <w:tc>
          <w:tcPr>
            <w:tcW w:type="dxa" w:w="950"/>
            <w:vAlign w:val="top"/>
          </w:tcPr>
          <w:p>
            <w:pPr>
              <w:spacing w:after="40" w:before="0" w:line="259" w:lineRule="auto"/>
            </w:pPr>
            <w:r>
              <w:rPr>
                <w:rFonts w:ascii="Calibri" w:hAnsi="Calibri"/>
                <w:b w:val="0"/>
                <w:i w:val="0"/>
                <w:color w:val="212121"/>
                <w:sz w:val="16"/>
              </w:rPr>
              <w:t>PaO₂ 80–100 mmHg; normal pH/PaCO₂</w:t>
            </w:r>
          </w:p>
        </w:tc>
        <w:tc>
          <w:tcPr>
            <w:tcW w:type="dxa" w:w="950"/>
            <w:vAlign w:val="top"/>
          </w:tcPr>
          <w:p>
            <w:pPr>
              <w:spacing w:after="40" w:before="0" w:line="259" w:lineRule="auto"/>
            </w:pPr>
            <w:r>
              <w:rPr>
                <w:rFonts w:ascii="Calibri" w:hAnsi="Calibri"/>
                <w:b w:val="0"/>
                <w:i w:val="0"/>
                <w:color w:val="212121"/>
                <w:sz w:val="16"/>
              </w:rPr>
              <w:t>Hypoxaemia; acute respiratory alkalosis</w:t>
            </w:r>
          </w:p>
        </w:tc>
        <w:tc>
          <w:tcPr>
            <w:tcW w:type="dxa" w:w="1036"/>
            <w:vAlign w:val="top"/>
          </w:tcPr>
          <w:p>
            <w:pPr>
              <w:spacing w:after="40" w:before="0" w:line="259" w:lineRule="auto"/>
            </w:pPr>
            <w:r>
              <w:rPr>
                <w:rFonts w:ascii="Calibri" w:hAnsi="Calibri"/>
                <w:b w:val="0"/>
                <w:i w:val="0"/>
                <w:color w:val="212121"/>
                <w:sz w:val="16"/>
              </w:rPr>
              <w:t>Quantifies gas-exchange impairment in large PTX or SSP</w:t>
            </w:r>
          </w:p>
        </w:tc>
        <w:tc>
          <w:tcPr>
            <w:tcW w:type="dxa" w:w="1036"/>
            <w:vAlign w:val="top"/>
          </w:tcPr>
          <w:p>
            <w:pPr>
              <w:spacing w:after="40" w:before="0" w:line="259" w:lineRule="auto"/>
            </w:pPr>
            <w:r>
              <w:rPr>
                <w:rFonts w:ascii="Calibri" w:hAnsi="Calibri"/>
                <w:b w:val="0"/>
                <w:i w:val="0"/>
                <w:color w:val="212121"/>
                <w:sz w:val="16"/>
              </w:rPr>
              <w:t>Breathless, hypoxaemic, SSP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required for diagnosis; guides oxygen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 monitoring</w:t>
            </w:r>
          </w:p>
        </w:tc>
        <w:tc>
          <w:tcPr>
            <w:tcW w:type="dxa" w:w="1036"/>
            <w:vAlign w:val="top"/>
          </w:tcPr>
          <w:p>
            <w:pPr>
              <w:spacing w:after="40" w:before="0" w:line="259" w:lineRule="auto"/>
            </w:pPr>
            <w:r>
              <w:rPr>
                <w:rFonts w:ascii="Calibri" w:hAnsi="Calibri"/>
                <w:b w:val="0"/>
                <w:i w:val="0"/>
                <w:color w:val="212121"/>
                <w:sz w:val="16"/>
              </w:rPr>
              <w:t>SpO₂ %</w:t>
            </w:r>
          </w:p>
        </w:tc>
        <w:tc>
          <w:tcPr>
            <w:tcW w:type="dxa" w:w="892"/>
            <w:vAlign w:val="top"/>
          </w:tcPr>
          <w:p>
            <w:pPr>
              <w:spacing w:after="40" w:before="0" w:line="259" w:lineRule="auto"/>
            </w:pPr>
            <w:r>
              <w:rPr>
                <w:rFonts w:ascii="Calibri" w:hAnsi="Calibri"/>
                <w:b w:val="0"/>
                <w:i w:val="0"/>
                <w:color w:val="212121"/>
                <w:sz w:val="16"/>
              </w:rPr>
              <w:t>Pulse oximetry</w:t>
            </w:r>
          </w:p>
        </w:tc>
        <w:tc>
          <w:tcPr>
            <w:tcW w:type="dxa" w:w="950"/>
            <w:vAlign w:val="top"/>
          </w:tcPr>
          <w:p>
            <w:pPr>
              <w:spacing w:after="40" w:before="0" w:line="259" w:lineRule="auto"/>
            </w:pPr>
            <w:r>
              <w:rPr>
                <w:rFonts w:ascii="Calibri" w:hAnsi="Calibri"/>
                <w:b w:val="0"/>
                <w:i w:val="0"/>
                <w:color w:val="212121"/>
                <w:sz w:val="16"/>
              </w:rPr>
              <w:t>≥ 94% room air</w:t>
            </w:r>
          </w:p>
        </w:tc>
        <w:tc>
          <w:tcPr>
            <w:tcW w:type="dxa" w:w="950"/>
            <w:vAlign w:val="top"/>
          </w:tcPr>
          <w:p>
            <w:pPr>
              <w:spacing w:after="40" w:before="0" w:line="259" w:lineRule="auto"/>
            </w:pPr>
            <w:r>
              <w:rPr>
                <w:rFonts w:ascii="Calibri" w:hAnsi="Calibri"/>
                <w:b w:val="0"/>
                <w:i w:val="0"/>
                <w:color w:val="212121"/>
                <w:sz w:val="16"/>
              </w:rPr>
              <w:t>&lt; 92%</w:t>
            </w:r>
          </w:p>
        </w:tc>
        <w:tc>
          <w:tcPr>
            <w:tcW w:type="dxa" w:w="1036"/>
            <w:vAlign w:val="top"/>
          </w:tcPr>
          <w:p>
            <w:pPr>
              <w:spacing w:after="40" w:before="0" w:line="259" w:lineRule="auto"/>
            </w:pPr>
            <w:r>
              <w:rPr>
                <w:rFonts w:ascii="Calibri" w:hAnsi="Calibri"/>
                <w:b w:val="0"/>
                <w:i w:val="0"/>
                <w:color w:val="212121"/>
                <w:sz w:val="16"/>
              </w:rPr>
              <w:t>Screens for hypoxaemia and tracks response to decompression</w:t>
            </w:r>
          </w:p>
        </w:tc>
        <w:tc>
          <w:tcPr>
            <w:tcW w:type="dxa" w:w="1036"/>
            <w:vAlign w:val="top"/>
          </w:tcPr>
          <w:p>
            <w:pPr>
              <w:spacing w:after="40" w:before="0" w:line="259" w:lineRule="auto"/>
            </w:pPr>
            <w:r>
              <w:rPr>
                <w:rFonts w:ascii="Calibri" w:hAnsi="Calibri"/>
                <w:b w:val="0"/>
                <w:i w:val="0"/>
                <w:color w:val="212121"/>
                <w:sz w:val="16"/>
              </w:rPr>
              <w:t>All symptomatic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Screening/monitoring</w:t>
            </w:r>
          </w:p>
        </w:tc>
        <w:tc>
          <w:tcPr>
            <w:tcW w:type="dxa" w:w="720"/>
            <w:vAlign w:val="top"/>
          </w:tcPr>
          <w:p>
            <w:pPr>
              <w:spacing w:after="40" w:before="0" w:line="259" w:lineRule="auto"/>
            </w:pPr>
            <w:r>
              <w:rPr>
                <w:rFonts w:ascii="Calibri" w:hAnsi="Calibri"/>
                <w:b w:val="0"/>
                <w:i w:val="0"/>
                <w:color w:val="212121"/>
                <w:sz w:val="16"/>
              </w:rPr>
              <w:t>Continuous monitoring in large/tension PTX</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Rate, axis, voltage</w:t>
            </w:r>
          </w:p>
        </w:tc>
        <w:tc>
          <w:tcPr>
            <w:tcW w:type="dxa" w:w="892"/>
            <w:vAlign w:val="top"/>
          </w:tcPr>
          <w:p>
            <w:pPr>
              <w:spacing w:after="40" w:before="0" w:line="259" w:lineRule="auto"/>
            </w:pPr>
            <w:r>
              <w:rPr>
                <w:rFonts w:ascii="Calibri" w:hAnsi="Calibri"/>
                <w:b w:val="0"/>
                <w:i w:val="0"/>
                <w:color w:val="212121"/>
                <w:sz w:val="16"/>
              </w:rPr>
              <w:t>ECG</w:t>
            </w:r>
          </w:p>
        </w:tc>
        <w:tc>
          <w:tcPr>
            <w:tcW w:type="dxa" w:w="950"/>
            <w:vAlign w:val="top"/>
          </w:tcPr>
          <w:p>
            <w:pPr>
              <w:spacing w:after="40" w:before="0" w:line="259" w:lineRule="auto"/>
            </w:pPr>
            <w:r>
              <w:rPr>
                <w:rFonts w:ascii="Calibri" w:hAnsi="Calibri"/>
                <w:b w:val="0"/>
                <w:i w:val="0"/>
                <w:color w:val="212121"/>
                <w:sz w:val="16"/>
              </w:rPr>
              <w:t>Normal sinus rhythm</w:t>
            </w:r>
          </w:p>
        </w:tc>
        <w:tc>
          <w:tcPr>
            <w:tcW w:type="dxa" w:w="950"/>
            <w:vAlign w:val="top"/>
          </w:tcPr>
          <w:p>
            <w:pPr>
              <w:spacing w:after="40" w:before="0" w:line="259" w:lineRule="auto"/>
            </w:pPr>
            <w:r>
              <w:rPr>
                <w:rFonts w:ascii="Calibri" w:hAnsi="Calibri"/>
                <w:b w:val="0"/>
                <w:i w:val="0"/>
                <w:color w:val="212121"/>
                <w:sz w:val="16"/>
              </w:rPr>
              <w:t>Sinus tachycardia; ± reduced voltage, axis shift (left-sided)</w:t>
            </w:r>
          </w:p>
        </w:tc>
        <w:tc>
          <w:tcPr>
            <w:tcW w:type="dxa" w:w="1036"/>
            <w:vAlign w:val="top"/>
          </w:tcPr>
          <w:p>
            <w:pPr>
              <w:spacing w:after="40" w:before="0" w:line="259" w:lineRule="auto"/>
            </w:pPr>
            <w:r>
              <w:rPr>
                <w:rFonts w:ascii="Calibri" w:hAnsi="Calibri"/>
                <w:b w:val="0"/>
                <w:i w:val="0"/>
                <w:color w:val="212121"/>
                <w:sz w:val="16"/>
              </w:rPr>
              <w:t>Excludes cardiac mimics of pleuritic chest pain</w:t>
            </w:r>
          </w:p>
        </w:tc>
        <w:tc>
          <w:tcPr>
            <w:tcW w:type="dxa" w:w="1036"/>
            <w:vAlign w:val="top"/>
          </w:tcPr>
          <w:p>
            <w:pPr>
              <w:spacing w:after="40" w:before="0" w:line="259" w:lineRule="auto"/>
            </w:pPr>
            <w:r>
              <w:rPr>
                <w:rFonts w:ascii="Calibri" w:hAnsi="Calibri"/>
                <w:b w:val="0"/>
                <w:i w:val="0"/>
                <w:color w:val="212121"/>
                <w:sz w:val="16"/>
              </w:rPr>
              <w:t>Adults with acute chest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Helps distinguish from ACS/PE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Sudden pleuritic chest pain + dyspnoea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Acute onset, often at rest</w:t>
            </w:r>
          </w:p>
        </w:tc>
        <w:tc>
          <w:tcPr>
            <w:tcW w:type="dxa" w:w="1036"/>
            <w:vAlign w:val="top"/>
          </w:tcPr>
          <w:p>
            <w:pPr>
              <w:spacing w:after="40" w:before="0" w:line="259" w:lineRule="auto"/>
            </w:pPr>
            <w:r>
              <w:rPr>
                <w:rFonts w:ascii="Calibri" w:hAnsi="Calibri"/>
                <w:b w:val="0"/>
                <w:i w:val="0"/>
                <w:color w:val="212121"/>
                <w:sz w:val="16"/>
              </w:rPr>
              <w:t>Cardinal symptom cluster of pneumothorax</w:t>
            </w:r>
          </w:p>
        </w:tc>
        <w:tc>
          <w:tcPr>
            <w:tcW w:type="dxa" w:w="1036"/>
            <w:vAlign w:val="top"/>
          </w:tcPr>
          <w:p>
            <w:pPr>
              <w:spacing w:after="40" w:before="0" w:line="259" w:lineRule="auto"/>
            </w:pPr>
            <w:r>
              <w:rPr>
                <w:rFonts w:ascii="Calibri" w:hAnsi="Calibri"/>
                <w:b w:val="0"/>
                <w:i w:val="0"/>
                <w:color w:val="212121"/>
                <w:sz w:val="16"/>
              </w:rPr>
              <w:t>Young adults, smokers, COPD/TB patients</w:t>
            </w:r>
          </w:p>
        </w:tc>
        <w:tc>
          <w:tcPr>
            <w:tcW w:type="dxa" w:w="720"/>
            <w:vAlign w:val="top"/>
          </w:tcPr>
          <w:p>
            <w:pPr>
              <w:spacing w:after="40" w:before="0" w:line="259" w:lineRule="auto"/>
            </w:pPr>
            <w:r>
              <w:rPr>
                <w:rFonts w:ascii="Calibri" w:hAnsi="Calibri"/>
                <w:b w:val="0"/>
                <w:i w:val="0"/>
                <w:color w:val="212121"/>
                <w:sz w:val="16"/>
              </w:rPr>
              <w:t>Provoking factors; 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Onset frequently sudden and at rest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Auscultation</w:t>
            </w:r>
          </w:p>
        </w:tc>
        <w:tc>
          <w:tcPr>
            <w:tcW w:type="dxa" w:w="979"/>
            <w:vAlign w:val="top"/>
          </w:tcPr>
          <w:p>
            <w:pPr>
              <w:spacing w:after="40" w:before="0" w:line="259" w:lineRule="auto"/>
            </w:pPr>
            <w:r>
              <w:rPr>
                <w:rFonts w:ascii="Calibri" w:hAnsi="Calibri"/>
                <w:b w:val="0"/>
                <w:i w:val="0"/>
                <w:color w:val="212121"/>
                <w:sz w:val="16"/>
              </w:rPr>
              <w:t>Breath sounds on affected side</w:t>
            </w:r>
          </w:p>
        </w:tc>
        <w:tc>
          <w:tcPr>
            <w:tcW w:type="dxa" w:w="950"/>
            <w:vAlign w:val="top"/>
          </w:tcPr>
          <w:p>
            <w:pPr>
              <w:spacing w:after="40" w:before="0" w:line="259" w:lineRule="auto"/>
            </w:pPr>
            <w:r>
              <w:rPr>
                <w:rFonts w:ascii="Calibri" w:hAnsi="Calibri"/>
                <w:b w:val="0"/>
                <w:i w:val="0"/>
                <w:color w:val="212121"/>
                <w:sz w:val="16"/>
              </w:rPr>
              <w:t>Vesicular, bilaterally equal</w:t>
            </w:r>
          </w:p>
        </w:tc>
        <w:tc>
          <w:tcPr>
            <w:tcW w:type="dxa" w:w="950"/>
            <w:vAlign w:val="top"/>
          </w:tcPr>
          <w:p>
            <w:pPr>
              <w:spacing w:after="40" w:before="0" w:line="259" w:lineRule="auto"/>
            </w:pPr>
            <w:r>
              <w:rPr>
                <w:rFonts w:ascii="Calibri" w:hAnsi="Calibri"/>
                <w:b w:val="0"/>
                <w:i w:val="0"/>
                <w:color w:val="212121"/>
                <w:sz w:val="16"/>
              </w:rPr>
              <w:t>Decreased or absent ipsilateral breath sounds</w:t>
            </w:r>
          </w:p>
        </w:tc>
        <w:tc>
          <w:tcPr>
            <w:tcW w:type="dxa" w:w="1036"/>
            <w:vAlign w:val="top"/>
          </w:tcPr>
          <w:p>
            <w:pPr>
              <w:spacing w:after="40" w:before="0" w:line="259" w:lineRule="auto"/>
            </w:pPr>
            <w:r>
              <w:rPr>
                <w:rFonts w:ascii="Calibri" w:hAnsi="Calibri"/>
                <w:b w:val="0"/>
                <w:i w:val="0"/>
                <w:color w:val="212121"/>
                <w:sz w:val="16"/>
              </w:rPr>
              <w:t>Air in pleural space abolishes breath-sound transmission</w:t>
            </w:r>
          </w:p>
        </w:tc>
        <w:tc>
          <w:tcPr>
            <w:tcW w:type="dxa" w:w="1036"/>
            <w:vAlign w:val="top"/>
          </w:tcPr>
          <w:p>
            <w:pPr>
              <w:spacing w:after="40" w:before="0" w:line="259" w:lineRule="auto"/>
            </w:pPr>
            <w:r>
              <w:rPr>
                <w:rFonts w:ascii="Calibri" w:hAnsi="Calibri"/>
                <w:b w:val="0"/>
                <w:i w:val="0"/>
                <w:color w:val="212121"/>
                <w:sz w:val="16"/>
              </w:rPr>
              <w:t>Large/moderate pneumothorax</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Compare both hemithoraces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Percussion</w:t>
            </w:r>
          </w:p>
        </w:tc>
        <w:tc>
          <w:tcPr>
            <w:tcW w:type="dxa" w:w="979"/>
            <w:vAlign w:val="top"/>
          </w:tcPr>
          <w:p>
            <w:pPr>
              <w:spacing w:after="40" w:before="0" w:line="259" w:lineRule="auto"/>
            </w:pPr>
            <w:r>
              <w:rPr>
                <w:rFonts w:ascii="Calibri" w:hAnsi="Calibri"/>
                <w:b w:val="0"/>
                <w:i w:val="0"/>
                <w:color w:val="212121"/>
                <w:sz w:val="16"/>
              </w:rPr>
              <w:t>Percussion note</w:t>
            </w:r>
          </w:p>
        </w:tc>
        <w:tc>
          <w:tcPr>
            <w:tcW w:type="dxa" w:w="950"/>
            <w:vAlign w:val="top"/>
          </w:tcPr>
          <w:p>
            <w:pPr>
              <w:spacing w:after="40" w:before="0" w:line="259" w:lineRule="auto"/>
            </w:pPr>
            <w:r>
              <w:rPr>
                <w:rFonts w:ascii="Calibri" w:hAnsi="Calibri"/>
                <w:b w:val="0"/>
                <w:i w:val="0"/>
                <w:color w:val="212121"/>
                <w:sz w:val="16"/>
              </w:rPr>
              <w:t>Resonant</w:t>
            </w:r>
          </w:p>
        </w:tc>
        <w:tc>
          <w:tcPr>
            <w:tcW w:type="dxa" w:w="950"/>
            <w:vAlign w:val="top"/>
          </w:tcPr>
          <w:p>
            <w:pPr>
              <w:spacing w:after="40" w:before="0" w:line="259" w:lineRule="auto"/>
            </w:pPr>
            <w:r>
              <w:rPr>
                <w:rFonts w:ascii="Calibri" w:hAnsi="Calibri"/>
                <w:b w:val="0"/>
                <w:i w:val="0"/>
                <w:color w:val="212121"/>
                <w:sz w:val="16"/>
              </w:rPr>
              <w:t>Hyperresonant ipsilaterally</w:t>
            </w:r>
          </w:p>
        </w:tc>
        <w:tc>
          <w:tcPr>
            <w:tcW w:type="dxa" w:w="1036"/>
            <w:vAlign w:val="top"/>
          </w:tcPr>
          <w:p>
            <w:pPr>
              <w:spacing w:after="40" w:before="0" w:line="259" w:lineRule="auto"/>
            </w:pPr>
            <w:r>
              <w:rPr>
                <w:rFonts w:ascii="Calibri" w:hAnsi="Calibri"/>
                <w:b w:val="0"/>
                <w:i w:val="0"/>
                <w:color w:val="212121"/>
                <w:sz w:val="16"/>
              </w:rPr>
              <w:t>Air in pleura increases resonance</w:t>
            </w:r>
          </w:p>
        </w:tc>
        <w:tc>
          <w:tcPr>
            <w:tcW w:type="dxa" w:w="1036"/>
            <w:vAlign w:val="top"/>
          </w:tcPr>
          <w:p>
            <w:pPr>
              <w:spacing w:after="40" w:before="0" w:line="259" w:lineRule="auto"/>
            </w:pPr>
            <w:r>
              <w:rPr>
                <w:rFonts w:ascii="Calibri" w:hAnsi="Calibri"/>
                <w:b w:val="0"/>
                <w:i w:val="0"/>
                <w:color w:val="212121"/>
                <w:sz w:val="16"/>
              </w:rPr>
              <w:t>Moderate–large pneumothorax</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Contrasts with dullness of effusion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Inspection &amp; palpation</w:t>
            </w:r>
          </w:p>
        </w:tc>
        <w:tc>
          <w:tcPr>
            <w:tcW w:type="dxa" w:w="979"/>
            <w:vAlign w:val="top"/>
          </w:tcPr>
          <w:p>
            <w:pPr>
              <w:spacing w:after="40" w:before="0" w:line="259" w:lineRule="auto"/>
            </w:pPr>
            <w:r>
              <w:rPr>
                <w:rFonts w:ascii="Calibri" w:hAnsi="Calibri"/>
                <w:b w:val="0"/>
                <w:i w:val="0"/>
                <w:color w:val="212121"/>
                <w:sz w:val="16"/>
              </w:rPr>
              <w:t>Chest expansion, tactile fremitus, trachea</w:t>
            </w:r>
          </w:p>
        </w:tc>
        <w:tc>
          <w:tcPr>
            <w:tcW w:type="dxa" w:w="950"/>
            <w:vAlign w:val="top"/>
          </w:tcPr>
          <w:p>
            <w:pPr>
              <w:spacing w:after="40" w:before="0" w:line="259" w:lineRule="auto"/>
            </w:pPr>
            <w:r>
              <w:rPr>
                <w:rFonts w:ascii="Calibri" w:hAnsi="Calibri"/>
                <w:b w:val="0"/>
                <w:i w:val="0"/>
                <w:color w:val="212121"/>
                <w:sz w:val="16"/>
              </w:rPr>
              <w:t>Symmetric expansion; central trachea</w:t>
            </w:r>
          </w:p>
        </w:tc>
        <w:tc>
          <w:tcPr>
            <w:tcW w:type="dxa" w:w="950"/>
            <w:vAlign w:val="top"/>
          </w:tcPr>
          <w:p>
            <w:pPr>
              <w:spacing w:after="40" w:before="0" w:line="259" w:lineRule="auto"/>
            </w:pPr>
            <w:r>
              <w:rPr>
                <w:rFonts w:ascii="Calibri" w:hAnsi="Calibri"/>
                <w:b w:val="0"/>
                <w:i w:val="0"/>
                <w:color w:val="212121"/>
                <w:sz w:val="16"/>
              </w:rPr>
              <w:t>Reduced ipsilateral expansion/fremitus; trachea deviated AWAY (tension)</w:t>
            </w:r>
          </w:p>
        </w:tc>
        <w:tc>
          <w:tcPr>
            <w:tcW w:type="dxa" w:w="1036"/>
            <w:vAlign w:val="top"/>
          </w:tcPr>
          <w:p>
            <w:pPr>
              <w:spacing w:after="40" w:before="0" w:line="259" w:lineRule="auto"/>
            </w:pPr>
            <w:r>
              <w:rPr>
                <w:rFonts w:ascii="Calibri" w:hAnsi="Calibri"/>
                <w:b w:val="0"/>
                <w:i w:val="0"/>
                <w:color w:val="212121"/>
                <w:sz w:val="16"/>
              </w:rPr>
              <w:t>Reduced movement localises side; tracheal shift flags tension</w:t>
            </w:r>
          </w:p>
        </w:tc>
        <w:tc>
          <w:tcPr>
            <w:tcW w:type="dxa" w:w="1036"/>
            <w:vAlign w:val="top"/>
          </w:tcPr>
          <w:p>
            <w:pPr>
              <w:spacing w:after="40" w:before="0" w:line="259" w:lineRule="auto"/>
            </w:pPr>
            <w:r>
              <w:rPr>
                <w:rFonts w:ascii="Calibri" w:hAnsi="Calibri"/>
                <w:b w:val="0"/>
                <w:i w:val="0"/>
                <w:color w:val="212121"/>
                <w:sz w:val="16"/>
              </w:rPr>
              <w:t>All; critical in unstable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red-flag</w:t>
            </w:r>
          </w:p>
        </w:tc>
        <w:tc>
          <w:tcPr>
            <w:tcW w:type="dxa" w:w="720"/>
            <w:vAlign w:val="top"/>
          </w:tcPr>
          <w:p>
            <w:pPr>
              <w:spacing w:after="40" w:before="0" w:line="259" w:lineRule="auto"/>
            </w:pPr>
            <w:r>
              <w:rPr>
                <w:rFonts w:ascii="Calibri" w:hAnsi="Calibri"/>
                <w:b w:val="0"/>
                <w:i w:val="0"/>
                <w:color w:val="212121"/>
                <w:sz w:val="16"/>
              </w:rPr>
              <w:t>Tracheal deviation + hypotension = decompress now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history</w:t>
            </w:r>
          </w:p>
        </w:tc>
        <w:tc>
          <w:tcPr>
            <w:tcW w:type="dxa" w:w="979"/>
            <w:vAlign w:val="top"/>
          </w:tcPr>
          <w:p>
            <w:pPr>
              <w:spacing w:after="40" w:before="0" w:line="259" w:lineRule="auto"/>
            </w:pPr>
            <w:r>
              <w:rPr>
                <w:rFonts w:ascii="Calibri" w:hAnsi="Calibri"/>
                <w:b w:val="0"/>
                <w:i w:val="0"/>
                <w:color w:val="212121"/>
                <w:sz w:val="16"/>
              </w:rPr>
              <w:t>Smoking, cannabis, occupation (diving/aviation)</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Smoking/cannabis use; barotrauma exposure</w:t>
            </w:r>
          </w:p>
        </w:tc>
        <w:tc>
          <w:tcPr>
            <w:tcW w:type="dxa" w:w="1036"/>
            <w:vAlign w:val="top"/>
          </w:tcPr>
          <w:p>
            <w:pPr>
              <w:spacing w:after="40" w:before="0" w:line="259" w:lineRule="auto"/>
            </w:pPr>
            <w:r>
              <w:rPr>
                <w:rFonts w:ascii="Calibri" w:hAnsi="Calibri"/>
                <w:b w:val="0"/>
                <w:i w:val="0"/>
                <w:color w:val="212121"/>
                <w:sz w:val="16"/>
              </w:rPr>
              <w:t>Identifies modifiable drivers and provoking factors</w:t>
            </w:r>
          </w:p>
        </w:tc>
        <w:tc>
          <w:tcPr>
            <w:tcW w:type="dxa" w:w="1036"/>
            <w:vAlign w:val="top"/>
          </w:tcPr>
          <w:p>
            <w:pPr>
              <w:spacing w:after="40" w:before="0" w:line="259" w:lineRule="auto"/>
            </w:pPr>
            <w:r>
              <w:rPr>
                <w:rFonts w:ascii="Calibri" w:hAnsi="Calibri"/>
                <w:b w:val="0"/>
                <w:i w:val="0"/>
                <w:color w:val="212121"/>
                <w:sz w:val="16"/>
              </w:rPr>
              <w:t>Smokers, divers, pilots, cannabis users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cessation and activity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syndromic history</w:t>
            </w:r>
          </w:p>
        </w:tc>
        <w:tc>
          <w:tcPr>
            <w:tcW w:type="dxa" w:w="979"/>
            <w:vAlign w:val="top"/>
          </w:tcPr>
          <w:p>
            <w:pPr>
              <w:spacing w:after="40" w:before="0" w:line="259" w:lineRule="auto"/>
            </w:pPr>
            <w:r>
              <w:rPr>
                <w:rFonts w:ascii="Calibri" w:hAnsi="Calibri"/>
                <w:b w:val="0"/>
                <w:i w:val="0"/>
                <w:color w:val="212121"/>
                <w:sz w:val="16"/>
              </w:rPr>
              <w:t>Familial PTX, Marfan/BHD features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Family history of PTX; skin/renal/skeletal stigmata</w:t>
            </w:r>
          </w:p>
        </w:tc>
        <w:tc>
          <w:tcPr>
            <w:tcW w:type="dxa" w:w="1036"/>
            <w:vAlign w:val="top"/>
          </w:tcPr>
          <w:p>
            <w:pPr>
              <w:spacing w:after="40" w:before="0" w:line="259" w:lineRule="auto"/>
            </w:pPr>
            <w:r>
              <w:rPr>
                <w:rFonts w:ascii="Calibri" w:hAnsi="Calibri"/>
                <w:b w:val="0"/>
                <w:i w:val="0"/>
                <w:color w:val="212121"/>
                <w:sz w:val="16"/>
              </w:rPr>
              <w:t>Points to FLCN/Birt–Hogg–Dubé or connective-tissue disorder</w:t>
            </w:r>
          </w:p>
        </w:tc>
        <w:tc>
          <w:tcPr>
            <w:tcW w:type="dxa" w:w="1036"/>
            <w:vAlign w:val="top"/>
          </w:tcPr>
          <w:p>
            <w:pPr>
              <w:spacing w:after="40" w:before="0" w:line="259" w:lineRule="auto"/>
            </w:pPr>
            <w:r>
              <w:rPr>
                <w:rFonts w:ascii="Calibri" w:hAnsi="Calibri"/>
                <w:b w:val="0"/>
                <w:i w:val="0"/>
                <w:color w:val="212121"/>
                <w:sz w:val="16"/>
              </w:rPr>
              <w:t>Recurrent/young/familial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Consider genetic 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history</w:t>
            </w:r>
          </w:p>
        </w:tc>
        <w:tc>
          <w:tcPr>
            <w:tcW w:type="dxa" w:w="979"/>
            <w:vAlign w:val="top"/>
          </w:tcPr>
          <w:p>
            <w:pPr>
              <w:spacing w:after="40" w:before="0" w:line="259" w:lineRule="auto"/>
            </w:pPr>
            <w:r>
              <w:rPr>
                <w:rFonts w:ascii="Calibri" w:hAnsi="Calibri"/>
                <w:b w:val="0"/>
                <w:i w:val="0"/>
                <w:color w:val="212121"/>
                <w:sz w:val="16"/>
              </w:rPr>
              <w:t>Timing relative to menses</w:t>
            </w:r>
          </w:p>
        </w:tc>
        <w:tc>
          <w:tcPr>
            <w:tcW w:type="dxa" w:w="950"/>
            <w:vAlign w:val="top"/>
          </w:tcPr>
          <w:p>
            <w:pPr>
              <w:spacing w:after="40" w:before="0" w:line="259" w:lineRule="auto"/>
            </w:pPr>
            <w:r>
              <w:rPr>
                <w:rFonts w:ascii="Calibri" w:hAnsi="Calibri"/>
                <w:b w:val="0"/>
                <w:i w:val="0"/>
                <w:color w:val="212121"/>
                <w:sz w:val="16"/>
              </w:rPr>
              <w:t>No temporal link</w:t>
            </w:r>
          </w:p>
        </w:tc>
        <w:tc>
          <w:tcPr>
            <w:tcW w:type="dxa" w:w="950"/>
            <w:vAlign w:val="top"/>
          </w:tcPr>
          <w:p>
            <w:pPr>
              <w:spacing w:after="40" w:before="0" w:line="259" w:lineRule="auto"/>
            </w:pPr>
            <w:r>
              <w:rPr>
                <w:rFonts w:ascii="Calibri" w:hAnsi="Calibri"/>
                <w:b w:val="0"/>
                <w:i w:val="0"/>
                <w:color w:val="212121"/>
                <w:sz w:val="16"/>
              </w:rPr>
              <w:t>Recurrent right-sided PTX within 72 h of menses</w:t>
            </w:r>
          </w:p>
        </w:tc>
        <w:tc>
          <w:tcPr>
            <w:tcW w:type="dxa" w:w="1036"/>
            <w:vAlign w:val="top"/>
          </w:tcPr>
          <w:p>
            <w:pPr>
              <w:spacing w:after="40" w:before="0" w:line="259" w:lineRule="auto"/>
            </w:pPr>
            <w:r>
              <w:rPr>
                <w:rFonts w:ascii="Calibri" w:hAnsi="Calibri"/>
                <w:b w:val="0"/>
                <w:i w:val="0"/>
                <w:color w:val="212121"/>
                <w:sz w:val="16"/>
              </w:rPr>
              <w:t>Suggests catamenial pneumothorax / thoracic endometriosis</w:t>
            </w:r>
          </w:p>
        </w:tc>
        <w:tc>
          <w:tcPr>
            <w:tcW w:type="dxa" w:w="1036"/>
            <w:vAlign w:val="top"/>
          </w:tcPr>
          <w:p>
            <w:pPr>
              <w:spacing w:after="40" w:before="0" w:line="259" w:lineRule="auto"/>
            </w:pPr>
            <w:r>
              <w:rPr>
                <w:rFonts w:ascii="Calibri" w:hAnsi="Calibri"/>
                <w:b w:val="0"/>
                <w:i w:val="0"/>
                <w:color w:val="212121"/>
                <w:sz w:val="16"/>
              </w:rPr>
              <w:t>Reproductive-age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(targeted)</w:t>
            </w:r>
          </w:p>
        </w:tc>
        <w:tc>
          <w:tcPr>
            <w:tcW w:type="dxa" w:w="720"/>
            <w:vAlign w:val="top"/>
          </w:tcPr>
          <w:p>
            <w:pPr>
              <w:spacing w:after="40" w:before="0" w:line="259" w:lineRule="auto"/>
            </w:pPr>
            <w:r>
              <w:rPr>
                <w:rFonts w:ascii="Calibri" w:hAnsi="Calibri"/>
                <w:b w:val="0"/>
                <w:i w:val="0"/>
                <w:color w:val="212121"/>
                <w:sz w:val="16"/>
              </w:rPr>
              <w:t>Easily missed without a menstrual history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Sudden pleuritic chest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one-sided chest pain of abrupt onset, worse on inspiration — the cardinal symptom.</w:t>
            </w:r>
          </w:p>
        </w:tc>
      </w:tr>
      <w:tr>
        <w:trPr>
          <w:cantSplit/>
        </w:trPr>
        <w:tc>
          <w:tcPr>
            <w:tcW w:type="dxa" w:w="2304"/>
            <w:vAlign w:val="top"/>
          </w:tcPr>
          <w:p>
            <w:pPr>
              <w:spacing w:after="40" w:before="0" w:line="259" w:lineRule="auto"/>
            </w:pPr>
            <w:r>
              <w:rPr>
                <w:rFonts w:ascii="Calibri" w:hAnsi="Calibri"/>
                <w:b/>
                <w:i w:val="0"/>
                <w:color w:val="212121"/>
                <w:sz w:val="19"/>
              </w:rPr>
              <w:t>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Acute shortness of breath; severity depends on pneumothorax size and pre-existing lung reserve.</w:t>
            </w:r>
          </w:p>
        </w:tc>
      </w:tr>
      <w:tr>
        <w:trPr>
          <w:cantSplit/>
        </w:trPr>
        <w:tc>
          <w:tcPr>
            <w:tcW w:type="dxa" w:w="2304"/>
            <w:vAlign w:val="top"/>
          </w:tcPr>
          <w:p>
            <w:pPr>
              <w:spacing w:after="40" w:before="0" w:line="259" w:lineRule="auto"/>
            </w:pPr>
            <w:r>
              <w:rPr>
                <w:rFonts w:ascii="Calibri" w:hAnsi="Calibri"/>
                <w:b/>
                <w:i w:val="0"/>
                <w:color w:val="212121"/>
                <w:sz w:val="19"/>
              </w:rPr>
              <w:t>Dry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Pleural irritation commonly triggers a non-productive cough.</w:t>
            </w:r>
          </w:p>
        </w:tc>
      </w:tr>
      <w:tr>
        <w:trPr>
          <w:cantSplit/>
        </w:trPr>
        <w:tc>
          <w:tcPr>
            <w:tcW w:type="dxa" w:w="2304"/>
            <w:vAlign w:val="top"/>
          </w:tcPr>
          <w:p>
            <w:pPr>
              <w:spacing w:after="40" w:before="0" w:line="259" w:lineRule="auto"/>
            </w:pPr>
            <w:r>
              <w:rPr>
                <w:rFonts w:ascii="Calibri" w:hAnsi="Calibri"/>
                <w:b/>
                <w:i w:val="0"/>
                <w:color w:val="212121"/>
                <w:sz w:val="19"/>
              </w:rPr>
              <w:t>Onset at rest / sudden onset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Primary spontaneous pneumothorax often begins at rest; sudden onset reported in about 72% of an Indian cohort.</w:t>
            </w:r>
          </w:p>
        </w:tc>
      </w:tr>
      <w:tr>
        <w:trPr>
          <w:cantSplit/>
        </w:trPr>
        <w:tc>
          <w:tcPr>
            <w:tcW w:type="dxa" w:w="2304"/>
            <w:vAlign w:val="top"/>
          </w:tcPr>
          <w:p>
            <w:pPr>
              <w:spacing w:after="40" w:before="0" w:line="259" w:lineRule="auto"/>
            </w:pPr>
            <w:r>
              <w:rPr>
                <w:rFonts w:ascii="Calibri" w:hAnsi="Calibri"/>
                <w:b/>
                <w:i w:val="0"/>
                <w:color w:val="212121"/>
                <w:sz w:val="19"/>
              </w:rPr>
              <w:t>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Even a modest pneumothorax limits exertion, especially in those with COPD or TB sequelae.</w:t>
            </w:r>
          </w:p>
        </w:tc>
      </w:tr>
      <w:tr>
        <w:trPr>
          <w:cantSplit/>
        </w:trPr>
        <w:tc>
          <w:tcPr>
            <w:tcW w:type="dxa" w:w="2304"/>
            <w:vAlign w:val="top"/>
          </w:tcPr>
          <w:p>
            <w:pPr>
              <w:spacing w:after="40" w:before="0" w:line="259" w:lineRule="auto"/>
            </w:pPr>
            <w:r>
              <w:rPr>
                <w:rFonts w:ascii="Calibri" w:hAnsi="Calibri"/>
                <w:b/>
                <w:i w:val="0"/>
                <w:color w:val="212121"/>
                <w:sz w:val="19"/>
              </w:rPr>
              <w:t>Ipsilateral shoulder or back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Referred pain from diaphragmatic/pleural irritation on the affected side.</w:t>
            </w:r>
          </w:p>
        </w:tc>
      </w:tr>
      <w:tr>
        <w:trPr>
          <w:cantSplit/>
        </w:trPr>
        <w:tc>
          <w:tcPr>
            <w:tcW w:type="dxa" w:w="2304"/>
            <w:vAlign w:val="top"/>
          </w:tcPr>
          <w:p>
            <w:pPr>
              <w:spacing w:after="40" w:before="0" w:line="259" w:lineRule="auto"/>
            </w:pPr>
            <w:r>
              <w:rPr>
                <w:rFonts w:ascii="Calibri" w:hAnsi="Calibri"/>
                <w:b/>
                <w:i w:val="0"/>
                <w:color w:val="212121"/>
                <w:sz w:val="19"/>
              </w:rPr>
              <w:t>Anxiety / sense of impending doom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Driven by hypoxaemia and acute breathlessness; may amplify perceived dyspnoea.</w:t>
            </w:r>
          </w:p>
        </w:tc>
      </w:tr>
      <w:tr>
        <w:trPr>
          <w:cantSplit/>
        </w:trPr>
        <w:tc>
          <w:tcPr>
            <w:tcW w:type="dxa" w:w="2304"/>
            <w:vAlign w:val="top"/>
          </w:tcPr>
          <w:p>
            <w:pPr>
              <w:spacing w:after="40" w:before="0" w:line="259" w:lineRule="auto"/>
            </w:pPr>
            <w:r>
              <w:rPr>
                <w:rFonts w:ascii="Calibri" w:hAnsi="Calibri"/>
                <w:b/>
                <w:i w:val="0"/>
                <w:color w:val="212121"/>
                <w:sz w:val="19"/>
              </w:rPr>
              <w:t>Haemoptysis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haemopneumothorax or underlying cavitary TB/malignancy; noted in ~12% of an Indian series.</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compensatory tachycardia from pain, hypoxaemia or early haemodynamic stress.</w:t>
            </w:r>
          </w:p>
        </w:tc>
      </w:tr>
      <w:tr>
        <w:trPr>
          <w:cantSplit/>
        </w:trPr>
        <w:tc>
          <w:tcPr>
            <w:tcW w:type="dxa" w:w="2304"/>
            <w:vAlign w:val="top"/>
          </w:tcPr>
          <w:p>
            <w:pPr>
              <w:spacing w:after="40" w:before="0" w:line="259" w:lineRule="auto"/>
            </w:pPr>
            <w:r>
              <w:rPr>
                <w:rFonts w:ascii="Calibri" w:hAnsi="Calibri"/>
                <w:b/>
                <w:i w:val="0"/>
                <w:color w:val="212121"/>
                <w:sz w:val="19"/>
              </w:rPr>
              <w:t>Asymptomatic / incidental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Small pneumothoraces may be found incidentally on imaging with minimal or no symptoms.</w:t>
            </w:r>
          </w:p>
        </w:tc>
      </w:tr>
      <w:tr>
        <w:trPr>
          <w:cantSplit/>
        </w:trPr>
        <w:tc>
          <w:tcPr>
            <w:tcW w:type="dxa" w:w="2304"/>
            <w:vAlign w:val="top"/>
          </w:tcPr>
          <w:p>
            <w:pPr>
              <w:spacing w:after="40" w:before="0" w:line="259" w:lineRule="auto"/>
            </w:pPr>
            <w:r>
              <w:rPr>
                <w:rFonts w:ascii="Calibri" w:hAnsi="Calibri"/>
                <w:b/>
                <w:i w:val="0"/>
                <w:color w:val="212121"/>
                <w:sz w:val="19"/>
              </w:rPr>
              <w:t>Cyanosis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Bluish discolouration indicates severe hypoxaemia in a large or tension pneumothorax.</w:t>
            </w:r>
          </w:p>
        </w:tc>
      </w:tr>
      <w:tr>
        <w:trPr>
          <w:cantSplit/>
        </w:trPr>
        <w:tc>
          <w:tcPr>
            <w:tcW w:type="dxa" w:w="2304"/>
            <w:vAlign w:val="top"/>
          </w:tcPr>
          <w:p>
            <w:pPr>
              <w:spacing w:after="40" w:before="0" w:line="259" w:lineRule="auto"/>
            </w:pPr>
            <w:r>
              <w:rPr>
                <w:rFonts w:ascii="Calibri" w:hAnsi="Calibri"/>
                <w:b/>
                <w:i w:val="0"/>
                <w:color w:val="212121"/>
                <w:sz w:val="19"/>
              </w:rPr>
              <w:t>Syncope or collapse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Signals haemodynamic compromise from a tension pneumothorax —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Decreased or absent breath sounds (ipsilateral)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Air in the pleural space blocks breath-sound transmission on the affected side.</w:t>
            </w:r>
          </w:p>
        </w:tc>
      </w:tr>
      <w:tr>
        <w:trPr>
          <w:cantSplit/>
        </w:trPr>
        <w:tc>
          <w:tcPr>
            <w:tcW w:type="dxa" w:w="3456"/>
            <w:vAlign w:val="top"/>
          </w:tcPr>
          <w:p>
            <w:pPr>
              <w:spacing w:after="40" w:before="0" w:line="259" w:lineRule="auto"/>
            </w:pPr>
            <w:r>
              <w:rPr>
                <w:rFonts w:ascii="Calibri" w:hAnsi="Calibri"/>
                <w:b/>
                <w:i w:val="0"/>
                <w:color w:val="212121"/>
                <w:sz w:val="19"/>
              </w:rPr>
              <w:t>Hyperresonant percussion note (ipsilateral)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Pleural air increases resonance — the opposite of the dullness of a pleural effusion.</w:t>
            </w:r>
          </w:p>
        </w:tc>
      </w:tr>
      <w:tr>
        <w:trPr>
          <w:cantSplit/>
        </w:trPr>
        <w:tc>
          <w:tcPr>
            <w:tcW w:type="dxa" w:w="3456"/>
            <w:vAlign w:val="top"/>
          </w:tcPr>
          <w:p>
            <w:pPr>
              <w:spacing w:after="40" w:before="0" w:line="259" w:lineRule="auto"/>
            </w:pPr>
            <w:r>
              <w:rPr>
                <w:rFonts w:ascii="Calibri" w:hAnsi="Calibri"/>
                <w:b/>
                <w:i w:val="0"/>
                <w:color w:val="212121"/>
                <w:sz w:val="19"/>
              </w:rPr>
              <w:t>Reduced chest-wall expansion (ipsilateral)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collapsed lung and pleural air limit movement on the affected hemithorax.</w:t>
            </w:r>
          </w:p>
        </w:tc>
      </w:tr>
      <w:tr>
        <w:trPr>
          <w:cantSplit/>
        </w:trPr>
        <w:tc>
          <w:tcPr>
            <w:tcW w:type="dxa" w:w="3456"/>
            <w:vAlign w:val="top"/>
          </w:tcPr>
          <w:p>
            <w:pPr>
              <w:spacing w:after="40" w:before="0" w:line="259" w:lineRule="auto"/>
            </w:pPr>
            <w:r>
              <w:rPr>
                <w:rFonts w:ascii="Calibri" w:hAnsi="Calibri"/>
                <w:b/>
                <w:i w:val="0"/>
                <w:color w:val="212121"/>
                <w:sz w:val="19"/>
              </w:rPr>
              <w:t>Decreased tactile / vocal fremitus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Vibration transmission falls where air separates lung from chest wall.</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most frequent physical finding; reflects pain, hypoxaemia and stress.</w:t>
            </w:r>
          </w:p>
        </w:tc>
      </w:tr>
      <w:tr>
        <w:trPr>
          <w:cantSplit/>
        </w:trPr>
        <w:tc>
          <w:tcPr>
            <w:tcW w:type="dxa" w:w="3456"/>
            <w:vAlign w:val="top"/>
          </w:tcPr>
          <w:p>
            <w:pPr>
              <w:spacing w:after="40" w:before="0" w:line="259" w:lineRule="auto"/>
            </w:pPr>
            <w:r>
              <w:rPr>
                <w:rFonts w:ascii="Calibri" w:hAnsi="Calibri"/>
                <w:b/>
                <w:i w:val="0"/>
                <w:color w:val="212121"/>
                <w:sz w:val="19"/>
              </w:rPr>
              <w:t>Tachypnoea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shallow breathing in response to reduced ventilation and hypoxaemia.</w:t>
            </w:r>
          </w:p>
        </w:tc>
      </w:tr>
      <w:tr>
        <w:trPr>
          <w:cantSplit/>
        </w:trPr>
        <w:tc>
          <w:tcPr>
            <w:tcW w:type="dxa" w:w="3456"/>
            <w:vAlign w:val="top"/>
          </w:tcPr>
          <w:p>
            <w:pPr>
              <w:spacing w:after="40" w:before="0" w:line="259" w:lineRule="auto"/>
            </w:pPr>
            <w:r>
              <w:rPr>
                <w:rFonts w:ascii="Calibri" w:hAnsi="Calibri"/>
                <w:b/>
                <w:i w:val="0"/>
                <w:color w:val="212121"/>
                <w:sz w:val="19"/>
              </w:rPr>
              <w:t>Hypoxaemia (low SpO₂)</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Falling saturations indicate a large collapse or evolving tension pneumothorax.</w:t>
            </w:r>
          </w:p>
        </w:tc>
      </w:tr>
      <w:tr>
        <w:trPr>
          <w:cantSplit/>
        </w:trPr>
        <w:tc>
          <w:tcPr>
            <w:tcW w:type="dxa" w:w="3456"/>
            <w:vAlign w:val="top"/>
          </w:tcPr>
          <w:p>
            <w:pPr>
              <w:spacing w:after="40" w:before="0" w:line="259" w:lineRule="auto"/>
            </w:pPr>
            <w:r>
              <w:rPr>
                <w:rFonts w:ascii="Calibri" w:hAnsi="Calibri"/>
                <w:b/>
                <w:i w:val="0"/>
                <w:color w:val="212121"/>
                <w:sz w:val="19"/>
              </w:rPr>
              <w:t>Subcutaneous emphysema (crepitus)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crackling under the skin from air tracking into soft tissues; common after chest-drain procedures.</w:t>
            </w:r>
          </w:p>
        </w:tc>
      </w:tr>
      <w:tr>
        <w:trPr>
          <w:cantSplit/>
        </w:trPr>
        <w:tc>
          <w:tcPr>
            <w:tcW w:type="dxa" w:w="3456"/>
            <w:vAlign w:val="top"/>
          </w:tcPr>
          <w:p>
            <w:pPr>
              <w:spacing w:after="40" w:before="0" w:line="259" w:lineRule="auto"/>
            </w:pPr>
            <w:r>
              <w:rPr>
                <w:rFonts w:ascii="Calibri" w:hAnsi="Calibri"/>
                <w:b/>
                <w:i w:val="0"/>
                <w:color w:val="212121"/>
                <w:sz w:val="19"/>
              </w:rPr>
              <w:t>Tracheal deviation away from the affected side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red-flag sign of tension pneumothorax with mediastinal shift.</w:t>
            </w:r>
          </w:p>
        </w:tc>
      </w:tr>
      <w:tr>
        <w:trPr>
          <w:cantSplit/>
        </w:trPr>
        <w:tc>
          <w:tcPr>
            <w:tcW w:type="dxa" w:w="3456"/>
            <w:vAlign w:val="top"/>
          </w:tcPr>
          <w:p>
            <w:pPr>
              <w:spacing w:after="40" w:before="0" w:line="259" w:lineRule="auto"/>
            </w:pPr>
            <w:r>
              <w:rPr>
                <w:rFonts w:ascii="Calibri" w:hAnsi="Calibri"/>
                <w:b/>
                <w:i w:val="0"/>
                <w:color w:val="212121"/>
                <w:sz w:val="19"/>
              </w:rPr>
              <w:t>Hypotension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Falling blood pressure from impaired venous return in tension pneumothorax — decompress immediately.</w:t>
            </w:r>
          </w:p>
        </w:tc>
      </w:tr>
      <w:tr>
        <w:trPr>
          <w:cantSplit/>
        </w:trPr>
        <w:tc>
          <w:tcPr>
            <w:tcW w:type="dxa" w:w="3456"/>
            <w:vAlign w:val="top"/>
          </w:tcPr>
          <w:p>
            <w:pPr>
              <w:spacing w:after="40" w:before="0" w:line="259" w:lineRule="auto"/>
            </w:pPr>
            <w:r>
              <w:rPr>
                <w:rFonts w:ascii="Calibri" w:hAnsi="Calibri"/>
                <w:b/>
                <w:i w:val="0"/>
                <w:color w:val="212121"/>
                <w:sz w:val="19"/>
              </w:rPr>
              <w:t>Distended neck veins (raised JVP)</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Reflects obstructed venous return in tension pneumothorax.</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Late sign of profound hypoxaemia requiring emergency intervention.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Tension pneumothorax (obstructive shock)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respiratory failure / severe hypoxaemia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collapse and cardiac arrest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Haemopneumothorax (blood + air in pleura)</w:t>
            </w:r>
          </w:p>
        </w:tc>
        <w:tc>
          <w:tcPr>
            <w:tcW w:type="dxa" w:w="2980"/>
            <w:vAlign w:val="top"/>
          </w:tcPr>
          <w:p>
            <w:pPr>
              <w:spacing w:after="40" w:before="0" w:line="259" w:lineRule="auto"/>
            </w:pPr>
            <w:r>
              <w:rPr>
                <w:rFonts w:ascii="Calibri" w:hAnsi="Calibri"/>
                <w:b w:val="0"/>
                <w:i w:val="0"/>
                <w:color w:val="212121"/>
                <w:sz w:val="19"/>
              </w:rPr>
              <w:t>Immediate, life-threatening consequences of rapidly accumulating or large-volume pleural air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(ipsilateral or contralateral)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air leak / bronchopleural 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Re-expansion pulmonary oedema after rapid drainage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Empyema / pyopneumothorax (especially with 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Procedure-related: subcutaneous emphysema, tube malposition, bleeding, hydropneumothorax</w:t>
            </w:r>
          </w:p>
        </w:tc>
        <w:tc>
          <w:tcPr>
            <w:tcW w:type="dxa" w:w="2980"/>
            <w:vAlign w:val="top"/>
          </w:tcPr>
          <w:p>
            <w:pPr>
              <w:spacing w:after="40" w:before="0" w:line="259" w:lineRule="auto"/>
            </w:pPr>
            <w:r>
              <w:rPr>
                <w:rFonts w:ascii="Calibri" w:hAnsi="Calibri"/>
                <w:b w:val="0"/>
                <w:i w:val="0"/>
                <w:color w:val="212121"/>
                <w:sz w:val="19"/>
              </w:rPr>
              <w:t>Arise from the disease course and from interventions such as aspiration or intercostal drainage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Trapped / non-expandable lung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disability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definitive surgery (VATS pleurectomy/pleurodesis)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hospitalisation and lost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 notably higher in secondary spontaneous pneumothorax</w:t>
            </w:r>
          </w:p>
        </w:tc>
        <w:tc>
          <w:tcPr>
            <w:tcW w:type="dxa" w:w="2980"/>
            <w:vAlign w:val="top"/>
          </w:tcPr>
          <w:p>
            <w:pPr>
              <w:spacing w:after="40" w:before="0" w:line="259" w:lineRule="auto"/>
            </w:pPr>
            <w:r>
              <w:rPr>
                <w:rFonts w:ascii="Calibri" w:hAnsi="Calibri"/>
                <w:b w:val="0"/>
                <w:i w:val="0"/>
                <w:color w:val="212121"/>
                <w:sz w:val="19"/>
              </w:rPr>
              <w:t>Long-term, disabling or irreversible outcomes of recurrent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COPD / emphysema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leading cause of secondary spontaneous pneumothorax; bullae rupture and predict persistent air leak.</w:t>
            </w:r>
          </w:p>
          <w:p>
            <w:pPr>
              <w:spacing w:after="40" w:before="0" w:line="259" w:lineRule="auto"/>
            </w:pPr>
            <w:r>
              <w:rPr>
                <w:rFonts w:ascii="Calibri" w:hAnsi="Calibri"/>
                <w:b/>
                <w:i w:val="0"/>
                <w:color w:val="212121"/>
                <w:sz w:val="19"/>
              </w:rPr>
              <w:t>~53% of secondary cases (India)</w:t>
            </w:r>
          </w:p>
        </w:tc>
      </w:tr>
      <w:tr>
        <w:trPr>
          <w:cantSplit/>
        </w:trPr>
        <w:tc>
          <w:tcPr>
            <w:tcW w:type="dxa" w:w="2232"/>
            <w:vAlign w:val="top"/>
          </w:tcPr>
          <w:p>
            <w:pPr>
              <w:spacing w:after="40" w:before="0" w:line="259" w:lineRule="auto"/>
            </w:pPr>
            <w:r>
              <w:rPr>
                <w:rFonts w:ascii="Calibri" w:hAnsi="Calibri"/>
                <w:b/>
                <w:i w:val="0"/>
                <w:color w:val="212121"/>
                <w:sz w:val="19"/>
              </w:rPr>
              <w:t>Tuberculosis (active or healed)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Cavitary and fibrotic TB rupture into the pleura — a major Indian driver, risking pyopneumothorax.</w:t>
            </w:r>
          </w:p>
          <w:p>
            <w:pPr>
              <w:spacing w:after="40" w:before="0" w:line="259" w:lineRule="auto"/>
            </w:pPr>
            <w:r>
              <w:rPr>
                <w:rFonts w:ascii="Calibri" w:hAnsi="Calibri"/>
                <w:b/>
                <w:i w:val="0"/>
                <w:color w:val="212121"/>
                <w:sz w:val="19"/>
              </w:rPr>
              <w:t>~28% of secondary cases (India)</w:t>
            </w:r>
          </w:p>
        </w:tc>
      </w:tr>
      <w:tr>
        <w:trPr>
          <w:cantSplit/>
        </w:trPr>
        <w:tc>
          <w:tcPr>
            <w:tcW w:type="dxa" w:w="2232"/>
            <w:vAlign w:val="top"/>
          </w:tcPr>
          <w:p>
            <w:pPr>
              <w:spacing w:after="40" w:before="0" w:line="259" w:lineRule="auto"/>
            </w:pPr>
            <w:r>
              <w:rPr>
                <w:rFonts w:ascii="Calibri" w:hAnsi="Calibri"/>
                <w:b/>
                <w:i w:val="0"/>
                <w:color w:val="212121"/>
                <w:sz w:val="19"/>
              </w:rPr>
              <w:t>Bronchial asthma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Severe air-trapping and hyperinflation can rupture alveoli during acute exacerbations.</w:t>
            </w:r>
          </w:p>
        </w:tc>
      </w:tr>
      <w:tr>
        <w:trPr>
          <w:cantSplit/>
        </w:trPr>
        <w:tc>
          <w:tcPr>
            <w:tcW w:type="dxa" w:w="2232"/>
            <w:vAlign w:val="top"/>
          </w:tcPr>
          <w:p>
            <w:pPr>
              <w:spacing w:after="40" w:before="0" w:line="259" w:lineRule="auto"/>
            </w:pPr>
            <w:r>
              <w:rPr>
                <w:rFonts w:ascii="Calibri" w:hAnsi="Calibri"/>
                <w:b/>
                <w:i w:val="0"/>
                <w:color w:val="212121"/>
                <w:sz w:val="19"/>
              </w:rPr>
              <w:t>Interstitial lung disease / pulmonary fibrosis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Honeycomb cysts create fragile lung with refractory air leaks and high mortality.</w:t>
            </w:r>
          </w:p>
        </w:tc>
      </w:tr>
      <w:tr>
        <w:trPr>
          <w:cantSplit/>
        </w:trPr>
        <w:tc>
          <w:tcPr>
            <w:tcW w:type="dxa" w:w="2232"/>
            <w:vAlign w:val="top"/>
          </w:tcPr>
          <w:p>
            <w:pPr>
              <w:spacing w:after="40" w:before="0" w:line="259" w:lineRule="auto"/>
            </w:pPr>
            <w:r>
              <w:rPr>
                <w:rFonts w:ascii="Calibri" w:hAnsi="Calibri"/>
                <w:b/>
                <w:i w:val="0"/>
                <w:color w:val="212121"/>
                <w:sz w:val="19"/>
              </w:rPr>
              <w:t>Birt–Hogg–Dubé syndrome (FLCN)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Inherited basal lung cysts, skin fibrofolliculomas and renal tumours; a treatable-if-recognised cause.</w:t>
            </w:r>
          </w:p>
          <w:p>
            <w:pPr>
              <w:spacing w:after="40" w:before="0" w:line="259" w:lineRule="auto"/>
            </w:pPr>
            <w:r>
              <w:rPr>
                <w:rFonts w:ascii="Calibri" w:hAnsi="Calibri"/>
                <w:b/>
                <w:i w:val="0"/>
                <w:color w:val="212121"/>
                <w:sz w:val="19"/>
              </w:rPr>
              <w:t>PTX in ~38% of BHD</w:t>
            </w:r>
          </w:p>
        </w:tc>
      </w:tr>
      <w:tr>
        <w:trPr>
          <w:cantSplit/>
        </w:trPr>
        <w:tc>
          <w:tcPr>
            <w:tcW w:type="dxa" w:w="2232"/>
            <w:vAlign w:val="top"/>
          </w:tcPr>
          <w:p>
            <w:pPr>
              <w:spacing w:after="40" w:before="0" w:line="259" w:lineRule="auto"/>
            </w:pPr>
            <w:r>
              <w:rPr>
                <w:rFonts w:ascii="Calibri" w:hAnsi="Calibri"/>
                <w:b/>
                <w:i w:val="0"/>
                <w:color w:val="212121"/>
                <w:sz w:val="19"/>
              </w:rPr>
              <w:t>Marfan / Ehlers–Danlos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Connective-tissue disorders with apical bullae and recurrent, often bilateral pneumothorax.</w:t>
            </w:r>
          </w:p>
        </w:tc>
      </w:tr>
      <w:tr>
        <w:trPr>
          <w:cantSplit/>
        </w:trPr>
        <w:tc>
          <w:tcPr>
            <w:tcW w:type="dxa" w:w="2232"/>
            <w:vAlign w:val="top"/>
          </w:tcPr>
          <w:p>
            <w:pPr>
              <w:spacing w:after="40" w:before="0" w:line="259" w:lineRule="auto"/>
            </w:pPr>
            <w:r>
              <w:rPr>
                <w:rFonts w:ascii="Calibri" w:hAnsi="Calibri"/>
                <w:b/>
                <w:i w:val="0"/>
                <w:color w:val="212121"/>
                <w:sz w:val="19"/>
              </w:rPr>
              <w:t>Thoracic endometriosis (catamenial)</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Recurrent right-sided menstrual pneumothorax in reproductive-age women.</w:t>
            </w:r>
          </w:p>
          <w:p>
            <w:pPr>
              <w:spacing w:after="40" w:before="0" w:line="259" w:lineRule="auto"/>
            </w:pPr>
            <w:r>
              <w:rPr>
                <w:rFonts w:ascii="Calibri" w:hAnsi="Calibri"/>
                <w:b/>
                <w:i w:val="0"/>
                <w:color w:val="212121"/>
                <w:sz w:val="19"/>
              </w:rPr>
              <w:t>18–33% of surgical PTX in such women</w:t>
            </w:r>
          </w:p>
        </w:tc>
      </w:tr>
      <w:tr>
        <w:trPr>
          <w:cantSplit/>
        </w:trPr>
        <w:tc>
          <w:tcPr>
            <w:tcW w:type="dxa" w:w="2232"/>
            <w:vAlign w:val="top"/>
          </w:tcPr>
          <w:p>
            <w:pPr>
              <w:spacing w:after="40" w:before="0" w:line="259" w:lineRule="auto"/>
            </w:pPr>
            <w:r>
              <w:rPr>
                <w:rFonts w:ascii="Calibri" w:hAnsi="Calibri"/>
                <w:b/>
                <w:i w:val="0"/>
                <w:color w:val="212121"/>
                <w:sz w:val="19"/>
              </w:rPr>
              <w:t>HIV / Pneumocystis pneumonia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PCP-related necrotising cysts predispose to pneumothorax in immunocompromised patients.</w:t>
            </w:r>
          </w:p>
        </w:tc>
      </w:tr>
      <w:tr>
        <w:trPr>
          <w:cantSplit/>
        </w:trPr>
        <w:tc>
          <w:tcPr>
            <w:tcW w:type="dxa" w:w="2232"/>
            <w:vAlign w:val="top"/>
          </w:tcPr>
          <w:p>
            <w:pPr>
              <w:spacing w:after="40" w:before="0" w:line="259" w:lineRule="auto"/>
            </w:pPr>
            <w:r>
              <w:rPr>
                <w:rFonts w:ascii="Calibri" w:hAnsi="Calibri"/>
                <w:b/>
                <w:i w:val="0"/>
                <w:color w:val="212121"/>
                <w:sz w:val="19"/>
              </w:rPr>
              <w:t>Lung cancer / malignancy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Necrotic tumour or cavitation can breach the pleura, especially in older smokers.</w:t>
            </w:r>
          </w:p>
        </w:tc>
      </w:tr>
      <w:tr>
        <w:trPr>
          <w:cantSplit/>
        </w:trPr>
        <w:tc>
          <w:tcPr>
            <w:tcW w:type="dxa" w:w="2232"/>
            <w:vAlign w:val="top"/>
          </w:tcPr>
          <w:p>
            <w:pPr>
              <w:spacing w:after="40" w:before="0" w:line="259" w:lineRule="auto"/>
            </w:pPr>
            <w:r>
              <w:rPr>
                <w:rFonts w:ascii="Calibri" w:hAnsi="Calibri"/>
                <w:b/>
                <w:i w:val="0"/>
                <w:color w:val="212121"/>
                <w:sz w:val="19"/>
              </w:rPr>
              <w:t>Cystic fibrosis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Chronic bronchiectatic, cystic lung disease predisposes to recurrent pneumothorax.</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 sudden one-sided chest pain with breathlessness — and seek emergency care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continued smoking is the biggest driver of recurrence, and that quitting sharply reduces the risk of a repeat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after a spontaneous pneumothorax, scuba diving should be avoided permanently unless corrected by definitive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commercial flying until the lung has fully re-expanded on X-ray (commonly at least 1–2 weeks after resolution) and as advised by the treating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chest imaging and know the warning signs of recurrence, which is highest in the first year.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reproductive-age women with recurrent right-sided episodes, report any link to menstruation so catamenial pneumothorax can be evaluated.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after pneumothorax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Divers and aircrew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this is the single most effective measure to prevent recurrence and further bleb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cannabis and vaping/e-cigarettes, which accelerate bullous lung disease and cause earlier, more severe pneumothorax.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quit-lines and nicotine-replacement or pharmacotherapy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(passive) smoke exposure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smokeless-tobacco use as part of overall tobacco cessation, given its high prevalence in India.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Cannabis/vape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PSP or SSP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and avoid vigorous exertion, heavy lifting and Valsalva straining until the lung is fully healed and cleared by the treating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Reintroduce activity gradually, guided by symptoms and follow-up imaging.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contact sports and activities with rapid pressure change (diving, skydiving, high-altitude climbing)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aerobic fitness within advised limits to preserve pulmonary reserve, especially in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pursed-lip and diaphragmatic breathing to ease breathlessness during convalescence.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pneumothorax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correct underweight/undernutrition, which accompanies the tall-thin pneumothorax phenotype.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protein-adequate diet to support recovery and immune defence against TB and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calories and micronutrients in patients with COPD or post-TB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during recovery and while on chest drainage.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inpatients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hypervigilance about recurrence, which are common after a first pneumothorax.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breathing and relaxation techniques to reduce hyperventilation that worsens perceived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reassurance and a written recovery/activity plan to restore confidence.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support if fear of recurrence limits return to work or normal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after first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pneumothorax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reduce chronic cough, retching and malnutrition that can indirectly stress the pleura.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binge drinking, which impairs recovery and increases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moderation with smoking cessation for the greatest respiratory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who also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to support recovery and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on home CPAP/BiPAP, discuss timing of resumption with the treating team after a pneumothorax.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semi-upright if breathlessness is troublesome during convalescence.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CPAP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59302/" TargetMode="External"/><Relationship Id="rId10" Type="http://schemas.openxmlformats.org/officeDocument/2006/relationships/hyperlink" Target="https://pmc.ncbi.nlm.nih.gov/articles/PMC10657060/" TargetMode="External"/><Relationship Id="rId11" Type="http://schemas.openxmlformats.org/officeDocument/2006/relationships/hyperlink" Target="https://ntcp.mohfw.gov.in/assets/document/surveys-reports-publications/GATS-2-FactSheet.pdf" TargetMode="External"/><Relationship Id="rId12" Type="http://schemas.openxmlformats.org/officeDocument/2006/relationships/hyperlink" Target="https://jtd.amegroups.org/article/view/3205/html" TargetMode="External"/><Relationship Id="rId13" Type="http://schemas.openxmlformats.org/officeDocument/2006/relationships/hyperlink" Target="https://www.pib.gov.in/PressReleasePage.aspx?PRID=2189415" TargetMode="External"/><Relationship Id="rId14" Type="http://schemas.openxmlformats.org/officeDocument/2006/relationships/hyperlink" Target="https://pubmed.ncbi.nlm.nih.gov/3677805/" TargetMode="External"/><Relationship Id="rId15" Type="http://schemas.openxmlformats.org/officeDocument/2006/relationships/hyperlink" Target="https://journals.plos.org/plosone/article?id=10.1371%2Fjournal.pone.0230419" TargetMode="External"/><Relationship Id="rId16" Type="http://schemas.openxmlformats.org/officeDocument/2006/relationships/hyperlink" Target="https://pmc.ncbi.nlm.nih.gov/articles/PMC3114937/" TargetMode="External"/><Relationship Id="rId17" Type="http://schemas.openxmlformats.org/officeDocument/2006/relationships/hyperlink" Target="https://pmc.ncbi.nlm.nih.gov/articles/PMC86146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