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Central Sleep Apnea</w:t>
      </w:r>
    </w:p>
    <w:p>
      <w:pPr>
        <w:spacing w:before="0" w:after="160"/>
      </w:pPr>
      <w:r>
        <w:rPr>
          <w:rFonts w:ascii="Calibri" w:hAnsi="Calibri"/>
          <w:b/>
          <w:i w:val="0"/>
          <w:color w:val="212121"/>
          <w:sz w:val="22"/>
        </w:rPr>
        <w:t xml:space="preserve">AKA </w:t>
      </w:r>
      <w:r>
        <w:rPr>
          <w:rFonts w:ascii="Calibri" w:hAnsi="Calibri"/>
          <w:b w:val="0"/>
          <w:i w:val="0"/>
          <w:color w:val="212121"/>
          <w:sz w:val="22"/>
        </w:rPr>
        <w:t>i.e., CSA, Central sleep apnoea, Cheyne–Stokes respiration (periodic form), Non-obstructive sleep apnea, Central apnea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Central sleep apnea (CSA) is a sleep-related breathing disorder in which the respiratory control centres of the brainstem intermittently fail to drive the muscles of breathing, producing repetitive pauses (apneas) or reductions (hypopneas) in airflow during sleep in the ABSENCE of respiratory effort. It differs fundamentally from obstructive sleep apnea (OSA), where breathing effort continues against a collapsed upper airway; in CSA the airway is open but the drive to breathe is transiently switched off. It commonly takes the form of Cheyne–Stokes respiration — a waxing–waning (crescendo–decrescendo) breathing pattern separated by central apneas — and is far less common than OSA, usually arising secondary to heart failure, stroke, high-altitude exposure, opioid use or brainstem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Central sleep apnea is much less common than obstructive sleep apnea and, in India, is substantially under-recognised because polysomnography and dedicated sleep laboratories are concentrated in large cities. It is best understood as a disorder of specific high-risk groups rather than of the general population: a pooled meta-analysis estimated OSA in Indian adults at about 11% (around 104 million people), yet CSA forms only a small fraction of all sleep-disordered breathing. CSA clusters in three settings of particular relevance to India — heart failure (India's national heart-failure registry has enrolled over 10,000 patients, and sleep-disordered breathing affects more than half of heart-failure patients), stroke, and high-altitude exposure among the large numbers of soldiers, pilgrims and residents in Ladakh, Siachen, Spiti and Sikkim, where periodic breathing during sleep is almost universal above roughly 2,500–3,000 m. Internationally, CSA is found in about 2.7% of men over 65 years, and central events rise steeply with age.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Central sleep apnea is diagnosed by attended, in-laboratory polysomnography (the gold standard), which distinguishes central from obstructive events by the ABSENCE of respiratory effort during airflow cessation.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central apnea = cessation of airflow for ≥ 10 seconds with simultaneously absent inspiratory effort (no thoraco-abdominal movement on effort belts);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Apnea–Hypopnea Index (AHI) ≥ 5 events/hour with the majority (&gt; 50%) of events being CENTRAL (central apneas + central hypopneas), i.e., a raised Central Apnea Index (CAI ≥ 5/hour);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symptoms — sleepiness, insomnia, frequent awakenings, awakening short of breath, or a witnessed Cheyne–Stokes/periodic breathing pattern — and no better explanation by another sleep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identification of the Cheyne–Stokes crescendo–decrescendo morphology with a long (≈ 60 s) cycle length, which points to heart failure or stroke;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arterial blood gas / capnography to separate HYPERCAPNIC CSA (e.g., opioid, brainstem, hypoventilation) from NON-hypercapnic/hypocapnic CSA (heart failure, high altitude, idiopathic);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supporting work-up for the underlying cause — echocardiography (left-ventricular function), ECG (atrial fibrillation), and brain imaging where a brainstem/vascular lesion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review for treatment-emergent CSA — central events that appear or persist when CPAP is started for OSA.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Following the International Classification of Sleep Disorders (ICSD-3), central sleep apnea is grouped by underlying mechanism and cause into the following categories:</w:t>
      </w:r>
    </w:p>
    <w:p>
      <w:pPr>
        <w:spacing w:before="0" w:after="80"/>
      </w:pPr>
      <w:r>
        <w:rPr>
          <w:rFonts w:ascii="Calibri" w:hAnsi="Calibri"/>
          <w:b w:val="0"/>
          <w:i w:val="0"/>
          <w:color w:val="212121"/>
          <w:sz w:val="21"/>
        </w:rPr>
        <w:t>(1) Primary (idiopathic) central sleep apnea, occurring without an identifiable cardiac, neurological, high-altitude or drug cause — a diagnosis of exclusion associated with heightened chemosensitivity;</w:t>
      </w:r>
    </w:p>
    <w:p>
      <w:pPr>
        <w:spacing w:before="0" w:after="80"/>
      </w:pPr>
      <w:r>
        <w:rPr>
          <w:rFonts w:ascii="Calibri" w:hAnsi="Calibri"/>
          <w:b w:val="0"/>
          <w:i w:val="0"/>
          <w:color w:val="212121"/>
          <w:sz w:val="21"/>
        </w:rPr>
        <w:t>(2) Central sleep apnea with Cheyne–Stokes breathing, the classic periodic crescendo–decrescendo pattern seen with congestive heart failure, atrial fibrillation and stroke — the commonest secondary form;</w:t>
      </w:r>
    </w:p>
    <w:p>
      <w:pPr>
        <w:spacing w:before="0" w:after="80"/>
      </w:pPr>
      <w:r>
        <w:rPr>
          <w:rFonts w:ascii="Calibri" w:hAnsi="Calibri"/>
          <w:b w:val="0"/>
          <w:i w:val="0"/>
          <w:color w:val="212121"/>
          <w:sz w:val="21"/>
        </w:rPr>
        <w:t>(3) Central sleep apnea due to a medical disorder without Cheyne–Stokes breathing, e.g., brainstem or spinal-cord lesions, tumour, and renal failure;</w:t>
      </w:r>
    </w:p>
    <w:p>
      <w:pPr>
        <w:spacing w:before="0" w:after="80"/>
      </w:pPr>
      <w:r>
        <w:rPr>
          <w:rFonts w:ascii="Calibri" w:hAnsi="Calibri"/>
          <w:b w:val="0"/>
          <w:i w:val="0"/>
          <w:color w:val="212121"/>
          <w:sz w:val="21"/>
        </w:rPr>
        <w:t>(4) Central sleep apnea due to high-altitude periodic breathing, provoked by hypoxic hyperventilation and hypocapnia on ascent above ~2,500 m — highly relevant to Indian high-altitude regions and postings;</w:t>
      </w:r>
    </w:p>
    <w:p>
      <w:pPr>
        <w:spacing w:before="0" w:after="80"/>
      </w:pPr>
      <w:r>
        <w:rPr>
          <w:rFonts w:ascii="Calibri" w:hAnsi="Calibri"/>
          <w:b w:val="0"/>
          <w:i w:val="0"/>
          <w:color w:val="212121"/>
          <w:sz w:val="21"/>
        </w:rPr>
        <w:t>(5) Central sleep apnea due to a medication or substance, most importantly chronic opioids (also baclofen, benzodiazepines), which depress the brainstem respiratory rhythm generator; and</w:t>
      </w:r>
    </w:p>
    <w:p>
      <w:pPr>
        <w:spacing w:before="0" w:after="80"/>
      </w:pPr>
      <w:r>
        <w:rPr>
          <w:rFonts w:ascii="Calibri" w:hAnsi="Calibri"/>
          <w:b w:val="0"/>
          <w:i w:val="0"/>
          <w:color w:val="212121"/>
          <w:sz w:val="21"/>
        </w:rPr>
        <w:t>(6) Treatment-emergent central sleep apnea (“complex sleep apnea”), where central events emerge or persist after CPAP is instituted for obstructive sleep apnea. A separate entity, primary central sleep apnea of infancy/prematurity, is also recognised. Physiologically, CSA is often further split into HYPERCAPNIC (reduced respiratory drive) and NON-hypercapnic/HYPOCAPNIC (high loop gain, ventilatory overshoot) types.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Heart failure (especially HFrEF): Prolonged circulation time and pulmonary congestion trigger hyperventilation and delayed feedback, driving PaCO2 below the apneic threshold and producing Cheyne–Stokes central apneas — the single commonest secondary cause.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High chemoreceptor sensitivity / increased loop gain: An unstable ventilatory control system overshoots and undershoots, so small falls in CO2 repeatedly stop breathing; central to idiopathic, altitude and heart-failure CSA.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Stroke and brainstem disease: Infarcts, tumours, Chiari malformation, encephalitis or spinal-cord injury damage the pontomedullary respiratory centres or their pathways.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High-altitude ascent: Hypoxia stimulates hyperventilation and hypocapnia, destabilising breathing during sleep — near-universal periodic breathing above ~2,500–3,000 m.</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opioids and CNS depressants: Long-term opioids (and sedatives such as benzodiazepines/baclofen) suppress the respiratory rhythm generator and blunt the CO2 response, causing hypercapnic central apneas.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Renal failure and fluid overload: Metabolic disturbance and rostral fluid shift when recumbent worsen ventilatory instability and Cheyne–Stokes breathing.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CPAP therapy for OSA (treatment-emergent): Relief of obstruction can unmask latent ventilatory-control instability, producing central events.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&amp; older adults</w:t>
            </w:r>
          </w:p>
        </w:tc>
        <w:tc>
          <w:tcPr>
            <w:tcW w:type="dxa" w:w="4276"/>
            <w:vAlign w:val="top"/>
          </w:tcPr>
          <w:p>
            <w:pPr>
              <w:spacing w:after="60" w:line="259" w:lineRule="auto"/>
            </w:pPr>
            <w:r>
              <w:rPr>
                <w:rFonts w:ascii="Calibri" w:hAnsi="Calibri"/>
                <w:b w:val="0"/>
                <w:i w:val="0"/>
                <w:color w:val="212121"/>
                <w:sz w:val="19"/>
              </w:rPr>
              <w:t>Central events become progressively more common with age as chemoreflex control of breathing grows less stable and cardiac, renal and cerebrovascular disease accumulate. CSA is largely a disorder of later adult life rather than the young.</w:t>
            </w:r>
          </w:p>
          <w:p>
            <w:pPr>
              <w:spacing w:after="40" w:before="60" w:line="259" w:lineRule="auto"/>
            </w:pPr>
            <w:r>
              <w:rPr>
                <w:rFonts w:ascii="Calibri" w:hAnsi="Calibri"/>
                <w:b w:val="0"/>
                <w:i w:val="0"/>
                <w:color w:val="212121"/>
                <w:sz w:val="19"/>
              </w:rPr>
              <w:t>The central apnea index is markedly higher in older adults (~12.1%) than in middle-aged groups (~1.8%).</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#ageing  #loopgain  #chemoreflex  #centralapneaindex</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w:t>
            </w:r>
          </w:p>
        </w:tc>
        <w:tc>
          <w:tcPr>
            <w:tcW w:type="dxa" w:w="4276"/>
            <w:vAlign w:val="top"/>
          </w:tcPr>
          <w:p>
            <w:pPr>
              <w:spacing w:after="60" w:line="259" w:lineRule="auto"/>
            </w:pPr>
            <w:r>
              <w:rPr>
                <w:rFonts w:ascii="Calibri" w:hAnsi="Calibri"/>
                <w:b w:val="0"/>
                <w:i w:val="0"/>
                <w:color w:val="212121"/>
                <w:sz w:val="19"/>
              </w:rPr>
              <w:t>The elderly carry the highest burden because heart failure, atrial fibrillation and stroke — the main drivers of Cheyne–Stokes CSA — all cluster in this group, compounded by age-related ventilatory instability.</w:t>
            </w:r>
          </w:p>
          <w:p>
            <w:pPr>
              <w:spacing w:after="40" w:before="60" w:line="259" w:lineRule="auto"/>
            </w:pPr>
            <w:r>
              <w:rPr>
                <w:rFonts w:ascii="Calibri" w:hAnsi="Calibri"/>
                <w:b w:val="0"/>
                <w:i w:val="0"/>
                <w:color w:val="212121"/>
                <w:sz w:val="19"/>
              </w:rPr>
              <w:t>CSA is found in about 2.7% of men over 65 years, and central events rise steeply with age.</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#elderly  #heartfailure  #CheyneStokes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are more prone to central apnea because their apneic threshold sits closer to normal sleeping PaCO2; women require a greater degree of hypocapnia before breathing stops, a difference partly hormonal.</w:t>
            </w:r>
          </w:p>
          <w:p>
            <w:pPr>
              <w:spacing w:after="40" w:before="60" w:line="259" w:lineRule="auto"/>
            </w:pPr>
            <w:r>
              <w:rPr>
                <w:rFonts w:ascii="Calibri" w:hAnsi="Calibri"/>
                <w:b w:val="0"/>
                <w:i w:val="0"/>
                <w:color w:val="212121"/>
                <w:sz w:val="19"/>
              </w:rPr>
              <w:t>Women require greater hypocapnia than men to develop central apnea, and male sex predominates in CSA and in high-altitude periodic breathing.</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#male  #apneicthreshold  #hypocapnia  #sexdifference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Altitude / region</w:t>
            </w:r>
          </w:p>
        </w:tc>
        <w:tc>
          <w:tcPr>
            <w:tcW w:type="dxa" w:w="2160"/>
            <w:vAlign w:val="top"/>
          </w:tcPr>
          <w:p>
            <w:pPr>
              <w:spacing w:after="40" w:before="0" w:line="259" w:lineRule="auto"/>
            </w:pPr>
            <w:r>
              <w:rPr>
                <w:rFonts w:ascii="Calibri" w:hAnsi="Calibri"/>
                <w:b w:val="0"/>
                <w:i w:val="0"/>
                <w:color w:val="212121"/>
                <w:sz w:val="19"/>
              </w:rPr>
              <w:t>High-altitude residents &amp; sojourners (Ladakh, Siachen, Spiti, Sikkim)</w:t>
            </w:r>
          </w:p>
        </w:tc>
        <w:tc>
          <w:tcPr>
            <w:tcW w:type="dxa" w:w="4276"/>
            <w:vAlign w:val="top"/>
          </w:tcPr>
          <w:p>
            <w:pPr>
              <w:spacing w:after="60" w:line="259" w:lineRule="auto"/>
            </w:pPr>
            <w:r>
              <w:rPr>
                <w:rFonts w:ascii="Calibri" w:hAnsi="Calibri"/>
                <w:b w:val="0"/>
                <w:i w:val="0"/>
                <w:color w:val="212121"/>
                <w:sz w:val="19"/>
              </w:rPr>
              <w:t>On ascent, hypoxia drives hyperventilation that lowers CO2 below the apneic threshold, producing periodic (Cheyne–Stokes-like) breathing during sleep. India stations very large numbers of soldiers and hosts pilgrims and trekkers at extreme altitude, making this a distinctly Indian at-risk group.</w:t>
            </w:r>
          </w:p>
          <w:p>
            <w:pPr>
              <w:spacing w:after="40" w:before="60" w:line="259" w:lineRule="auto"/>
            </w:pPr>
            <w:r>
              <w:rPr>
                <w:rFonts w:ascii="Calibri" w:hAnsi="Calibri"/>
                <w:b w:val="0"/>
                <w:i w:val="0"/>
                <w:color w:val="212121"/>
                <w:sz w:val="19"/>
              </w:rPr>
              <w:t>High-altitude periodic breathing during sleep is almost universal among sojourners above ~2,500–3,000 m; one study recorded periodic breathing over ~10.5% of total sleep time.</w:t>
            </w:r>
          </w:p>
          <w:p>
            <w:pPr>
              <w:spacing w:after="40" w:line="252" w:lineRule="auto"/>
            </w:pPr>
            <w:hyperlink r:id="rId10">
              <w:r>
                <w:rPr>
                  <w:rFonts w:ascii="Calibri" w:hAnsi="Calibri" w:cs="Calibri"/>
                  <w:sz w:val="18"/>
                  <w:color w:val="1155CC"/>
                  <w:u w:val="single"/>
                </w:rPr>
                <w:t xml:space="preserve">pubmed.ncbi.nlm.nih.gov/38534039 — periodic breathing at high altitude</w:t>
              </w:r>
            </w:hyperlink>
          </w:p>
          <w:p>
            <w:pPr>
              <w:spacing w:before="60" w:after="40"/>
            </w:pPr>
            <w:r>
              <w:rPr>
                <w:rFonts w:ascii="Calibri" w:hAnsi="Calibri"/>
                <w:b w:val="0"/>
                <w:i w:val="0"/>
                <w:color w:val="5A5A5A"/>
                <w:sz w:val="18"/>
              </w:rPr>
              <w:t>#highaltitude  #Ladakh  #Siachen  #periodicbreathing  #hypoxia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Health-system / disease burden</w:t>
            </w:r>
          </w:p>
        </w:tc>
        <w:tc>
          <w:tcPr>
            <w:tcW w:type="dxa" w:w="2160"/>
            <w:vAlign w:val="top"/>
          </w:tcPr>
          <w:p>
            <w:pPr>
              <w:spacing w:after="40" w:before="0" w:line="259" w:lineRule="auto"/>
            </w:pPr>
            <w:r>
              <w:rPr>
                <w:rFonts w:ascii="Calibri" w:hAnsi="Calibri"/>
                <w:b w:val="0"/>
                <w:i w:val="0"/>
                <w:color w:val="212121"/>
                <w:sz w:val="19"/>
              </w:rPr>
              <w:t>Indian heart-failure population</w:t>
            </w:r>
          </w:p>
        </w:tc>
        <w:tc>
          <w:tcPr>
            <w:tcW w:type="dxa" w:w="4276"/>
            <w:vAlign w:val="top"/>
          </w:tcPr>
          <w:p>
            <w:pPr>
              <w:spacing w:after="60" w:line="259" w:lineRule="auto"/>
            </w:pPr>
            <w:r>
              <w:rPr>
                <w:rFonts w:ascii="Calibri" w:hAnsi="Calibri"/>
                <w:b w:val="0"/>
                <w:i w:val="0"/>
                <w:color w:val="212121"/>
                <w:sz w:val="19"/>
              </w:rPr>
              <w:t>Because heart failure is the leading cause of Cheyne–Stokes CSA, India's very large and comparatively YOUNG heart-failure population is a major reservoir of undetected central apnea; Indian patients present about a decade earlier than Western cohorts.</w:t>
            </w:r>
          </w:p>
          <w:p>
            <w:pPr>
              <w:spacing w:after="40" w:before="60" w:line="259" w:lineRule="auto"/>
            </w:pPr>
            <w:r>
              <w:rPr>
                <w:rFonts w:ascii="Calibri" w:hAnsi="Calibri"/>
                <w:b w:val="0"/>
                <w:i w:val="0"/>
                <w:color w:val="212121"/>
                <w:sz w:val="19"/>
              </w:rPr>
              <w:t>India's national heart-failure registry enrolled 10,851 patients; the Trivandrum registry documented a mean age around 60 years, roughly a decade younger than Western heart-failure cohorts.</w:t>
            </w:r>
          </w:p>
          <w:p>
            <w:pPr>
              <w:spacing w:after="40" w:line="252" w:lineRule="auto"/>
            </w:pPr>
            <w:hyperlink r:id="rId11">
              <w:r>
                <w:rPr>
                  <w:rFonts w:ascii="Calibri" w:hAnsi="Calibri" w:cs="Calibri"/>
                  <w:sz w:val="18"/>
                  <w:color w:val="1155CC"/>
                  <w:u w:val="single"/>
                </w:rPr>
                <w:t xml:space="preserve">pubmed.ncbi.nlm.nih.gov/36214477 — National Heart Failure Registry (India)</w:t>
              </w:r>
            </w:hyperlink>
          </w:p>
          <w:p>
            <w:pPr>
              <w:spacing w:before="60" w:after="40"/>
            </w:pPr>
            <w:r>
              <w:rPr>
                <w:rFonts w:ascii="Calibri" w:hAnsi="Calibri"/>
                <w:b w:val="0"/>
                <w:i w:val="0"/>
                <w:color w:val="5A5A5A"/>
                <w:sz w:val="18"/>
              </w:rPr>
              <w:t>#heartfailure  #India  #youngerHF  #CheyneStokes  #registry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Opioid / sedative use</w:t>
            </w:r>
          </w:p>
        </w:tc>
        <w:tc>
          <w:tcPr>
            <w:tcW w:type="dxa" w:w="2160"/>
            <w:vAlign w:val="top"/>
          </w:tcPr>
          <w:p>
            <w:pPr>
              <w:spacing w:after="40" w:before="0" w:line="259" w:lineRule="auto"/>
            </w:pPr>
            <w:r>
              <w:rPr>
                <w:rFonts w:ascii="Calibri" w:hAnsi="Calibri"/>
                <w:b w:val="0"/>
                <w:i w:val="0"/>
                <w:color w:val="212121"/>
                <w:sz w:val="19"/>
              </w:rPr>
              <w:t>Chronic opioid users (chronic pain, opioid use disorder)</w:t>
            </w:r>
          </w:p>
        </w:tc>
        <w:tc>
          <w:tcPr>
            <w:tcW w:type="dxa" w:w="4276"/>
            <w:vAlign w:val="top"/>
          </w:tcPr>
          <w:p>
            <w:pPr>
              <w:spacing w:after="60" w:line="259" w:lineRule="auto"/>
            </w:pPr>
            <w:r>
              <w:rPr>
                <w:rFonts w:ascii="Calibri" w:hAnsi="Calibri"/>
                <w:b w:val="0"/>
                <w:i w:val="0"/>
                <w:color w:val="212121"/>
                <w:sz w:val="19"/>
              </w:rPr>
              <w:t>Long-term opioids depress the brainstem respiratory rhythm generator and blunt CO2 responsiveness, producing a characteristic ataxic/central apnea pattern; risk is dose-related and amplified by co-sedatives.</w:t>
            </w:r>
          </w:p>
          <w:p>
            <w:pPr>
              <w:spacing w:after="40" w:before="60" w:line="259" w:lineRule="auto"/>
            </w:pPr>
            <w:r>
              <w:rPr>
                <w:rFonts w:ascii="Calibri" w:hAnsi="Calibri"/>
                <w:b w:val="0"/>
                <w:i w:val="0"/>
                <w:color w:val="212121"/>
                <w:sz w:val="19"/>
              </w:rPr>
              <w:t>Among chronic opioid users, central sleep apnea prevalence was about 24% in one cohort, and 33% (sleep clinic) and 20% (pain clinic) in a meta-analysis.</w:t>
            </w:r>
          </w:p>
          <w:p>
            <w:pPr>
              <w:spacing w:after="40" w:line="252" w:lineRule="auto"/>
            </w:pPr>
            <w:hyperlink r:id="rId12">
              <w:r>
                <w:rPr>
                  <w:rFonts w:ascii="Calibri" w:hAnsi="Calibri" w:cs="Calibri"/>
                  <w:sz w:val="18"/>
                  <w:color w:val="1155CC"/>
                  <w:u w:val="single"/>
                </w:rPr>
                <w:t xml:space="preserve">pubmed.ncbi.nlm.nih.gov/32105208 — opioids &amp; sleep-disordered breathing (meta-analysis)</w:t>
              </w:r>
            </w:hyperlink>
          </w:p>
          <w:p>
            <w:pPr>
              <w:spacing w:before="60" w:after="40"/>
            </w:pPr>
            <w:r>
              <w:rPr>
                <w:rFonts w:ascii="Calibri" w:hAnsi="Calibri"/>
                <w:b w:val="0"/>
                <w:i w:val="0"/>
                <w:color w:val="5A5A5A"/>
                <w:sz w:val="18"/>
              </w:rPr>
              <w:t>#opioids  #respiratorydepression  #ataxicbreathing  #sedatives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High-altitude activity</w:t>
            </w:r>
          </w:p>
        </w:tc>
        <w:tc>
          <w:tcPr>
            <w:tcW w:type="dxa" w:w="2160"/>
            <w:vAlign w:val="top"/>
          </w:tcPr>
          <w:p>
            <w:pPr>
              <w:spacing w:after="40" w:before="0" w:line="259" w:lineRule="auto"/>
            </w:pPr>
            <w:r>
              <w:rPr>
                <w:rFonts w:ascii="Calibri" w:hAnsi="Calibri"/>
                <w:b w:val="0"/>
                <w:i w:val="0"/>
                <w:color w:val="212121"/>
                <w:sz w:val="19"/>
              </w:rPr>
              <w:t>Soldiers, mountaineers, pilgrims &amp; trekkers</w:t>
            </w:r>
          </w:p>
        </w:tc>
        <w:tc>
          <w:tcPr>
            <w:tcW w:type="dxa" w:w="4276"/>
            <w:vAlign w:val="top"/>
          </w:tcPr>
          <w:p>
            <w:pPr>
              <w:spacing w:after="60" w:line="259" w:lineRule="auto"/>
            </w:pPr>
            <w:r>
              <w:rPr>
                <w:rFonts w:ascii="Calibri" w:hAnsi="Calibri"/>
                <w:b w:val="0"/>
                <w:i w:val="0"/>
                <w:color w:val="212121"/>
                <w:sz w:val="19"/>
              </w:rPr>
              <w:t>Rapid ascent for military postings or pilgrimage (e.g., Amarnath, Kail–Mansarovar, Leh) without acclimatisation provokes periodic breathing and fragmented, hypoxic sleep, worsening acute mountain sickness.</w:t>
            </w:r>
          </w:p>
          <w:p>
            <w:pPr>
              <w:spacing w:after="40" w:before="60" w:line="259" w:lineRule="auto"/>
            </w:pPr>
            <w:r>
              <w:rPr>
                <w:rFonts w:ascii="Calibri" w:hAnsi="Calibri"/>
                <w:b w:val="0"/>
                <w:i w:val="0"/>
                <w:color w:val="212121"/>
                <w:sz w:val="19"/>
              </w:rPr>
              <w:t>Periodic breathing during sleep is a near-universal feature of un-acclimatised ascent to high altitude.</w:t>
            </w:r>
          </w:p>
          <w:p>
            <w:pPr>
              <w:spacing w:after="40" w:line="252" w:lineRule="auto"/>
            </w:pPr>
            <w:hyperlink r:id="rId13">
              <w:r>
                <w:rPr>
                  <w:rFonts w:ascii="Calibri" w:hAnsi="Calibri" w:cs="Calibri"/>
                  <w:sz w:val="18"/>
                  <w:color w:val="1155CC"/>
                  <w:u w:val="single"/>
                </w:rPr>
                <w:t xml:space="preserve">pubmed.ncbi.nlm.nih.gov/26483979 — periodic breathing &amp; awakenings at altitude</w:t>
              </w:r>
            </w:hyperlink>
          </w:p>
          <w:p>
            <w:pPr>
              <w:spacing w:before="60" w:after="40"/>
            </w:pPr>
            <w:r>
              <w:rPr>
                <w:rFonts w:ascii="Calibri" w:hAnsi="Calibri"/>
                <w:b w:val="0"/>
                <w:i w:val="0"/>
                <w:color w:val="5A5A5A"/>
                <w:sz w:val="18"/>
              </w:rPr>
              <w:t>#mountaineers  #soldiers  #pilgrimage  #acclimatisation  #AMS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&amp; hypnotics</w:t>
            </w:r>
          </w:p>
        </w:tc>
        <w:tc>
          <w:tcPr>
            <w:tcW w:type="dxa" w:w="2160"/>
            <w:vAlign w:val="top"/>
          </w:tcPr>
          <w:p>
            <w:pPr>
              <w:spacing w:after="40" w:before="0" w:line="259" w:lineRule="auto"/>
            </w:pPr>
            <w:r>
              <w:rPr>
                <w:rFonts w:ascii="Calibri" w:hAnsi="Calibri"/>
                <w:b w:val="0"/>
                <w:i w:val="0"/>
                <w:color w:val="212121"/>
                <w:sz w:val="19"/>
              </w:rPr>
              <w:t>Evening alcohol and sedative-hypnotic users</w:t>
            </w:r>
          </w:p>
        </w:tc>
        <w:tc>
          <w:tcPr>
            <w:tcW w:type="dxa" w:w="4276"/>
            <w:vAlign w:val="top"/>
          </w:tcPr>
          <w:p>
            <w:pPr>
              <w:spacing w:after="60" w:line="259" w:lineRule="auto"/>
            </w:pPr>
            <w:r>
              <w:rPr>
                <w:rFonts w:ascii="Calibri" w:hAnsi="Calibri"/>
                <w:b w:val="0"/>
                <w:i w:val="0"/>
                <w:color w:val="212121"/>
                <w:sz w:val="19"/>
              </w:rPr>
              <w:t>Alcohol and benzodiazepine/Z-drug hypnotics are CNS depressants that lower respiratory drive and destabilise breathing during sleep, deepening nocturnal hypoxia and worsening central events — especially with opioids.</w:t>
            </w:r>
          </w:p>
          <w:p>
            <w:pPr>
              <w:spacing w:after="40" w:before="60" w:line="259" w:lineRule="auto"/>
            </w:pPr>
            <w:r>
              <w:rPr>
                <w:rFonts w:ascii="Calibri" w:hAnsi="Calibri"/>
                <w:b w:val="0"/>
                <w:i w:val="0"/>
                <w:color w:val="212121"/>
                <w:sz w:val="19"/>
              </w:rPr>
              <w:t>CNS-depressant medications suppress the brainstem respiratory rhythm generator and can precipitate or worsen central apneas.</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#alcohol  #sedatives  #CNSdepressant  #nocturnalhypoxia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is not a direct cause but strongly promotes the cardiovascular substrate of CSA — heart failure, atrial fibrillation and stroke — and worsens overall sleep-disordered breathing.</w:t>
            </w:r>
          </w:p>
          <w:p>
            <w:pPr>
              <w:spacing w:after="40" w:before="60" w:line="259" w:lineRule="auto"/>
            </w:pPr>
            <w:r>
              <w:rPr>
                <w:rFonts w:ascii="Calibri" w:hAnsi="Calibri"/>
                <w:b w:val="0"/>
                <w:i w:val="0"/>
                <w:color w:val="212121"/>
                <w:sz w:val="19"/>
              </w:rPr>
              <w:t>Smoking is a well-established risk factor for the heart failure, atrial fibrillation and stroke that underlie Cheyne–Stokes central sleep apnea.</w:t>
            </w:r>
          </w:p>
          <w:p>
            <w:pPr>
              <w:spacing w:after="40" w:line="252" w:lineRule="auto"/>
            </w:pPr>
            <w:hyperlink r:id="rId14">
              <w:r>
                <w:rPr>
                  <w:rFonts w:ascii="Calibri" w:hAnsi="Calibri" w:cs="Calibri"/>
                  <w:sz w:val="18"/>
                  <w:color w:val="1155CC"/>
                  <w:u w:val="single"/>
                </w:rPr>
                <w:t xml:space="preserve">pubmed.ncbi.nlm.nih.gov/28209226 — sleep apnea &amp; cardiovascular consequences</w:t>
              </w:r>
            </w:hyperlink>
          </w:p>
          <w:p>
            <w:pPr>
              <w:spacing w:before="60" w:after="40"/>
            </w:pPr>
            <w:r>
              <w:rPr>
                <w:rFonts w:ascii="Calibri" w:hAnsi="Calibri"/>
                <w:b w:val="0"/>
                <w:i w:val="0"/>
                <w:color w:val="5A5A5A"/>
                <w:sz w:val="18"/>
              </w:rPr>
              <w:t>#smoking  #cardiovascular  #atrialfibrillation  #stroke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Sodium / fluid overload</w:t>
            </w:r>
          </w:p>
        </w:tc>
        <w:tc>
          <w:tcPr>
            <w:tcW w:type="dxa" w:w="2160"/>
            <w:vAlign w:val="top"/>
          </w:tcPr>
          <w:p>
            <w:pPr>
              <w:spacing w:after="40" w:before="0" w:line="259" w:lineRule="auto"/>
            </w:pPr>
            <w:r>
              <w:rPr>
                <w:rFonts w:ascii="Calibri" w:hAnsi="Calibri"/>
                <w:b w:val="0"/>
                <w:i w:val="0"/>
                <w:color w:val="212121"/>
                <w:sz w:val="19"/>
              </w:rPr>
              <w:t>High-salt diet in heart-failure / renal patients</w:t>
            </w:r>
          </w:p>
        </w:tc>
        <w:tc>
          <w:tcPr>
            <w:tcW w:type="dxa" w:w="4276"/>
            <w:vAlign w:val="top"/>
          </w:tcPr>
          <w:p>
            <w:pPr>
              <w:spacing w:after="60" w:line="259" w:lineRule="auto"/>
            </w:pPr>
            <w:r>
              <w:rPr>
                <w:rFonts w:ascii="Calibri" w:hAnsi="Calibri"/>
                <w:b w:val="0"/>
                <w:i w:val="0"/>
                <w:color w:val="212121"/>
                <w:sz w:val="19"/>
              </w:rPr>
              <w:t>Excess dietary sodium aggravates fluid retention and pulmonary congestion in heart failure and, with recumbency, rostral fluid shift — both of which intensify hyperventilation-driven Cheyne–Stokes central apneas.</w:t>
            </w:r>
          </w:p>
          <w:p>
            <w:pPr>
              <w:spacing w:after="40" w:before="60" w:line="259" w:lineRule="auto"/>
            </w:pPr>
            <w:r>
              <w:rPr>
                <w:rFonts w:ascii="Calibri" w:hAnsi="Calibri"/>
                <w:b w:val="0"/>
                <w:i w:val="0"/>
                <w:color w:val="212121"/>
                <w:sz w:val="19"/>
              </w:rPr>
              <w:t>Fluid overload and pulmonary congestion in heart failure promote the hyperventilation that underlies Cheyne–Stokes respiration.</w:t>
            </w:r>
          </w:p>
          <w:p>
            <w:pPr>
              <w:spacing w:after="40" w:line="252" w:lineRule="auto"/>
            </w:pPr>
            <w:hyperlink r:id="rId15">
              <w:r>
                <w:rPr>
                  <w:rFonts w:ascii="Calibri" w:hAnsi="Calibri" w:cs="Calibri"/>
                  <w:sz w:val="18"/>
                  <w:color w:val="1155CC"/>
                  <w:u w:val="single"/>
                </w:rPr>
                <w:t xml:space="preserve">pubmed.ncbi.nlm.nih.gov/16052417 — CSA in congestive heart failure</w:t>
              </w:r>
            </w:hyperlink>
          </w:p>
          <w:p>
            <w:pPr>
              <w:spacing w:before="60" w:after="40"/>
            </w:pPr>
            <w:r>
              <w:rPr>
                <w:rFonts w:ascii="Calibri" w:hAnsi="Calibri"/>
                <w:b w:val="0"/>
                <w:i w:val="0"/>
                <w:color w:val="5A5A5A"/>
                <w:sz w:val="18"/>
              </w:rPr>
              <w:t>#sodium  #fluidoverload  #congestion  #rostralfluidshift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intake</w:t>
            </w:r>
          </w:p>
        </w:tc>
        <w:tc>
          <w:tcPr>
            <w:tcW w:type="dxa" w:w="2160"/>
            <w:vAlign w:val="top"/>
          </w:tcPr>
          <w:p>
            <w:pPr>
              <w:spacing w:after="40" w:before="0" w:line="259" w:lineRule="auto"/>
            </w:pPr>
            <w:r>
              <w:rPr>
                <w:rFonts w:ascii="Calibri" w:hAnsi="Calibri"/>
                <w:b w:val="0"/>
                <w:i w:val="0"/>
                <w:color w:val="212121"/>
                <w:sz w:val="19"/>
              </w:rPr>
              <w:t>Heavy / near-bedtime drinkers</w:t>
            </w:r>
          </w:p>
        </w:tc>
        <w:tc>
          <w:tcPr>
            <w:tcW w:type="dxa" w:w="4276"/>
            <w:vAlign w:val="top"/>
          </w:tcPr>
          <w:p>
            <w:pPr>
              <w:spacing w:after="60" w:line="259" w:lineRule="auto"/>
            </w:pPr>
            <w:r>
              <w:rPr>
                <w:rFonts w:ascii="Calibri" w:hAnsi="Calibri"/>
                <w:b w:val="0"/>
                <w:i w:val="0"/>
                <w:color w:val="212121"/>
                <w:sz w:val="19"/>
              </w:rPr>
              <w:t>Beyond its sedative effect, regular heavy alcohol intake contributes to cardiomyopathy and atrial fibrillation, indirectly enlarging the pool at risk of central and Cheyne–Stokes apneas.</w:t>
            </w:r>
          </w:p>
          <w:p>
            <w:pPr>
              <w:spacing w:after="40" w:before="60" w:line="259" w:lineRule="auto"/>
            </w:pPr>
            <w:r>
              <w:rPr>
                <w:rFonts w:ascii="Calibri" w:hAnsi="Calibri"/>
                <w:b w:val="0"/>
                <w:i w:val="0"/>
                <w:color w:val="212121"/>
                <w:sz w:val="19"/>
              </w:rPr>
              <w:t>Alcohol is a respiratory depressant and a contributor to the cardiac disease that predisposes to central apnea.</w:t>
            </w:r>
          </w:p>
          <w:p>
            <w:pPr>
              <w:spacing w:before="60" w:after="40"/>
            </w:pPr>
            <w:r>
              <w:rPr>
                <w:rFonts w:ascii="Calibri" w:hAnsi="Calibri"/>
                <w:b w:val="0"/>
                <w:i w:val="0"/>
                <w:color w:val="5A5A5A"/>
                <w:sz w:val="18"/>
              </w:rPr>
              <w:t>#alcohol  #cardiomyopathy  #respiratorydrive  #bedtime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cardiomyopathy / heart failure</w:t>
            </w:r>
          </w:p>
        </w:tc>
        <w:tc>
          <w:tcPr>
            <w:tcW w:type="dxa" w:w="4276"/>
            <w:vAlign w:val="top"/>
          </w:tcPr>
          <w:p>
            <w:pPr>
              <w:spacing w:after="60" w:line="259" w:lineRule="auto"/>
            </w:pPr>
            <w:r>
              <w:rPr>
                <w:rFonts w:ascii="Calibri" w:hAnsi="Calibri"/>
                <w:b w:val="0"/>
                <w:i w:val="0"/>
                <w:color w:val="212121"/>
                <w:sz w:val="19"/>
              </w:rPr>
              <w:t>An inherited predisposition to cardiomyopathy, heart failure or arrhythmia indirectly raises CSA risk by producing the circulatory delay and congestion that generate Cheyne–Stokes breathing.</w:t>
            </w:r>
          </w:p>
          <w:p>
            <w:pPr>
              <w:spacing w:after="40" w:before="60" w:line="259" w:lineRule="auto"/>
            </w:pPr>
            <w:r>
              <w:rPr>
                <w:rFonts w:ascii="Calibri" w:hAnsi="Calibri"/>
                <w:b w:val="0"/>
                <w:i w:val="0"/>
                <w:color w:val="212121"/>
                <w:sz w:val="19"/>
              </w:rPr>
              <w:t>Heart failure and atrial fibrillation — both with strong familial components — are leading causes of Cheyne–Stokes central sleep apnea.</w:t>
            </w:r>
          </w:p>
          <w:p>
            <w:pPr>
              <w:spacing w:after="40" w:line="252" w:lineRule="auto"/>
            </w:pPr>
            <w:hyperlink r:id="rId16">
              <w:r>
                <w:rPr>
                  <w:rFonts w:ascii="Calibri" w:hAnsi="Calibri" w:cs="Calibri"/>
                  <w:sz w:val="18"/>
                  <w:color w:val="1155CC"/>
                  <w:u w:val="single"/>
                </w:rPr>
                <w:t xml:space="preserve">pubmed.ncbi.nlm.nih.gov/29411336 — CSA with Cheyne–Stokes in heart failure</w:t>
              </w:r>
            </w:hyperlink>
          </w:p>
          <w:p>
            <w:pPr>
              <w:spacing w:before="60" w:after="40"/>
            </w:pPr>
            <w:r>
              <w:rPr>
                <w:rFonts w:ascii="Calibri" w:hAnsi="Calibri"/>
                <w:b w:val="0"/>
                <w:i w:val="0"/>
                <w:color w:val="5A5A5A"/>
                <w:sz w:val="18"/>
              </w:rPr>
              <w:t>#familyhistory  #cardiomyopathy  #inherited  #arrhythmia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control disorder</w:t>
            </w:r>
          </w:p>
        </w:tc>
        <w:tc>
          <w:tcPr>
            <w:tcW w:type="dxa" w:w="2160"/>
            <w:vAlign w:val="top"/>
          </w:tcPr>
          <w:p>
            <w:pPr>
              <w:spacing w:after="40" w:before="0" w:line="259" w:lineRule="auto"/>
            </w:pPr>
            <w:r>
              <w:rPr>
                <w:rFonts w:ascii="Calibri" w:hAnsi="Calibri"/>
                <w:b w:val="0"/>
                <w:i w:val="0"/>
                <w:color w:val="212121"/>
                <w:sz w:val="19"/>
              </w:rPr>
              <w:t>Congenital central hypoventilation syndrome (PHOX2B)</w:t>
            </w:r>
          </w:p>
        </w:tc>
        <w:tc>
          <w:tcPr>
            <w:tcW w:type="dxa" w:w="4276"/>
            <w:vAlign w:val="top"/>
          </w:tcPr>
          <w:p>
            <w:pPr>
              <w:spacing w:after="60" w:line="259" w:lineRule="auto"/>
            </w:pPr>
            <w:r>
              <w:rPr>
                <w:rFonts w:ascii="Calibri" w:hAnsi="Calibri"/>
                <w:b w:val="0"/>
                <w:i w:val="0"/>
                <w:color w:val="212121"/>
                <w:sz w:val="19"/>
              </w:rPr>
              <w:t>A rare monogenic disorder of the PHOX2B gene disables automatic control of breathing during sleep, the archetype of a purely central, non-obstructive apnea presenting from infancy.</w:t>
            </w:r>
          </w:p>
          <w:p>
            <w:pPr>
              <w:spacing w:after="40" w:before="60" w:line="259" w:lineRule="auto"/>
            </w:pPr>
            <w:r>
              <w:rPr>
                <w:rFonts w:ascii="Calibri" w:hAnsi="Calibri"/>
                <w:b w:val="0"/>
                <w:i w:val="0"/>
                <w:color w:val="212121"/>
                <w:sz w:val="19"/>
              </w:rPr>
              <w:t>Congenital central hypoventilation syndrome is a recognised monogenic (PHOX2B) cause of central sleep apnea from early life.</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#PHOX2B  #congenital  #CCHS  #hypoventilation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Heart failure</w:t>
            </w:r>
          </w:p>
        </w:tc>
        <w:tc>
          <w:tcPr>
            <w:tcW w:type="dxa" w:w="2160"/>
            <w:vAlign w:val="top"/>
          </w:tcPr>
          <w:p>
            <w:pPr>
              <w:spacing w:after="40" w:before="0" w:line="259" w:lineRule="auto"/>
            </w:pPr>
            <w:r>
              <w:rPr>
                <w:rFonts w:ascii="Calibri" w:hAnsi="Calibri"/>
                <w:b w:val="0"/>
                <w:i w:val="0"/>
                <w:color w:val="212121"/>
                <w:sz w:val="19"/>
              </w:rPr>
              <w:t>Patients with heart failure (esp. HFrEF)</w:t>
            </w:r>
          </w:p>
        </w:tc>
        <w:tc>
          <w:tcPr>
            <w:tcW w:type="dxa" w:w="4276"/>
            <w:vAlign w:val="top"/>
          </w:tcPr>
          <w:p>
            <w:pPr>
              <w:spacing w:after="60" w:line="259" w:lineRule="auto"/>
            </w:pPr>
            <w:r>
              <w:rPr>
                <w:rFonts w:ascii="Calibri" w:hAnsi="Calibri"/>
                <w:b w:val="0"/>
                <w:i w:val="0"/>
                <w:color w:val="212121"/>
                <w:sz w:val="19"/>
              </w:rPr>
              <w:t>Heart failure is the leading cause of central and Cheyne–Stokes apnea; prolonged circulation time and congestion drive periodic breathing, and CSA in turn accelerates cardiac decline — a vicious cycle.</w:t>
            </w:r>
          </w:p>
          <w:p>
            <w:pPr>
              <w:spacing w:after="40" w:before="60" w:line="259" w:lineRule="auto"/>
            </w:pPr>
            <w:r>
              <w:rPr>
                <w:rFonts w:ascii="Calibri" w:hAnsi="Calibri"/>
                <w:b w:val="0"/>
                <w:i w:val="0"/>
                <w:color w:val="212121"/>
                <w:sz w:val="19"/>
              </w:rPr>
              <w:t>Sleep-disordered breathing affects more than 50% of patients with heart failure, with central apnea a major component.</w:t>
            </w:r>
          </w:p>
          <w:p>
            <w:pPr>
              <w:spacing w:after="40" w:line="252" w:lineRule="auto"/>
            </w:pPr>
            <w:hyperlink r:id="rId17">
              <w:r>
                <w:rPr>
                  <w:rFonts w:ascii="Calibri" w:hAnsi="Calibri" w:cs="Calibri"/>
                  <w:sz w:val="18"/>
                  <w:color w:val="1155CC"/>
                  <w:u w:val="single"/>
                </w:rPr>
                <w:t xml:space="preserve">pubmed.ncbi.nlm.nih.gov/26567495 — sleep-disordered breathing in heart failure</w:t>
              </w:r>
            </w:hyperlink>
          </w:p>
          <w:p>
            <w:pPr>
              <w:spacing w:before="60" w:after="40"/>
            </w:pPr>
            <w:r>
              <w:rPr>
                <w:rFonts w:ascii="Calibri" w:hAnsi="Calibri"/>
                <w:b w:val="0"/>
                <w:i w:val="0"/>
                <w:color w:val="5A5A5A"/>
                <w:sz w:val="18"/>
              </w:rPr>
              <w:t>#HFrEF  #CheyneStokes  #circulationtime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Patients with atrial fibrillation</w:t>
            </w:r>
          </w:p>
        </w:tc>
        <w:tc>
          <w:tcPr>
            <w:tcW w:type="dxa" w:w="4276"/>
            <w:vAlign w:val="top"/>
          </w:tcPr>
          <w:p>
            <w:pPr>
              <w:spacing w:after="60" w:line="259" w:lineRule="auto"/>
            </w:pPr>
            <w:r>
              <w:rPr>
                <w:rFonts w:ascii="Calibri" w:hAnsi="Calibri"/>
                <w:b w:val="0"/>
                <w:i w:val="0"/>
                <w:color w:val="212121"/>
                <w:sz w:val="19"/>
              </w:rPr>
              <w:t>Atrial fibrillation and CSA are bidirectionally linked: the arrhythmia reduces cardiac output and promotes periodic breathing, while nocturnal hypoxia and sympathetic surges perpetuate the arrhythmia.</w:t>
            </w:r>
          </w:p>
          <w:p>
            <w:pPr>
              <w:spacing w:after="40" w:before="60" w:line="259" w:lineRule="auto"/>
            </w:pPr>
            <w:r>
              <w:rPr>
                <w:rFonts w:ascii="Calibri" w:hAnsi="Calibri"/>
                <w:b w:val="0"/>
                <w:i w:val="0"/>
                <w:color w:val="212121"/>
                <w:sz w:val="19"/>
              </w:rPr>
              <w:t>Atrial fibrillation is an established associate and predictor of central sleep apnea / Cheyne–Stokes respiration.</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#atrialfibrillation  #arrhythmia  #hypoxia  #sympathetic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Stroke / TIA</w:t>
            </w:r>
          </w:p>
        </w:tc>
        <w:tc>
          <w:tcPr>
            <w:tcW w:type="dxa" w:w="2160"/>
            <w:vAlign w:val="top"/>
          </w:tcPr>
          <w:p>
            <w:pPr>
              <w:spacing w:after="40" w:before="0" w:line="259" w:lineRule="auto"/>
            </w:pPr>
            <w:r>
              <w:rPr>
                <w:rFonts w:ascii="Calibri" w:hAnsi="Calibri"/>
                <w:b w:val="0"/>
                <w:i w:val="0"/>
                <w:color w:val="212121"/>
                <w:sz w:val="19"/>
              </w:rPr>
              <w:t>Patients after stroke or with brainstem lesions</w:t>
            </w:r>
          </w:p>
        </w:tc>
        <w:tc>
          <w:tcPr>
            <w:tcW w:type="dxa" w:w="4276"/>
            <w:vAlign w:val="top"/>
          </w:tcPr>
          <w:p>
            <w:pPr>
              <w:spacing w:after="60" w:line="259" w:lineRule="auto"/>
            </w:pPr>
            <w:r>
              <w:rPr>
                <w:rFonts w:ascii="Calibri" w:hAnsi="Calibri"/>
                <w:b w:val="0"/>
                <w:i w:val="0"/>
                <w:color w:val="212121"/>
                <w:sz w:val="19"/>
              </w:rPr>
              <w:t>Cerebrovascular disease can directly damage the medullary respiratory centres or destabilise their control, producing central apneas and Cheyne–Stokes breathing that in turn worsen post-stroke outcomes.</w:t>
            </w:r>
          </w:p>
          <w:p>
            <w:pPr>
              <w:spacing w:after="40" w:before="60" w:line="259" w:lineRule="auto"/>
            </w:pPr>
            <w:r>
              <w:rPr>
                <w:rFonts w:ascii="Calibri" w:hAnsi="Calibri"/>
                <w:b w:val="0"/>
                <w:i w:val="0"/>
                <w:color w:val="212121"/>
                <w:sz w:val="19"/>
              </w:rPr>
              <w:t>Stroke and brainstem lesions are recognised causes of central sleep apnea, listed among its principal etiologies.</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#stroke  #brainstem  #medulla  #poststroke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renal failure / on dialysis</w:t>
            </w:r>
          </w:p>
        </w:tc>
        <w:tc>
          <w:tcPr>
            <w:tcW w:type="dxa" w:w="4276"/>
            <w:vAlign w:val="top"/>
          </w:tcPr>
          <w:p>
            <w:pPr>
              <w:spacing w:after="60" w:line="259" w:lineRule="auto"/>
            </w:pPr>
            <w:r>
              <w:rPr>
                <w:rFonts w:ascii="Calibri" w:hAnsi="Calibri"/>
                <w:b w:val="0"/>
                <w:i w:val="0"/>
                <w:color w:val="212121"/>
                <w:sz w:val="19"/>
              </w:rPr>
              <w:t>Uraemia, metabolic acidosis and fluid overload in advanced kidney disease destabilise ventilatory control and, with recumbent fluid shift, promote central and periodic breathing during sleep.</w:t>
            </w:r>
          </w:p>
          <w:p>
            <w:pPr>
              <w:spacing w:after="40" w:before="60" w:line="259" w:lineRule="auto"/>
            </w:pPr>
            <w:r>
              <w:rPr>
                <w:rFonts w:ascii="Calibri" w:hAnsi="Calibri"/>
                <w:b w:val="0"/>
                <w:i w:val="0"/>
                <w:color w:val="212121"/>
                <w:sz w:val="19"/>
              </w:rPr>
              <w:t>Renal failure is listed among the major medical causes of central sleep apnea.</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#CKD  #dialysis  #uraemia  #fluidshift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OSA overlap / CPAP</w:t>
            </w:r>
          </w:p>
        </w:tc>
        <w:tc>
          <w:tcPr>
            <w:tcW w:type="dxa" w:w="2160"/>
            <w:vAlign w:val="top"/>
          </w:tcPr>
          <w:p>
            <w:pPr>
              <w:spacing w:after="40" w:before="0" w:line="259" w:lineRule="auto"/>
            </w:pPr>
            <w:r>
              <w:rPr>
                <w:rFonts w:ascii="Calibri" w:hAnsi="Calibri"/>
                <w:b w:val="0"/>
                <w:i w:val="0"/>
                <w:color w:val="212121"/>
                <w:sz w:val="19"/>
              </w:rPr>
              <w:t>OSA patients started on CPAP (treatment-emergent CSA)</w:t>
            </w:r>
          </w:p>
        </w:tc>
        <w:tc>
          <w:tcPr>
            <w:tcW w:type="dxa" w:w="4276"/>
            <w:vAlign w:val="top"/>
          </w:tcPr>
          <w:p>
            <w:pPr>
              <w:spacing w:after="60" w:line="259" w:lineRule="auto"/>
            </w:pPr>
            <w:r>
              <w:rPr>
                <w:rFonts w:ascii="Calibri" w:hAnsi="Calibri"/>
                <w:b w:val="0"/>
                <w:i w:val="0"/>
                <w:color w:val="212121"/>
                <w:sz w:val="19"/>
              </w:rPr>
              <w:t>In some patients with obstructive sleep apnea, relieving the obstruction with CPAP unmasks unstable ventilatory control, generating central events — so-called treatment-emergent or complex sleep apnea.</w:t>
            </w:r>
          </w:p>
          <w:p>
            <w:pPr>
              <w:spacing w:after="40" w:before="60" w:line="259" w:lineRule="auto"/>
            </w:pPr>
            <w:r>
              <w:rPr>
                <w:rFonts w:ascii="Calibri" w:hAnsi="Calibri"/>
                <w:b w:val="0"/>
                <w:i w:val="0"/>
                <w:color w:val="212121"/>
                <w:sz w:val="19"/>
              </w:rPr>
              <w:t>Treatment-emergent central sleep apnea is a recognised ICSD-3 category arising when CPAP is instituted for OSA.</w:t>
            </w:r>
          </w:p>
          <w:p>
            <w:pPr>
              <w:spacing w:after="40" w:line="252" w:lineRule="auto"/>
            </w:pPr>
            <w:hyperlink r:id="rId9">
              <w:r>
                <w:rPr>
                  <w:rFonts w:ascii="Calibri" w:hAnsi="Calibri" w:cs="Calibri"/>
                  <w:sz w:val="18"/>
                  <w:color w:val="1155CC"/>
                  <w:u w:val="single"/>
                </w:rPr>
                <w:t xml:space="preserve">ncbi.nlm.nih.gov — StatPearls: Central Sleep Apnea</w:t>
              </w:r>
            </w:hyperlink>
          </w:p>
          <w:p>
            <w:pPr>
              <w:spacing w:before="60" w:after="40"/>
            </w:pPr>
            <w:r>
              <w:rPr>
                <w:rFonts w:ascii="Calibri" w:hAnsi="Calibri"/>
                <w:b w:val="0"/>
                <w:i w:val="0"/>
                <w:color w:val="5A5A5A"/>
                <w:sz w:val="18"/>
              </w:rPr>
              <w:t>#complexapnea  #CPAP  #treatmentemergent  #overlap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accompanies the heart failure and deconditioning that underlie most CSA; exercise training and cardiac rehabilitation improve ventricular function and may reduce Cheyne–Stokes breathing, though activity is not a direct cause of central apnea.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indirectly: high dietary sodium worsens fluid overload and pulmonary congestion in heart failure, intensifying the hyperventilation that drives Cheyne–Stokes central apneas.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CSA is a sleep-state–dependent disorder: central events cluster at sleep onset and in light NREM sleep and during transitions, and the resulting fragmentation and arousals perpetuate the ventilatory instability.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does not directly cause central apnea but strongly promotes the heart failure, atrial fibrillation and stroke that are its leading secondary causes.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CNS depressant that lowers respiratory drive and deepens nocturnal hypoxia; combined with opioids or sedatives it can markedly worsen central apneas and is dangerous.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Insomnia, anxiety and depression are common in CSA and in heart failure, and sedating psychotropics may aggravate central events; the relationship is bidirectional rather than causal.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Fluid balance matters via heart failure: overload and recumbent rostral fluid shift worsen Cheyne–Stokes breathing, while at altitude dehydration compounds hypoxic periodic breathing.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and related methylxanthines are mild respiratory stimulants; their net effect on established central sleep apnea is small and not a basis for treatment.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personal hygiene and central sleep apnea.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Highly relevant: rapid ascent to high altitude, initiation of chronic opioids or sedatives, acute heart-failure decompensation, stroke, and CPAP initiation for OSA can all provoke or unmask central apneas.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supine position promotes rostral fluid shift and worsens Cheyne–Stokes breathing in heart failure; lateral positioning and head-of-bed elevation can lessen central events in some patients.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Apnea–Hypopnea Index (AHI, events/hour)</w:t>
            </w:r>
          </w:p>
        </w:tc>
        <w:tc>
          <w:tcPr>
            <w:tcW w:type="dxa" w:w="1655"/>
            <w:vAlign w:val="top"/>
          </w:tcPr>
          <w:p>
            <w:pPr>
              <w:spacing w:after="40" w:before="0" w:line="259" w:lineRule="auto"/>
            </w:pPr>
            <w:r>
              <w:rPr>
                <w:rFonts w:ascii="Calibri" w:hAnsi="Calibri"/>
                <w:b w:val="0"/>
                <w:i w:val="0"/>
                <w:color w:val="212121"/>
                <w:sz w:val="19"/>
              </w:rPr>
              <w:t>Adults, elderly, HF patients</w:t>
            </w:r>
          </w:p>
        </w:tc>
        <w:tc>
          <w:tcPr>
            <w:tcW w:type="dxa" w:w="1512"/>
            <w:vAlign w:val="top"/>
          </w:tcPr>
          <w:p>
            <w:pPr>
              <w:spacing w:after="40" w:before="0" w:line="259" w:lineRule="auto"/>
            </w:pPr>
            <w:r>
              <w:rPr>
                <w:rFonts w:ascii="Calibri" w:hAnsi="Calibri"/>
                <w:b w:val="0"/>
                <w:i w:val="0"/>
                <w:color w:val="212121"/>
                <w:sz w:val="19"/>
              </w:rPr>
              <w:t>&lt; 5 /hour</w:t>
            </w:r>
          </w:p>
        </w:tc>
        <w:tc>
          <w:tcPr>
            <w:tcW w:type="dxa" w:w="1512"/>
            <w:vAlign w:val="top"/>
          </w:tcPr>
          <w:p>
            <w:pPr>
              <w:spacing w:after="40" w:before="0" w:line="259" w:lineRule="auto"/>
            </w:pPr>
            <w:r>
              <w:rPr>
                <w:rFonts w:ascii="Calibri" w:hAnsi="Calibri"/>
                <w:b w:val="0"/>
                <w:i w:val="0"/>
                <w:color w:val="212121"/>
                <w:sz w:val="19"/>
              </w:rPr>
              <w:t>≥ 5 /hour (≥ 15 moderate; ≥ 30 severe)</w:t>
            </w:r>
          </w:p>
        </w:tc>
        <w:tc>
          <w:tcPr>
            <w:tcW w:type="dxa" w:w="1468"/>
            <w:vAlign w:val="top"/>
          </w:tcPr>
          <w:p>
            <w:pPr>
              <w:spacing w:after="60" w:line="259" w:lineRule="auto"/>
            </w:pPr>
            <w:r>
              <w:rPr>
                <w:rFonts w:ascii="Calibri" w:hAnsi="Calibri"/>
                <w:b w:val="0"/>
                <w:i w:val="0"/>
                <w:color w:val="212121"/>
                <w:sz w:val="19"/>
              </w:rPr>
              <w:t>Overall event frequency; must be broken down into central vs obstructive</w:t>
            </w:r>
          </w:p>
          <w:p>
            <w:pPr>
              <w:spacing w:after="40" w:line="252" w:lineRule="auto"/>
            </w:pPr>
            <w:hyperlink r:id="rId9">
              <w:r>
                <w:rPr>
                  <w:rFonts w:ascii="Calibri" w:hAnsi="Calibri" w:cs="Calibri"/>
                  <w:sz w:val="18"/>
                  <w:color w:val="1155CC"/>
                  <w:u w:val="single"/>
                </w:rPr>
                <w:t xml:space="preserve">https://www.ncbi.nlm.nih.gov/books/NBK578199/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Central Apnea Index (CAI, events/hour)</w:t>
            </w:r>
          </w:p>
        </w:tc>
        <w:tc>
          <w:tcPr>
            <w:tcW w:type="dxa" w:w="1655"/>
            <w:vAlign w:val="top"/>
          </w:tcPr>
          <w:p>
            <w:pPr>
              <w:spacing w:after="40" w:before="0" w:line="259" w:lineRule="auto"/>
            </w:pPr>
            <w:r>
              <w:rPr>
                <w:rFonts w:ascii="Calibri" w:hAnsi="Calibri"/>
                <w:b w:val="0"/>
                <w:i w:val="0"/>
                <w:color w:val="212121"/>
                <w:sz w:val="19"/>
              </w:rPr>
              <w:t>Suspected CSA, HF, opioid users</w:t>
            </w:r>
          </w:p>
        </w:tc>
        <w:tc>
          <w:tcPr>
            <w:tcW w:type="dxa" w:w="1512"/>
            <w:vAlign w:val="top"/>
          </w:tcPr>
          <w:p>
            <w:pPr>
              <w:spacing w:after="40" w:before="0" w:line="259" w:lineRule="auto"/>
            </w:pPr>
            <w:r>
              <w:rPr>
                <w:rFonts w:ascii="Calibri" w:hAnsi="Calibri"/>
                <w:b w:val="0"/>
                <w:i w:val="0"/>
                <w:color w:val="212121"/>
                <w:sz w:val="19"/>
              </w:rPr>
              <w:t>&lt; 5 /hour</w:t>
            </w:r>
          </w:p>
        </w:tc>
        <w:tc>
          <w:tcPr>
            <w:tcW w:type="dxa" w:w="1512"/>
            <w:vAlign w:val="top"/>
          </w:tcPr>
          <w:p>
            <w:pPr>
              <w:spacing w:after="40" w:before="0" w:line="259" w:lineRule="auto"/>
            </w:pPr>
            <w:r>
              <w:rPr>
                <w:rFonts w:ascii="Calibri" w:hAnsi="Calibri"/>
                <w:b w:val="0"/>
                <w:i w:val="0"/>
                <w:color w:val="212121"/>
                <w:sz w:val="19"/>
              </w:rPr>
              <w:t>≥ 5 /hour and &gt; 50% of events central</w:t>
            </w:r>
          </w:p>
        </w:tc>
        <w:tc>
          <w:tcPr>
            <w:tcW w:type="dxa" w:w="1468"/>
            <w:vAlign w:val="top"/>
          </w:tcPr>
          <w:p>
            <w:pPr>
              <w:spacing w:after="60" w:line="259" w:lineRule="auto"/>
            </w:pPr>
            <w:r>
              <w:rPr>
                <w:rFonts w:ascii="Calibri" w:hAnsi="Calibri"/>
                <w:b w:val="0"/>
                <w:i w:val="0"/>
                <w:color w:val="212121"/>
                <w:sz w:val="19"/>
              </w:rPr>
              <w:t>Defining metric that distinguishes CSA from OSA</w:t>
            </w:r>
          </w:p>
          <w:p>
            <w:pPr>
              <w:spacing w:after="40" w:line="252" w:lineRule="auto"/>
            </w:pPr>
            <w:hyperlink r:id="rId9">
              <w:r>
                <w:rPr>
                  <w:rFonts w:ascii="Calibri" w:hAnsi="Calibri" w:cs="Calibri"/>
                  <w:sz w:val="18"/>
                  <w:color w:val="1155CC"/>
                  <w:u w:val="single"/>
                </w:rPr>
                <w:t xml:space="preserve">https://www.ncbi.nlm.nih.gov/books/NBK578199/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Nocturnal SpO₂ nadir (%)</w:t>
            </w:r>
          </w:p>
        </w:tc>
        <w:tc>
          <w:tcPr>
            <w:tcW w:type="dxa" w:w="1655"/>
            <w:vAlign w:val="top"/>
          </w:tcPr>
          <w:p>
            <w:pPr>
              <w:spacing w:after="40" w:before="0" w:line="259" w:lineRule="auto"/>
            </w:pPr>
            <w:r>
              <w:rPr>
                <w:rFonts w:ascii="Calibri" w:hAnsi="Calibri"/>
                <w:b w:val="0"/>
                <w:i w:val="0"/>
                <w:color w:val="212121"/>
                <w:sz w:val="19"/>
              </w:rPr>
              <w:t>All CSA, HF, altitude</w:t>
            </w:r>
          </w:p>
        </w:tc>
        <w:tc>
          <w:tcPr>
            <w:tcW w:type="dxa" w:w="1512"/>
            <w:vAlign w:val="top"/>
          </w:tcPr>
          <w:p>
            <w:pPr>
              <w:spacing w:after="40" w:before="0" w:line="259" w:lineRule="auto"/>
            </w:pPr>
            <w:r>
              <w:rPr>
                <w:rFonts w:ascii="Calibri" w:hAnsi="Calibri"/>
                <w:b w:val="0"/>
                <w:i w:val="0"/>
                <w:color w:val="212121"/>
                <w:sz w:val="19"/>
              </w:rPr>
              <w:t>≥ 90%</w:t>
            </w:r>
          </w:p>
        </w:tc>
        <w:tc>
          <w:tcPr>
            <w:tcW w:type="dxa" w:w="1512"/>
            <w:vAlign w:val="top"/>
          </w:tcPr>
          <w:p>
            <w:pPr>
              <w:spacing w:after="40" w:before="0" w:line="259" w:lineRule="auto"/>
            </w:pPr>
            <w:r>
              <w:rPr>
                <w:rFonts w:ascii="Calibri" w:hAnsi="Calibri"/>
                <w:b w:val="0"/>
                <w:i w:val="0"/>
                <w:color w:val="212121"/>
                <w:sz w:val="19"/>
              </w:rPr>
              <w:t>&lt; 88% (esp. ≥ 5 min — oxygen-eligible)</w:t>
            </w:r>
          </w:p>
        </w:tc>
        <w:tc>
          <w:tcPr>
            <w:tcW w:type="dxa" w:w="1468"/>
            <w:vAlign w:val="top"/>
          </w:tcPr>
          <w:p>
            <w:pPr>
              <w:spacing w:after="40" w:before="0" w:line="259" w:lineRule="auto"/>
            </w:pPr>
            <w:r>
              <w:rPr>
                <w:rFonts w:ascii="Calibri" w:hAnsi="Calibri"/>
                <w:b w:val="0"/>
                <w:i w:val="0"/>
                <w:color w:val="212121"/>
                <w:sz w:val="19"/>
              </w:rPr>
              <w:t>Depth of nocturnal desaturation; guides supplemental oxygen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Left-ventricular ejection fraction (LVEF, %)</w:t>
            </w:r>
          </w:p>
        </w:tc>
        <w:tc>
          <w:tcPr>
            <w:tcW w:type="dxa" w:w="1655"/>
            <w:vAlign w:val="top"/>
          </w:tcPr>
          <w:p>
            <w:pPr>
              <w:spacing w:after="40" w:before="0" w:line="259" w:lineRule="auto"/>
            </w:pPr>
            <w:r>
              <w:rPr>
                <w:rFonts w:ascii="Calibri" w:hAnsi="Calibri"/>
                <w:b w:val="0"/>
                <w:i w:val="0"/>
                <w:color w:val="212121"/>
                <w:sz w:val="19"/>
              </w:rPr>
              <w:t>Heart-failure patients</w:t>
            </w:r>
          </w:p>
        </w:tc>
        <w:tc>
          <w:tcPr>
            <w:tcW w:type="dxa" w:w="1512"/>
            <w:vAlign w:val="top"/>
          </w:tcPr>
          <w:p>
            <w:pPr>
              <w:spacing w:after="40" w:before="0" w:line="259" w:lineRule="auto"/>
            </w:pPr>
            <w:r>
              <w:rPr>
                <w:rFonts w:ascii="Calibri" w:hAnsi="Calibri"/>
                <w:b w:val="0"/>
                <w:i w:val="0"/>
                <w:color w:val="212121"/>
                <w:sz w:val="19"/>
              </w:rPr>
              <w:t>≥ 50%</w:t>
            </w:r>
          </w:p>
        </w:tc>
        <w:tc>
          <w:tcPr>
            <w:tcW w:type="dxa" w:w="1512"/>
            <w:vAlign w:val="top"/>
          </w:tcPr>
          <w:p>
            <w:pPr>
              <w:spacing w:after="40" w:before="0" w:line="259" w:lineRule="auto"/>
            </w:pPr>
            <w:r>
              <w:rPr>
                <w:rFonts w:ascii="Calibri" w:hAnsi="Calibri"/>
                <w:b w:val="0"/>
                <w:i w:val="0"/>
                <w:color w:val="212121"/>
                <w:sz w:val="19"/>
              </w:rPr>
              <w:t>≤ 40% (HFrEF — high CSA/CSB risk)</w:t>
            </w:r>
          </w:p>
        </w:tc>
        <w:tc>
          <w:tcPr>
            <w:tcW w:type="dxa" w:w="1468"/>
            <w:vAlign w:val="top"/>
          </w:tcPr>
          <w:p>
            <w:pPr>
              <w:spacing w:after="60" w:line="259" w:lineRule="auto"/>
            </w:pPr>
            <w:r>
              <w:rPr>
                <w:rFonts w:ascii="Calibri" w:hAnsi="Calibri"/>
                <w:b w:val="0"/>
                <w:i w:val="0"/>
                <w:color w:val="212121"/>
                <w:sz w:val="19"/>
              </w:rPr>
              <w:t>Lower LVEF strongly predicts Cheyne–Stokes CSA; ≤ 45% contraindicates ASV</w:t>
            </w:r>
          </w:p>
          <w:p>
            <w:pPr>
              <w:spacing w:after="40" w:line="252" w:lineRule="auto"/>
            </w:pPr>
            <w:hyperlink r:id="rId9">
              <w:r>
                <w:rPr>
                  <w:rFonts w:ascii="Calibri" w:hAnsi="Calibri" w:cs="Calibri"/>
                  <w:sz w:val="18"/>
                  <w:color w:val="1155CC"/>
                  <w:u w:val="single"/>
                </w:rPr>
                <w:t xml:space="preserve">https://www.ncbi.nlm.nih.gov/books/NBK578199/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Arterial PaCO₂ (mmHg, awake)</w:t>
            </w:r>
          </w:p>
        </w:tc>
        <w:tc>
          <w:tcPr>
            <w:tcW w:type="dxa" w:w="1655"/>
            <w:vAlign w:val="top"/>
          </w:tcPr>
          <w:p>
            <w:pPr>
              <w:spacing w:after="40" w:before="0" w:line="259" w:lineRule="auto"/>
            </w:pPr>
            <w:r>
              <w:rPr>
                <w:rFonts w:ascii="Calibri" w:hAnsi="Calibri"/>
                <w:b w:val="0"/>
                <w:i w:val="0"/>
                <w:color w:val="212121"/>
                <w:sz w:val="19"/>
              </w:rPr>
              <w:t>CSA sub-typing</w:t>
            </w:r>
          </w:p>
        </w:tc>
        <w:tc>
          <w:tcPr>
            <w:tcW w:type="dxa" w:w="1512"/>
            <w:vAlign w:val="top"/>
          </w:tcPr>
          <w:p>
            <w:pPr>
              <w:spacing w:after="40" w:before="0" w:line="259" w:lineRule="auto"/>
            </w:pPr>
            <w:r>
              <w:rPr>
                <w:rFonts w:ascii="Calibri" w:hAnsi="Calibri"/>
                <w:b w:val="0"/>
                <w:i w:val="0"/>
                <w:color w:val="212121"/>
                <w:sz w:val="19"/>
              </w:rPr>
              <w:t>35–45 mmHg</w:t>
            </w:r>
          </w:p>
        </w:tc>
        <w:tc>
          <w:tcPr>
            <w:tcW w:type="dxa" w:w="1512"/>
            <w:vAlign w:val="top"/>
          </w:tcPr>
          <w:p>
            <w:pPr>
              <w:spacing w:after="40" w:before="0" w:line="259" w:lineRule="auto"/>
            </w:pPr>
            <w:r>
              <w:rPr>
                <w:rFonts w:ascii="Calibri" w:hAnsi="Calibri"/>
                <w:b w:val="0"/>
                <w:i w:val="0"/>
                <w:color w:val="212121"/>
                <w:sz w:val="19"/>
              </w:rPr>
              <w:t>&lt; 35 (hypocapnic) or &gt; 45 (hypercapnic)</w:t>
            </w:r>
          </w:p>
        </w:tc>
        <w:tc>
          <w:tcPr>
            <w:tcW w:type="dxa" w:w="1468"/>
            <w:vAlign w:val="top"/>
          </w:tcPr>
          <w:p>
            <w:pPr>
              <w:spacing w:after="60" w:line="259" w:lineRule="auto"/>
            </w:pPr>
            <w:r>
              <w:rPr>
                <w:rFonts w:ascii="Calibri" w:hAnsi="Calibri"/>
                <w:b w:val="0"/>
                <w:i w:val="0"/>
                <w:color w:val="212121"/>
                <w:sz w:val="19"/>
              </w:rPr>
              <w:t>Separates high-loop-gain (HF/altitude) from hypoventilation (opioid/brainstem) CSA</w:t>
            </w:r>
          </w:p>
          <w:p>
            <w:pPr>
              <w:spacing w:after="40" w:line="252" w:lineRule="auto"/>
            </w:pPr>
            <w:hyperlink r:id="rId9">
              <w:r>
                <w:rPr>
                  <w:rFonts w:ascii="Calibri" w:hAnsi="Calibri" w:cs="Calibri"/>
                  <w:sz w:val="18"/>
                  <w:color w:val="1155CC"/>
                  <w:u w:val="single"/>
                </w:rPr>
                <w:t xml:space="preserve">https://www.ncbi.nlm.nih.gov/books/NBK578199/</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Sleeping altitude (metres)</w:t>
            </w:r>
          </w:p>
        </w:tc>
        <w:tc>
          <w:tcPr>
            <w:tcW w:type="dxa" w:w="1655"/>
            <w:vAlign w:val="top"/>
          </w:tcPr>
          <w:p>
            <w:pPr>
              <w:spacing w:after="40" w:before="0" w:line="259" w:lineRule="auto"/>
            </w:pPr>
            <w:r>
              <w:rPr>
                <w:rFonts w:ascii="Calibri" w:hAnsi="Calibri"/>
                <w:b w:val="0"/>
                <w:i w:val="0"/>
                <w:color w:val="212121"/>
                <w:sz w:val="19"/>
              </w:rPr>
              <w:t>Soldiers, trekkers, pilgrims</w:t>
            </w:r>
          </w:p>
        </w:tc>
        <w:tc>
          <w:tcPr>
            <w:tcW w:type="dxa" w:w="1512"/>
            <w:vAlign w:val="top"/>
          </w:tcPr>
          <w:p>
            <w:pPr>
              <w:spacing w:after="40" w:before="0" w:line="259" w:lineRule="auto"/>
            </w:pPr>
            <w:r>
              <w:rPr>
                <w:rFonts w:ascii="Calibri" w:hAnsi="Calibri"/>
                <w:b w:val="0"/>
                <w:i w:val="0"/>
                <w:color w:val="212121"/>
                <w:sz w:val="19"/>
              </w:rPr>
              <w:t>&lt; 2,500 m</w:t>
            </w:r>
          </w:p>
        </w:tc>
        <w:tc>
          <w:tcPr>
            <w:tcW w:type="dxa" w:w="1512"/>
            <w:vAlign w:val="top"/>
          </w:tcPr>
          <w:p>
            <w:pPr>
              <w:spacing w:after="40" w:before="0" w:line="259" w:lineRule="auto"/>
            </w:pPr>
            <w:r>
              <w:rPr>
                <w:rFonts w:ascii="Calibri" w:hAnsi="Calibri"/>
                <w:b w:val="0"/>
                <w:i w:val="0"/>
                <w:color w:val="212121"/>
                <w:sz w:val="19"/>
              </w:rPr>
              <w:t>&gt; 2,500–3,000 m (periodic breathing near-universal)</w:t>
            </w:r>
          </w:p>
        </w:tc>
        <w:tc>
          <w:tcPr>
            <w:tcW w:type="dxa" w:w="1468"/>
            <w:vAlign w:val="top"/>
          </w:tcPr>
          <w:p>
            <w:pPr>
              <w:spacing w:after="60" w:line="259" w:lineRule="auto"/>
            </w:pPr>
            <w:r>
              <w:rPr>
                <w:rFonts w:ascii="Calibri" w:hAnsi="Calibri"/>
                <w:b w:val="0"/>
                <w:i w:val="0"/>
                <w:color w:val="212121"/>
                <w:sz w:val="19"/>
              </w:rPr>
              <w:t>Higher altitude and faster ascent increase central/periodic breathing</w:t>
            </w:r>
          </w:p>
          <w:p>
            <w:pPr>
              <w:spacing w:after="40" w:line="252" w:lineRule="auto"/>
            </w:pPr>
            <w:hyperlink r:id="rId10">
              <w:r>
                <w:rPr>
                  <w:rFonts w:ascii="Calibri" w:hAnsi="Calibri" w:cs="Calibri"/>
                  <w:sz w:val="18"/>
                  <w:color w:val="1155CC"/>
                  <w:u w:val="single"/>
                </w:rPr>
                <w:t xml:space="preserve">https://pubmed.ncbi.nlm.nih.gov/38534039/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Chronic opioid use (morphine-equivalent)</w:t>
            </w:r>
          </w:p>
        </w:tc>
        <w:tc>
          <w:tcPr>
            <w:tcW w:type="dxa" w:w="1655"/>
            <w:vAlign w:val="top"/>
          </w:tcPr>
          <w:p>
            <w:pPr>
              <w:spacing w:after="40" w:before="0" w:line="259" w:lineRule="auto"/>
            </w:pPr>
            <w:r>
              <w:rPr>
                <w:rFonts w:ascii="Calibri" w:hAnsi="Calibri"/>
                <w:b w:val="0"/>
                <w:i w:val="0"/>
                <w:color w:val="212121"/>
                <w:sz w:val="19"/>
              </w:rPr>
              <w:t>Chronic-pain / OUD patients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Chronic daily opioids (risk dose-related)</w:t>
            </w:r>
          </w:p>
        </w:tc>
        <w:tc>
          <w:tcPr>
            <w:tcW w:type="dxa" w:w="1468"/>
            <w:vAlign w:val="top"/>
          </w:tcPr>
          <w:p>
            <w:pPr>
              <w:spacing w:after="60" w:line="259" w:lineRule="auto"/>
            </w:pPr>
            <w:r>
              <w:rPr>
                <w:rFonts w:ascii="Calibri" w:hAnsi="Calibri"/>
                <w:b w:val="0"/>
                <w:i w:val="0"/>
                <w:color w:val="212121"/>
                <w:sz w:val="19"/>
              </w:rPr>
              <w:t>Chronic opioids cause hypercapnic central/ataxic apneas</w:t>
            </w:r>
          </w:p>
          <w:p>
            <w:pPr>
              <w:spacing w:after="40" w:line="252" w:lineRule="auto"/>
            </w:pPr>
            <w:hyperlink r:id="rId18">
              <w:r>
                <w:rPr>
                  <w:rFonts w:ascii="Calibri" w:hAnsi="Calibri" w:cs="Calibri"/>
                  <w:sz w:val="18"/>
                  <w:color w:val="1155CC"/>
                  <w:u w:val="single"/>
                </w:rPr>
                <w:t xml:space="preserve">https://pubmed.ncbi.nlm.nih.gov/18683000/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(mg/day)</w:t>
            </w:r>
          </w:p>
        </w:tc>
        <w:tc>
          <w:tcPr>
            <w:tcW w:type="dxa" w:w="1655"/>
            <w:vAlign w:val="top"/>
          </w:tcPr>
          <w:p>
            <w:pPr>
              <w:spacing w:after="40" w:before="0" w:line="259" w:lineRule="auto"/>
            </w:pPr>
            <w:r>
              <w:rPr>
                <w:rFonts w:ascii="Calibri" w:hAnsi="Calibri"/>
                <w:b w:val="0"/>
                <w:i w:val="0"/>
                <w:color w:val="212121"/>
                <w:sz w:val="19"/>
              </w:rPr>
              <w:t>Heart-failure / renal patients</w:t>
            </w:r>
          </w:p>
        </w:tc>
        <w:tc>
          <w:tcPr>
            <w:tcW w:type="dxa" w:w="1512"/>
            <w:vAlign w:val="top"/>
          </w:tcPr>
          <w:p>
            <w:pPr>
              <w:spacing w:after="40" w:before="0" w:line="259" w:lineRule="auto"/>
            </w:pPr>
            <w:r>
              <w:rPr>
                <w:rFonts w:ascii="Calibri" w:hAnsi="Calibri"/>
                <w:b w:val="0"/>
                <w:i w:val="0"/>
                <w:color w:val="212121"/>
                <w:sz w:val="19"/>
              </w:rPr>
              <w:t>&lt; 2,000 mg/day</w:t>
            </w:r>
          </w:p>
        </w:tc>
        <w:tc>
          <w:tcPr>
            <w:tcW w:type="dxa" w:w="1512"/>
            <w:vAlign w:val="top"/>
          </w:tcPr>
          <w:p>
            <w:pPr>
              <w:spacing w:after="40" w:before="0" w:line="259" w:lineRule="auto"/>
            </w:pPr>
            <w:r>
              <w:rPr>
                <w:rFonts w:ascii="Calibri" w:hAnsi="Calibri"/>
                <w:b w:val="0"/>
                <w:i w:val="0"/>
                <w:color w:val="212121"/>
                <w:sz w:val="19"/>
              </w:rPr>
              <w:t>High-salt intake with fluid overload</w:t>
            </w:r>
          </w:p>
        </w:tc>
        <w:tc>
          <w:tcPr>
            <w:tcW w:type="dxa" w:w="1468"/>
            <w:vAlign w:val="top"/>
          </w:tcPr>
          <w:p>
            <w:pPr>
              <w:spacing w:after="40" w:before="0" w:line="259" w:lineRule="auto"/>
            </w:pPr>
            <w:r>
              <w:rPr>
                <w:rFonts w:ascii="Calibri" w:hAnsi="Calibri"/>
                <w:b w:val="0"/>
                <w:i w:val="0"/>
                <w:color w:val="212121"/>
                <w:sz w:val="19"/>
              </w:rPr>
              <w:t>Excess sodium worsens congestion and Cheyne–Stokes breathing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Evening alcohol / sedative use</w:t>
            </w:r>
          </w:p>
        </w:tc>
        <w:tc>
          <w:tcPr>
            <w:tcW w:type="dxa" w:w="1655"/>
            <w:vAlign w:val="top"/>
          </w:tcPr>
          <w:p>
            <w:pPr>
              <w:spacing w:after="40" w:before="0" w:line="259" w:lineRule="auto"/>
            </w:pPr>
            <w:r>
              <w:rPr>
                <w:rFonts w:ascii="Calibri" w:hAnsi="Calibri"/>
                <w:b w:val="0"/>
                <w:i w:val="0"/>
                <w:color w:val="212121"/>
                <w:sz w:val="19"/>
              </w:rPr>
              <w:t>Adults with CSA risk</w:t>
            </w:r>
          </w:p>
        </w:tc>
        <w:tc>
          <w:tcPr>
            <w:tcW w:type="dxa" w:w="1512"/>
            <w:vAlign w:val="top"/>
          </w:tcPr>
          <w:p>
            <w:pPr>
              <w:spacing w:after="40" w:before="0" w:line="259" w:lineRule="auto"/>
            </w:pPr>
            <w:r>
              <w:rPr>
                <w:rFonts w:ascii="Calibri" w:hAnsi="Calibri"/>
                <w:b w:val="0"/>
                <w:i w:val="0"/>
                <w:color w:val="212121"/>
                <w:sz w:val="19"/>
              </w:rPr>
              <w:t>None near bedtime</w:t>
            </w:r>
          </w:p>
        </w:tc>
        <w:tc>
          <w:tcPr>
            <w:tcW w:type="dxa" w:w="1512"/>
            <w:vAlign w:val="top"/>
          </w:tcPr>
          <w:p>
            <w:pPr>
              <w:spacing w:after="40" w:before="0" w:line="259" w:lineRule="auto"/>
            </w:pPr>
            <w:r>
              <w:rPr>
                <w:rFonts w:ascii="Calibri" w:hAnsi="Calibri"/>
                <w:b w:val="0"/>
                <w:i w:val="0"/>
                <w:color w:val="212121"/>
                <w:sz w:val="19"/>
              </w:rPr>
              <w:t>Any alcohol or hypnotic before sleep</w:t>
            </w:r>
          </w:p>
        </w:tc>
        <w:tc>
          <w:tcPr>
            <w:tcW w:type="dxa" w:w="1468"/>
            <w:vAlign w:val="top"/>
          </w:tcPr>
          <w:p>
            <w:pPr>
              <w:spacing w:after="60" w:line="259" w:lineRule="auto"/>
            </w:pPr>
            <w:r>
              <w:rPr>
                <w:rFonts w:ascii="Calibri" w:hAnsi="Calibri"/>
                <w:b w:val="0"/>
                <w:i w:val="0"/>
                <w:color w:val="212121"/>
                <w:sz w:val="19"/>
              </w:rPr>
              <w:t>CNS depressants lower respiratory drive and worsen central events</w:t>
            </w:r>
          </w:p>
          <w:p>
            <w:pPr>
              <w:spacing w:after="40" w:line="252" w:lineRule="auto"/>
            </w:pPr>
            <w:hyperlink r:id="rId9">
              <w:r>
                <w:rPr>
                  <w:rFonts w:ascii="Calibri" w:hAnsi="Calibri" w:cs="Calibri"/>
                  <w:sz w:val="18"/>
                  <w:color w:val="1155CC"/>
                  <w:u w:val="single"/>
                </w:rPr>
                <w:t xml:space="preserve">https://www.ncbi.nlm.nih.gov/books/NBK578199/</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Epworth Sleepiness Scale (score)</w:t>
            </w:r>
          </w:p>
        </w:tc>
        <w:tc>
          <w:tcPr>
            <w:tcW w:type="dxa" w:w="1655"/>
            <w:vAlign w:val="top"/>
          </w:tcPr>
          <w:p>
            <w:pPr>
              <w:spacing w:after="40" w:before="0" w:line="259" w:lineRule="auto"/>
            </w:pPr>
            <w:r>
              <w:rPr>
                <w:rFonts w:ascii="Calibri" w:hAnsi="Calibri"/>
                <w:b w:val="0"/>
                <w:i w:val="0"/>
                <w:color w:val="212121"/>
                <w:sz w:val="19"/>
              </w:rPr>
              <w:t>Adults with suspected SDB</w:t>
            </w:r>
          </w:p>
        </w:tc>
        <w:tc>
          <w:tcPr>
            <w:tcW w:type="dxa" w:w="1512"/>
            <w:vAlign w:val="top"/>
          </w:tcPr>
          <w:p>
            <w:pPr>
              <w:spacing w:after="40" w:before="0" w:line="259" w:lineRule="auto"/>
            </w:pPr>
            <w:r>
              <w:rPr>
                <w:rFonts w:ascii="Calibri" w:hAnsi="Calibri"/>
                <w:b w:val="0"/>
                <w:i w:val="0"/>
                <w:color w:val="212121"/>
                <w:sz w:val="19"/>
              </w:rPr>
              <w:t>&lt; 10 / 24</w:t>
            </w:r>
          </w:p>
        </w:tc>
        <w:tc>
          <w:tcPr>
            <w:tcW w:type="dxa" w:w="1512"/>
            <w:vAlign w:val="top"/>
          </w:tcPr>
          <w:p>
            <w:pPr>
              <w:spacing w:after="40" w:before="0" w:line="259" w:lineRule="auto"/>
            </w:pPr>
            <w:r>
              <w:rPr>
                <w:rFonts w:ascii="Calibri" w:hAnsi="Calibri"/>
                <w:b w:val="0"/>
                <w:i w:val="0"/>
                <w:color w:val="212121"/>
                <w:sz w:val="19"/>
              </w:rPr>
              <w:t>≥ 10 / 24 (excessive daytime sleepiness)</w:t>
            </w:r>
          </w:p>
        </w:tc>
        <w:tc>
          <w:tcPr>
            <w:tcW w:type="dxa" w:w="1468"/>
            <w:vAlign w:val="top"/>
          </w:tcPr>
          <w:p>
            <w:pPr>
              <w:spacing w:after="40" w:before="0" w:line="259" w:lineRule="auto"/>
            </w:pPr>
            <w:r>
              <w:rPr>
                <w:rFonts w:ascii="Calibri" w:hAnsi="Calibri"/>
                <w:b w:val="0"/>
                <w:i w:val="0"/>
                <w:color w:val="212121"/>
                <w:sz w:val="19"/>
              </w:rPr>
              <w:t>Screens daytime impairment; less pronounced in CSA than OSA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Central apneas/hypopneas, AHI, CAI, event morphology</w:t>
            </w:r>
          </w:p>
        </w:tc>
        <w:tc>
          <w:tcPr>
            <w:tcW w:type="dxa" w:w="892"/>
            <w:vAlign w:val="top"/>
          </w:tcPr>
          <w:p>
            <w:pPr>
              <w:spacing w:after="40" w:before="0" w:line="259" w:lineRule="auto"/>
            </w:pPr>
            <w:r>
              <w:rPr>
                <w:rFonts w:ascii="Calibri" w:hAnsi="Calibri"/>
                <w:b w:val="0"/>
                <w:i w:val="0"/>
                <w:color w:val="212121"/>
                <w:sz w:val="16"/>
              </w:rPr>
              <w:t>Attended in-laboratory polysomnography (PSG)</w:t>
            </w:r>
          </w:p>
        </w:tc>
        <w:tc>
          <w:tcPr>
            <w:tcW w:type="dxa" w:w="950"/>
            <w:vAlign w:val="top"/>
          </w:tcPr>
          <w:p>
            <w:pPr>
              <w:spacing w:after="40" w:before="0" w:line="259" w:lineRule="auto"/>
            </w:pPr>
            <w:r>
              <w:rPr>
                <w:rFonts w:ascii="Calibri" w:hAnsi="Calibri"/>
                <w:b w:val="0"/>
                <w:i w:val="0"/>
                <w:color w:val="212121"/>
                <w:sz w:val="16"/>
              </w:rPr>
              <w:t>AHI &lt; 5/h; no central predominance</w:t>
            </w:r>
          </w:p>
        </w:tc>
        <w:tc>
          <w:tcPr>
            <w:tcW w:type="dxa" w:w="950"/>
            <w:vAlign w:val="top"/>
          </w:tcPr>
          <w:p>
            <w:pPr>
              <w:spacing w:after="40" w:before="0" w:line="259" w:lineRule="auto"/>
            </w:pPr>
            <w:r>
              <w:rPr>
                <w:rFonts w:ascii="Calibri" w:hAnsi="Calibri"/>
                <w:b w:val="0"/>
                <w:i w:val="0"/>
                <w:color w:val="212121"/>
                <w:sz w:val="16"/>
              </w:rPr>
              <w:t>CAI ≥ 5/h with &gt; 50% central events ± Cheyne–Stokes pattern</w:t>
            </w:r>
          </w:p>
        </w:tc>
        <w:tc>
          <w:tcPr>
            <w:tcW w:type="dxa" w:w="1036"/>
            <w:vAlign w:val="top"/>
          </w:tcPr>
          <w:p>
            <w:pPr>
              <w:spacing w:after="40" w:before="0" w:line="259" w:lineRule="auto"/>
            </w:pPr>
            <w:r>
              <w:rPr>
                <w:rFonts w:ascii="Calibri" w:hAnsi="Calibri"/>
                <w:b w:val="0"/>
                <w:i w:val="0"/>
                <w:color w:val="212121"/>
                <w:sz w:val="16"/>
              </w:rPr>
              <w:t>Gold standard; confirms CSA and distinguishes it from OSA by absent effort</w:t>
            </w:r>
          </w:p>
        </w:tc>
        <w:tc>
          <w:tcPr>
            <w:tcW w:type="dxa" w:w="1036"/>
            <w:vAlign w:val="top"/>
          </w:tcPr>
          <w:p>
            <w:pPr>
              <w:spacing w:after="40" w:before="0" w:line="259" w:lineRule="auto"/>
            </w:pPr>
            <w:r>
              <w:rPr>
                <w:rFonts w:ascii="Calibri" w:hAnsi="Calibri"/>
                <w:b w:val="0"/>
                <w:i w:val="0"/>
                <w:color w:val="212121"/>
                <w:sz w:val="16"/>
              </w:rPr>
              <w:t>HF patients, opioid users, post-stroke, unexplained insomnia/sleepiness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Effort belts show ABSENT effort during central events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Airflow, oximetry, effort (limited channels)</w:t>
            </w:r>
          </w:p>
        </w:tc>
        <w:tc>
          <w:tcPr>
            <w:tcW w:type="dxa" w:w="892"/>
            <w:vAlign w:val="top"/>
          </w:tcPr>
          <w:p>
            <w:pPr>
              <w:spacing w:after="40" w:before="0" w:line="259" w:lineRule="auto"/>
            </w:pPr>
            <w:r>
              <w:rPr>
                <w:rFonts w:ascii="Calibri" w:hAnsi="Calibri"/>
                <w:b w:val="0"/>
                <w:i w:val="0"/>
                <w:color w:val="212121"/>
                <w:sz w:val="16"/>
              </w:rPr>
              <w:t>Home sleep apnea test (with effort sensing)</w:t>
            </w:r>
          </w:p>
        </w:tc>
        <w:tc>
          <w:tcPr>
            <w:tcW w:type="dxa" w:w="950"/>
            <w:vAlign w:val="top"/>
          </w:tcPr>
          <w:p>
            <w:pPr>
              <w:spacing w:after="40" w:before="0" w:line="259" w:lineRule="auto"/>
            </w:pPr>
            <w:r>
              <w:rPr>
                <w:rFonts w:ascii="Calibri" w:hAnsi="Calibri"/>
                <w:b w:val="0"/>
                <w:i w:val="0"/>
                <w:color w:val="212121"/>
                <w:sz w:val="16"/>
              </w:rPr>
              <w:t>No central events</w:t>
            </w:r>
          </w:p>
        </w:tc>
        <w:tc>
          <w:tcPr>
            <w:tcW w:type="dxa" w:w="950"/>
            <w:vAlign w:val="top"/>
          </w:tcPr>
          <w:p>
            <w:pPr>
              <w:spacing w:after="40" w:before="0" w:line="259" w:lineRule="auto"/>
            </w:pPr>
            <w:r>
              <w:rPr>
                <w:rFonts w:ascii="Calibri" w:hAnsi="Calibri"/>
                <w:b w:val="0"/>
                <w:i w:val="0"/>
                <w:color w:val="212121"/>
                <w:sz w:val="16"/>
              </w:rPr>
              <w:t>Central apneas with absent effort</w:t>
            </w:r>
          </w:p>
        </w:tc>
        <w:tc>
          <w:tcPr>
            <w:tcW w:type="dxa" w:w="1036"/>
            <w:vAlign w:val="top"/>
          </w:tcPr>
          <w:p>
            <w:pPr>
              <w:spacing w:after="40" w:before="0" w:line="259" w:lineRule="auto"/>
            </w:pPr>
            <w:r>
              <w:rPr>
                <w:rFonts w:ascii="Calibri" w:hAnsi="Calibri"/>
                <w:b w:val="0"/>
                <w:i w:val="0"/>
                <w:color w:val="212121"/>
                <w:sz w:val="16"/>
              </w:rPr>
              <w:t>May screen selected patients but under-detects central events; PSG preferred</w:t>
            </w:r>
          </w:p>
        </w:tc>
        <w:tc>
          <w:tcPr>
            <w:tcW w:type="dxa" w:w="1036"/>
            <w:vAlign w:val="top"/>
          </w:tcPr>
          <w:p>
            <w:pPr>
              <w:spacing w:after="40" w:before="0" w:line="259" w:lineRule="auto"/>
            </w:pPr>
            <w:r>
              <w:rPr>
                <w:rFonts w:ascii="Calibri" w:hAnsi="Calibri"/>
                <w:b w:val="0"/>
                <w:i w:val="0"/>
                <w:color w:val="212121"/>
                <w:sz w:val="16"/>
              </w:rPr>
              <w:t>Selected high-pretest-probability adults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 (limited)</w:t>
            </w:r>
          </w:p>
        </w:tc>
        <w:tc>
          <w:tcPr>
            <w:tcW w:type="dxa" w:w="720"/>
            <w:vAlign w:val="top"/>
          </w:tcPr>
          <w:p>
            <w:pPr>
              <w:spacing w:after="40" w:before="0" w:line="259" w:lineRule="auto"/>
            </w:pPr>
            <w:r>
              <w:rPr>
                <w:rFonts w:ascii="Calibri" w:hAnsi="Calibri"/>
                <w:b w:val="0"/>
                <w:i w:val="0"/>
                <w:color w:val="212121"/>
                <w:sz w:val="16"/>
              </w:rPr>
              <w:t>Cannot reliably stage sleep or subtype CSA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monitoring</w:t>
            </w:r>
          </w:p>
        </w:tc>
        <w:tc>
          <w:tcPr>
            <w:tcW w:type="dxa" w:w="1036"/>
            <w:vAlign w:val="top"/>
          </w:tcPr>
          <w:p>
            <w:pPr>
              <w:spacing w:after="40" w:before="0" w:line="259" w:lineRule="auto"/>
            </w:pPr>
            <w:r>
              <w:rPr>
                <w:rFonts w:ascii="Calibri" w:hAnsi="Calibri"/>
                <w:b w:val="0"/>
                <w:i w:val="0"/>
                <w:color w:val="212121"/>
                <w:sz w:val="16"/>
              </w:rPr>
              <w:t>SpO₂ nadir, oxygen desaturation index</w:t>
            </w:r>
          </w:p>
        </w:tc>
        <w:tc>
          <w:tcPr>
            <w:tcW w:type="dxa" w:w="892"/>
            <w:vAlign w:val="top"/>
          </w:tcPr>
          <w:p>
            <w:pPr>
              <w:spacing w:after="40" w:before="0" w:line="259" w:lineRule="auto"/>
            </w:pPr>
            <w:r>
              <w:rPr>
                <w:rFonts w:ascii="Calibri" w:hAnsi="Calibri"/>
                <w:b w:val="0"/>
                <w:i w:val="0"/>
                <w:color w:val="212121"/>
                <w:sz w:val="16"/>
              </w:rPr>
              <w:t>Overnight pulse oximetry</w:t>
            </w:r>
          </w:p>
        </w:tc>
        <w:tc>
          <w:tcPr>
            <w:tcW w:type="dxa" w:w="950"/>
            <w:vAlign w:val="top"/>
          </w:tcPr>
          <w:p>
            <w:pPr>
              <w:spacing w:after="40" w:before="0" w:line="259" w:lineRule="auto"/>
            </w:pPr>
            <w:r>
              <w:rPr>
                <w:rFonts w:ascii="Calibri" w:hAnsi="Calibri"/>
                <w:b w:val="0"/>
                <w:i w:val="0"/>
                <w:color w:val="212121"/>
                <w:sz w:val="16"/>
              </w:rPr>
              <w:t>Nadir ≥ 90%; low ODI</w:t>
            </w:r>
          </w:p>
        </w:tc>
        <w:tc>
          <w:tcPr>
            <w:tcW w:type="dxa" w:w="950"/>
            <w:vAlign w:val="top"/>
          </w:tcPr>
          <w:p>
            <w:pPr>
              <w:spacing w:after="40" w:before="0" w:line="259" w:lineRule="auto"/>
            </w:pPr>
            <w:r>
              <w:rPr>
                <w:rFonts w:ascii="Calibri" w:hAnsi="Calibri"/>
                <w:b w:val="0"/>
                <w:i w:val="0"/>
                <w:color w:val="212121"/>
                <w:sz w:val="16"/>
              </w:rPr>
              <w:t>Cyclical desaturations; nadir &lt; 88%</w:t>
            </w:r>
          </w:p>
        </w:tc>
        <w:tc>
          <w:tcPr>
            <w:tcW w:type="dxa" w:w="1036"/>
            <w:vAlign w:val="top"/>
          </w:tcPr>
          <w:p>
            <w:pPr>
              <w:spacing w:after="40" w:before="0" w:line="259" w:lineRule="auto"/>
            </w:pPr>
            <w:r>
              <w:rPr>
                <w:rFonts w:ascii="Calibri" w:hAnsi="Calibri"/>
                <w:b w:val="0"/>
                <w:i w:val="0"/>
                <w:color w:val="212121"/>
                <w:sz w:val="16"/>
              </w:rPr>
              <w:t>Shows the periodic desaturation pattern and qualifies patients for oxygen</w:t>
            </w:r>
          </w:p>
        </w:tc>
        <w:tc>
          <w:tcPr>
            <w:tcW w:type="dxa" w:w="1036"/>
            <w:vAlign w:val="top"/>
          </w:tcPr>
          <w:p>
            <w:pPr>
              <w:spacing w:after="40" w:before="0" w:line="259" w:lineRule="auto"/>
            </w:pPr>
            <w:r>
              <w:rPr>
                <w:rFonts w:ascii="Calibri" w:hAnsi="Calibri"/>
                <w:b w:val="0"/>
                <w:i w:val="0"/>
                <w:color w:val="212121"/>
                <w:sz w:val="16"/>
              </w:rPr>
              <w:t>HF, altitude, all suspected CSA</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Screening/monitoring</w:t>
            </w:r>
          </w:p>
        </w:tc>
        <w:tc>
          <w:tcPr>
            <w:tcW w:type="dxa" w:w="720"/>
            <w:vAlign w:val="top"/>
          </w:tcPr>
          <w:p>
            <w:pPr>
              <w:spacing w:after="40" w:before="0" w:line="259" w:lineRule="auto"/>
            </w:pPr>
            <w:r>
              <w:rPr>
                <w:rFonts w:ascii="Calibri" w:hAnsi="Calibri"/>
                <w:b w:val="0"/>
                <w:i w:val="0"/>
                <w:color w:val="212121"/>
                <w:sz w:val="16"/>
              </w:rPr>
              <w:t>Cyclic 'saw-tooth' desaturation suggests Cheyne–Stokes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LVEF, chamber size, valve/diastolic function</w:t>
            </w:r>
          </w:p>
        </w:tc>
        <w:tc>
          <w:tcPr>
            <w:tcW w:type="dxa" w:w="892"/>
            <w:vAlign w:val="top"/>
          </w:tcPr>
          <w:p>
            <w:pPr>
              <w:spacing w:after="40" w:before="0" w:line="259" w:lineRule="auto"/>
            </w:pPr>
            <w:r>
              <w:rPr>
                <w:rFonts w:ascii="Calibri" w:hAnsi="Calibri"/>
                <w:b w:val="0"/>
                <w:i w:val="0"/>
                <w:color w:val="212121"/>
                <w:sz w:val="16"/>
              </w:rPr>
              <w:t>Transthoracic echocardiography</w:t>
            </w:r>
          </w:p>
        </w:tc>
        <w:tc>
          <w:tcPr>
            <w:tcW w:type="dxa" w:w="950"/>
            <w:vAlign w:val="top"/>
          </w:tcPr>
          <w:p>
            <w:pPr>
              <w:spacing w:after="40" w:before="0" w:line="259" w:lineRule="auto"/>
            </w:pPr>
            <w:r>
              <w:rPr>
                <w:rFonts w:ascii="Calibri" w:hAnsi="Calibri"/>
                <w:b w:val="0"/>
                <w:i w:val="0"/>
                <w:color w:val="212121"/>
                <w:sz w:val="16"/>
              </w:rPr>
              <w:t>LVEF ≥ 50%; no significant dysfunction</w:t>
            </w:r>
          </w:p>
        </w:tc>
        <w:tc>
          <w:tcPr>
            <w:tcW w:type="dxa" w:w="950"/>
            <w:vAlign w:val="top"/>
          </w:tcPr>
          <w:p>
            <w:pPr>
              <w:spacing w:after="40" w:before="0" w:line="259" w:lineRule="auto"/>
            </w:pPr>
            <w:r>
              <w:rPr>
                <w:rFonts w:ascii="Calibri" w:hAnsi="Calibri"/>
                <w:b w:val="0"/>
                <w:i w:val="0"/>
                <w:color w:val="212121"/>
                <w:sz w:val="16"/>
              </w:rPr>
              <w:t>LVEF ≤ 40% (HFrEF) or diastolic dysfunction</w:t>
            </w:r>
          </w:p>
        </w:tc>
        <w:tc>
          <w:tcPr>
            <w:tcW w:type="dxa" w:w="1036"/>
            <w:vAlign w:val="top"/>
          </w:tcPr>
          <w:p>
            <w:pPr>
              <w:spacing w:after="40" w:before="0" w:line="259" w:lineRule="auto"/>
            </w:pPr>
            <w:r>
              <w:rPr>
                <w:rFonts w:ascii="Calibri" w:hAnsi="Calibri"/>
                <w:b w:val="0"/>
                <w:i w:val="0"/>
                <w:color w:val="212121"/>
                <w:sz w:val="16"/>
              </w:rPr>
              <w:t>Identifies the heart failure driving Cheyne–Stokes CSA and guides ASV safety</w:t>
            </w:r>
          </w:p>
        </w:tc>
        <w:tc>
          <w:tcPr>
            <w:tcW w:type="dxa" w:w="1036"/>
            <w:vAlign w:val="top"/>
          </w:tcPr>
          <w:p>
            <w:pPr>
              <w:spacing w:after="40" w:before="0" w:line="259" w:lineRule="auto"/>
            </w:pPr>
            <w:r>
              <w:rPr>
                <w:rFonts w:ascii="Calibri" w:hAnsi="Calibri"/>
                <w:b w:val="0"/>
                <w:i w:val="0"/>
                <w:color w:val="212121"/>
                <w:sz w:val="16"/>
              </w:rPr>
              <w:t>All CSA with suspected cardiac cause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LVEF ≤ 45% contraindicates adaptive servo-ventilation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PaCO₂, PaO₂, pH, bicarbonate</w:t>
            </w:r>
          </w:p>
        </w:tc>
        <w:tc>
          <w:tcPr>
            <w:tcW w:type="dxa" w:w="892"/>
            <w:vAlign w:val="top"/>
          </w:tcPr>
          <w:p>
            <w:pPr>
              <w:spacing w:after="40" w:before="0" w:line="259" w:lineRule="auto"/>
            </w:pPr>
            <w:r>
              <w:rPr>
                <w:rFonts w:ascii="Calibri" w:hAnsi="Calibri"/>
                <w:b w:val="0"/>
                <w:i w:val="0"/>
                <w:color w:val="212121"/>
                <w:sz w:val="16"/>
              </w:rPr>
              <w:t>Arterial blood gas / capnography</w:t>
            </w:r>
          </w:p>
        </w:tc>
        <w:tc>
          <w:tcPr>
            <w:tcW w:type="dxa" w:w="950"/>
            <w:vAlign w:val="top"/>
          </w:tcPr>
          <w:p>
            <w:pPr>
              <w:spacing w:after="40" w:before="0" w:line="259" w:lineRule="auto"/>
            </w:pPr>
            <w:r>
              <w:rPr>
                <w:rFonts w:ascii="Calibri" w:hAnsi="Calibri"/>
                <w:b w:val="0"/>
                <w:i w:val="0"/>
                <w:color w:val="212121"/>
                <w:sz w:val="16"/>
              </w:rPr>
              <w:t>PaCO₂ 35–45 mmHg</w:t>
            </w:r>
          </w:p>
        </w:tc>
        <w:tc>
          <w:tcPr>
            <w:tcW w:type="dxa" w:w="950"/>
            <w:vAlign w:val="top"/>
          </w:tcPr>
          <w:p>
            <w:pPr>
              <w:spacing w:after="40" w:before="0" w:line="259" w:lineRule="auto"/>
            </w:pPr>
            <w:r>
              <w:rPr>
                <w:rFonts w:ascii="Calibri" w:hAnsi="Calibri"/>
                <w:b w:val="0"/>
                <w:i w:val="0"/>
                <w:color w:val="212121"/>
                <w:sz w:val="16"/>
              </w:rPr>
              <w:t>&lt; 35 (hypocapnic) or &gt; 45 (hypercapnic)</w:t>
            </w:r>
          </w:p>
        </w:tc>
        <w:tc>
          <w:tcPr>
            <w:tcW w:type="dxa" w:w="1036"/>
            <w:vAlign w:val="top"/>
          </w:tcPr>
          <w:p>
            <w:pPr>
              <w:spacing w:after="40" w:before="0" w:line="259" w:lineRule="auto"/>
            </w:pPr>
            <w:r>
              <w:rPr>
                <w:rFonts w:ascii="Calibri" w:hAnsi="Calibri"/>
                <w:b w:val="0"/>
                <w:i w:val="0"/>
                <w:color w:val="212121"/>
                <w:sz w:val="16"/>
              </w:rPr>
              <w:t>Separates hypocapnic (HF/altitude/idiopathic) from hypercapnic (opioid/brainstem) CSA</w:t>
            </w:r>
          </w:p>
        </w:tc>
        <w:tc>
          <w:tcPr>
            <w:tcW w:type="dxa" w:w="1036"/>
            <w:vAlign w:val="top"/>
          </w:tcPr>
          <w:p>
            <w:pPr>
              <w:spacing w:after="40" w:before="0" w:line="259" w:lineRule="auto"/>
            </w:pPr>
            <w:r>
              <w:rPr>
                <w:rFonts w:ascii="Calibri" w:hAnsi="Calibri"/>
                <w:b w:val="0"/>
                <w:i w:val="0"/>
                <w:color w:val="212121"/>
                <w:sz w:val="16"/>
              </w:rPr>
              <w:t>CSA sub-typing, opioid users, hypoventilators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(sub-typing)</w:t>
            </w:r>
          </w:p>
        </w:tc>
        <w:tc>
          <w:tcPr>
            <w:tcW w:type="dxa" w:w="720"/>
            <w:vAlign w:val="top"/>
          </w:tcPr>
          <w:p>
            <w:pPr>
              <w:spacing w:after="40" w:before="0" w:line="259" w:lineRule="auto"/>
            </w:pPr>
            <w:r>
              <w:rPr>
                <w:rFonts w:ascii="Calibri" w:hAnsi="Calibri"/>
                <w:b w:val="0"/>
                <w:i w:val="0"/>
                <w:color w:val="212121"/>
                <w:sz w:val="16"/>
              </w:rPr>
              <w:t>Daytime hypercapnia flags a hypoventilation phenotype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Rhythm, rate, ischaemia</w:t>
            </w:r>
          </w:p>
        </w:tc>
        <w:tc>
          <w:tcPr>
            <w:tcW w:type="dxa" w:w="892"/>
            <w:vAlign w:val="top"/>
          </w:tcPr>
          <w:p>
            <w:pPr>
              <w:spacing w:after="40" w:before="0" w:line="259" w:lineRule="auto"/>
            </w:pPr>
            <w:r>
              <w:rPr>
                <w:rFonts w:ascii="Calibri" w:hAnsi="Calibri"/>
                <w:b w:val="0"/>
                <w:i w:val="0"/>
                <w:color w:val="212121"/>
                <w:sz w:val="16"/>
              </w:rPr>
              <w:t>12-lead ECG / Holter</w:t>
            </w:r>
          </w:p>
        </w:tc>
        <w:tc>
          <w:tcPr>
            <w:tcW w:type="dxa" w:w="950"/>
            <w:vAlign w:val="top"/>
          </w:tcPr>
          <w:p>
            <w:pPr>
              <w:spacing w:after="40" w:before="0" w:line="259" w:lineRule="auto"/>
            </w:pPr>
            <w:r>
              <w:rPr>
                <w:rFonts w:ascii="Calibri" w:hAnsi="Calibri"/>
                <w:b w:val="0"/>
                <w:i w:val="0"/>
                <w:color w:val="212121"/>
                <w:sz w:val="16"/>
              </w:rPr>
              <w:t>Sinus rhythm</w:t>
            </w:r>
          </w:p>
        </w:tc>
        <w:tc>
          <w:tcPr>
            <w:tcW w:type="dxa" w:w="950"/>
            <w:vAlign w:val="top"/>
          </w:tcPr>
          <w:p>
            <w:pPr>
              <w:spacing w:after="40" w:before="0" w:line="259" w:lineRule="auto"/>
            </w:pPr>
            <w:r>
              <w:rPr>
                <w:rFonts w:ascii="Calibri" w:hAnsi="Calibri"/>
                <w:b w:val="0"/>
                <w:i w:val="0"/>
                <w:color w:val="212121"/>
                <w:sz w:val="16"/>
              </w:rPr>
              <w:t>Atrial fibrillation, bradyarrhythmia, ischaemia</w:t>
            </w:r>
          </w:p>
        </w:tc>
        <w:tc>
          <w:tcPr>
            <w:tcW w:type="dxa" w:w="1036"/>
            <w:vAlign w:val="top"/>
          </w:tcPr>
          <w:p>
            <w:pPr>
              <w:spacing w:after="40" w:before="0" w:line="259" w:lineRule="auto"/>
            </w:pPr>
            <w:r>
              <w:rPr>
                <w:rFonts w:ascii="Calibri" w:hAnsi="Calibri"/>
                <w:b w:val="0"/>
                <w:i w:val="0"/>
                <w:color w:val="212121"/>
                <w:sz w:val="16"/>
              </w:rPr>
              <w:t>Detects the arrhythmias associated with and provoked by CSA</w:t>
            </w:r>
          </w:p>
        </w:tc>
        <w:tc>
          <w:tcPr>
            <w:tcW w:type="dxa" w:w="1036"/>
            <w:vAlign w:val="top"/>
          </w:tcPr>
          <w:p>
            <w:pPr>
              <w:spacing w:after="40" w:before="0" w:line="259" w:lineRule="auto"/>
            </w:pPr>
            <w:r>
              <w:rPr>
                <w:rFonts w:ascii="Calibri" w:hAnsi="Calibri"/>
                <w:b w:val="0"/>
                <w:i w:val="0"/>
                <w:color w:val="212121"/>
                <w:sz w:val="16"/>
              </w:rPr>
              <w:t>HF, elderly,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AF is a strong associate of Cheyne–Stokes CSA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Brainstem / posterior fossa lesions</w:t>
            </w:r>
          </w:p>
        </w:tc>
        <w:tc>
          <w:tcPr>
            <w:tcW w:type="dxa" w:w="892"/>
            <w:vAlign w:val="top"/>
          </w:tcPr>
          <w:p>
            <w:pPr>
              <w:spacing w:after="40" w:before="0" w:line="259" w:lineRule="auto"/>
            </w:pPr>
            <w:r>
              <w:rPr>
                <w:rFonts w:ascii="Calibri" w:hAnsi="Calibri"/>
                <w:b w:val="0"/>
                <w:i w:val="0"/>
                <w:color w:val="212121"/>
                <w:sz w:val="16"/>
              </w:rPr>
              <w:t>MRI brain (when focal cause suspected)</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Infarct, tumour, Chiari, demyelination</w:t>
            </w:r>
          </w:p>
        </w:tc>
        <w:tc>
          <w:tcPr>
            <w:tcW w:type="dxa" w:w="1036"/>
            <w:vAlign w:val="top"/>
          </w:tcPr>
          <w:p>
            <w:pPr>
              <w:spacing w:after="40" w:before="0" w:line="259" w:lineRule="auto"/>
            </w:pPr>
            <w:r>
              <w:rPr>
                <w:rFonts w:ascii="Calibri" w:hAnsi="Calibri"/>
                <w:b w:val="0"/>
                <w:i w:val="0"/>
                <w:color w:val="212121"/>
                <w:sz w:val="16"/>
              </w:rPr>
              <w:t>Sought when CSA is unexplained or has neurological features</w:t>
            </w:r>
          </w:p>
        </w:tc>
        <w:tc>
          <w:tcPr>
            <w:tcW w:type="dxa" w:w="1036"/>
            <w:vAlign w:val="top"/>
          </w:tcPr>
          <w:p>
            <w:pPr>
              <w:spacing w:after="40" w:before="0" w:line="259" w:lineRule="auto"/>
            </w:pPr>
            <w:r>
              <w:rPr>
                <w:rFonts w:ascii="Calibri" w:hAnsi="Calibri"/>
                <w:b w:val="0"/>
                <w:i w:val="0"/>
                <w:color w:val="212121"/>
                <w:sz w:val="16"/>
              </w:rPr>
              <w:t>Post-stroke, focal signs, young idiopathic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Not routine; reserved for suspected central lesions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Awakening short of breath, insomnia, non-restorative sleep</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Symptom cluster of central sleep apnea (often insomnia-predominant, unlike OSA)</w:t>
            </w:r>
          </w:p>
        </w:tc>
        <w:tc>
          <w:tcPr>
            <w:tcW w:type="dxa" w:w="1036"/>
            <w:vAlign w:val="top"/>
          </w:tcPr>
          <w:p>
            <w:pPr>
              <w:spacing w:after="40" w:before="0" w:line="259" w:lineRule="auto"/>
            </w:pPr>
            <w:r>
              <w:rPr>
                <w:rFonts w:ascii="Calibri" w:hAnsi="Calibri"/>
                <w:b w:val="0"/>
                <w:i w:val="0"/>
                <w:color w:val="212121"/>
                <w:sz w:val="16"/>
              </w:rPr>
              <w:t>HF patients, opioid users, older adults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Loud habitual snoring is often ABSENT in pure CSA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Bed-partner account</w:t>
            </w:r>
          </w:p>
        </w:tc>
        <w:tc>
          <w:tcPr>
            <w:tcW w:type="dxa" w:w="979"/>
            <w:vAlign w:val="top"/>
          </w:tcPr>
          <w:p>
            <w:pPr>
              <w:spacing w:after="40" w:before="0" w:line="259" w:lineRule="auto"/>
            </w:pPr>
            <w:r>
              <w:rPr>
                <w:rFonts w:ascii="Calibri" w:hAnsi="Calibri"/>
                <w:b w:val="0"/>
                <w:i w:val="0"/>
                <w:color w:val="212121"/>
                <w:sz w:val="16"/>
              </w:rPr>
              <w:t>Witnessed pauses, crescendo–decrescendo breathing</w:t>
            </w:r>
          </w:p>
        </w:tc>
        <w:tc>
          <w:tcPr>
            <w:tcW w:type="dxa" w:w="950"/>
            <w:vAlign w:val="top"/>
          </w:tcPr>
          <w:p>
            <w:pPr>
              <w:spacing w:after="40" w:before="0" w:line="259" w:lineRule="auto"/>
            </w:pPr>
            <w:r>
              <w:rPr>
                <w:rFonts w:ascii="Calibri" w:hAnsi="Calibri"/>
                <w:b w:val="0"/>
                <w:i w:val="0"/>
                <w:color w:val="212121"/>
                <w:sz w:val="16"/>
              </w:rPr>
              <w:t>Regular breathing</w:t>
            </w:r>
          </w:p>
        </w:tc>
        <w:tc>
          <w:tcPr>
            <w:tcW w:type="dxa" w:w="950"/>
            <w:vAlign w:val="top"/>
          </w:tcPr>
          <w:p>
            <w:pPr>
              <w:spacing w:after="40" w:before="0" w:line="259" w:lineRule="auto"/>
            </w:pPr>
            <w:r>
              <w:rPr>
                <w:rFonts w:ascii="Calibri" w:hAnsi="Calibri"/>
                <w:b w:val="0"/>
                <w:i w:val="0"/>
                <w:color w:val="212121"/>
                <w:sz w:val="16"/>
              </w:rPr>
              <w:t>Periodic waxing–waning breathing with pauses</w:t>
            </w:r>
          </w:p>
        </w:tc>
        <w:tc>
          <w:tcPr>
            <w:tcW w:type="dxa" w:w="1036"/>
            <w:vAlign w:val="top"/>
          </w:tcPr>
          <w:p>
            <w:pPr>
              <w:spacing w:after="40" w:before="0" w:line="259" w:lineRule="auto"/>
            </w:pPr>
            <w:r>
              <w:rPr>
                <w:rFonts w:ascii="Calibri" w:hAnsi="Calibri"/>
                <w:b w:val="0"/>
                <w:i w:val="0"/>
                <w:color w:val="212121"/>
                <w:sz w:val="16"/>
              </w:rPr>
              <w:t>A described Cheyne–Stokes pattern strongly suggests central (cardiac) apnea</w:t>
            </w:r>
          </w:p>
        </w:tc>
        <w:tc>
          <w:tcPr>
            <w:tcW w:type="dxa" w:w="1036"/>
            <w:vAlign w:val="top"/>
          </w:tcPr>
          <w:p>
            <w:pPr>
              <w:spacing w:after="40" w:before="0" w:line="259" w:lineRule="auto"/>
            </w:pPr>
            <w:r>
              <w:rPr>
                <w:rFonts w:ascii="Calibri" w:hAnsi="Calibri"/>
                <w:b w:val="0"/>
                <w:i w:val="0"/>
                <w:color w:val="212121"/>
                <w:sz w:val="16"/>
              </w:rPr>
              <w:t>HF, post-stroke, elderly</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Ask specifically about the periodic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substance history</w:t>
            </w:r>
          </w:p>
        </w:tc>
        <w:tc>
          <w:tcPr>
            <w:tcW w:type="dxa" w:w="979"/>
            <w:vAlign w:val="top"/>
          </w:tcPr>
          <w:p>
            <w:pPr>
              <w:spacing w:after="40" w:before="0" w:line="259" w:lineRule="auto"/>
            </w:pPr>
            <w:r>
              <w:rPr>
                <w:rFonts w:ascii="Calibri" w:hAnsi="Calibri"/>
                <w:b w:val="0"/>
                <w:i w:val="0"/>
                <w:color w:val="212121"/>
                <w:sz w:val="16"/>
              </w:rPr>
              <w:t>Opioids, benzodiazepines, baclofen, alcohol</w:t>
            </w:r>
          </w:p>
        </w:tc>
        <w:tc>
          <w:tcPr>
            <w:tcW w:type="dxa" w:w="950"/>
            <w:vAlign w:val="top"/>
          </w:tcPr>
          <w:p>
            <w:pPr>
              <w:spacing w:after="40" w:before="0" w:line="259" w:lineRule="auto"/>
            </w:pPr>
            <w:r>
              <w:rPr>
                <w:rFonts w:ascii="Calibri" w:hAnsi="Calibri"/>
                <w:b w:val="0"/>
                <w:i w:val="0"/>
                <w:color w:val="212121"/>
                <w:sz w:val="16"/>
              </w:rPr>
              <w:t>No CNS depressants</w:t>
            </w:r>
          </w:p>
        </w:tc>
        <w:tc>
          <w:tcPr>
            <w:tcW w:type="dxa" w:w="950"/>
            <w:vAlign w:val="top"/>
          </w:tcPr>
          <w:p>
            <w:pPr>
              <w:spacing w:after="40" w:before="0" w:line="259" w:lineRule="auto"/>
            </w:pPr>
            <w:r>
              <w:rPr>
                <w:rFonts w:ascii="Calibri" w:hAnsi="Calibri"/>
                <w:b w:val="0"/>
                <w:i w:val="0"/>
                <w:color w:val="212121"/>
                <w:sz w:val="16"/>
              </w:rPr>
              <w:t>Chronic opioids/sedatives or heavy alcohol</w:t>
            </w:r>
          </w:p>
        </w:tc>
        <w:tc>
          <w:tcPr>
            <w:tcW w:type="dxa" w:w="1036"/>
            <w:vAlign w:val="top"/>
          </w:tcPr>
          <w:p>
            <w:pPr>
              <w:spacing w:after="40" w:before="0" w:line="259" w:lineRule="auto"/>
            </w:pPr>
            <w:r>
              <w:rPr>
                <w:rFonts w:ascii="Calibri" w:hAnsi="Calibri"/>
                <w:b w:val="0"/>
                <w:i w:val="0"/>
                <w:color w:val="212121"/>
                <w:sz w:val="16"/>
              </w:rPr>
              <w:t>Identifies drug-induced (hypercapnic) central apnea — a reversible cause</w:t>
            </w:r>
          </w:p>
        </w:tc>
        <w:tc>
          <w:tcPr>
            <w:tcW w:type="dxa" w:w="1036"/>
            <w:vAlign w:val="top"/>
          </w:tcPr>
          <w:p>
            <w:pPr>
              <w:spacing w:after="40" w:before="0" w:line="259" w:lineRule="auto"/>
            </w:pPr>
            <w:r>
              <w:rPr>
                <w:rFonts w:ascii="Calibri" w:hAnsi="Calibri"/>
                <w:b w:val="0"/>
                <w:i w:val="0"/>
                <w:color w:val="212121"/>
                <w:sz w:val="16"/>
              </w:rPr>
              <w:t>Chronic-pain, OUD, insomnia patients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Prognostic/actionable</w:t>
            </w:r>
          </w:p>
        </w:tc>
        <w:tc>
          <w:tcPr>
            <w:tcW w:type="dxa" w:w="720"/>
            <w:vAlign w:val="top"/>
          </w:tcPr>
          <w:p>
            <w:pPr>
              <w:spacing w:after="40" w:before="0" w:line="259" w:lineRule="auto"/>
            </w:pPr>
            <w:r>
              <w:rPr>
                <w:rFonts w:ascii="Calibri" w:hAnsi="Calibri"/>
                <w:b w:val="0"/>
                <w:i w:val="0"/>
                <w:color w:val="212121"/>
                <w:sz w:val="16"/>
              </w:rPr>
              <w:t>Central apnea in opioid users is dose-related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Altitude &amp; travel history</w:t>
            </w:r>
          </w:p>
        </w:tc>
        <w:tc>
          <w:tcPr>
            <w:tcW w:type="dxa" w:w="979"/>
            <w:vAlign w:val="top"/>
          </w:tcPr>
          <w:p>
            <w:pPr>
              <w:spacing w:after="40" w:before="0" w:line="259" w:lineRule="auto"/>
            </w:pPr>
            <w:r>
              <w:rPr>
                <w:rFonts w:ascii="Calibri" w:hAnsi="Calibri"/>
                <w:b w:val="0"/>
                <w:i w:val="0"/>
                <w:color w:val="212121"/>
                <w:sz w:val="16"/>
              </w:rPr>
              <w:t>Recent ascent, sleeping altitude</w:t>
            </w:r>
          </w:p>
        </w:tc>
        <w:tc>
          <w:tcPr>
            <w:tcW w:type="dxa" w:w="950"/>
            <w:vAlign w:val="top"/>
          </w:tcPr>
          <w:p>
            <w:pPr>
              <w:spacing w:after="40" w:before="0" w:line="259" w:lineRule="auto"/>
            </w:pPr>
            <w:r>
              <w:rPr>
                <w:rFonts w:ascii="Calibri" w:hAnsi="Calibri"/>
                <w:b w:val="0"/>
                <w:i w:val="0"/>
                <w:color w:val="212121"/>
                <w:sz w:val="16"/>
              </w:rPr>
              <w:t>Sea-level residence</w:t>
            </w:r>
          </w:p>
        </w:tc>
        <w:tc>
          <w:tcPr>
            <w:tcW w:type="dxa" w:w="950"/>
            <w:vAlign w:val="top"/>
          </w:tcPr>
          <w:p>
            <w:pPr>
              <w:spacing w:after="40" w:before="0" w:line="259" w:lineRule="auto"/>
            </w:pPr>
            <w:r>
              <w:rPr>
                <w:rFonts w:ascii="Calibri" w:hAnsi="Calibri"/>
                <w:b w:val="0"/>
                <w:i w:val="0"/>
                <w:color w:val="212121"/>
                <w:sz w:val="16"/>
              </w:rPr>
              <w:t>Recent ascent &gt; 2,500–3,000 m</w:t>
            </w:r>
          </w:p>
        </w:tc>
        <w:tc>
          <w:tcPr>
            <w:tcW w:type="dxa" w:w="1036"/>
            <w:vAlign w:val="top"/>
          </w:tcPr>
          <w:p>
            <w:pPr>
              <w:spacing w:after="40" w:before="0" w:line="259" w:lineRule="auto"/>
            </w:pPr>
            <w:r>
              <w:rPr>
                <w:rFonts w:ascii="Calibri" w:hAnsi="Calibri"/>
                <w:b w:val="0"/>
                <w:i w:val="0"/>
                <w:color w:val="212121"/>
                <w:sz w:val="16"/>
              </w:rPr>
              <w:t>Points to high-altitude periodic breathing — highly relevant in India</w:t>
            </w:r>
          </w:p>
        </w:tc>
        <w:tc>
          <w:tcPr>
            <w:tcW w:type="dxa" w:w="1036"/>
            <w:vAlign w:val="top"/>
          </w:tcPr>
          <w:p>
            <w:pPr>
              <w:spacing w:after="40" w:before="0" w:line="259" w:lineRule="auto"/>
            </w:pPr>
            <w:r>
              <w:rPr>
                <w:rFonts w:ascii="Calibri" w:hAnsi="Calibri"/>
                <w:b w:val="0"/>
                <w:i w:val="0"/>
                <w:color w:val="212121"/>
                <w:sz w:val="16"/>
              </w:rPr>
              <w:t>Soldiers, trekkers, pilgrims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(targeted)</w:t>
            </w:r>
          </w:p>
        </w:tc>
        <w:tc>
          <w:tcPr>
            <w:tcW w:type="dxa" w:w="720"/>
            <w:vAlign w:val="top"/>
          </w:tcPr>
          <w:p>
            <w:pPr>
              <w:spacing w:after="40" w:before="0" w:line="259" w:lineRule="auto"/>
            </w:pPr>
            <w:r>
              <w:rPr>
                <w:rFonts w:ascii="Calibri" w:hAnsi="Calibri"/>
                <w:b w:val="0"/>
                <w:i w:val="0"/>
                <w:color w:val="212121"/>
                <w:sz w:val="16"/>
              </w:rPr>
              <w:t>Symptoms typically resolve on descent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Cardiac &amp; neurological history</w:t>
            </w:r>
          </w:p>
        </w:tc>
        <w:tc>
          <w:tcPr>
            <w:tcW w:type="dxa" w:w="979"/>
            <w:vAlign w:val="top"/>
          </w:tcPr>
          <w:p>
            <w:pPr>
              <w:spacing w:after="40" w:before="0" w:line="259" w:lineRule="auto"/>
            </w:pPr>
            <w:r>
              <w:rPr>
                <w:rFonts w:ascii="Calibri" w:hAnsi="Calibri"/>
                <w:b w:val="0"/>
                <w:i w:val="0"/>
                <w:color w:val="212121"/>
                <w:sz w:val="16"/>
              </w:rPr>
              <w:t>Heart failure, atrial fibrillation, stroke</w:t>
            </w:r>
          </w:p>
        </w:tc>
        <w:tc>
          <w:tcPr>
            <w:tcW w:type="dxa" w:w="950"/>
            <w:vAlign w:val="top"/>
          </w:tcPr>
          <w:p>
            <w:pPr>
              <w:spacing w:after="40" w:before="0" w:line="259" w:lineRule="auto"/>
            </w:pPr>
            <w:r>
              <w:rPr>
                <w:rFonts w:ascii="Calibri" w:hAnsi="Calibri"/>
                <w:b w:val="0"/>
                <w:i w:val="0"/>
                <w:color w:val="212121"/>
                <w:sz w:val="16"/>
              </w:rPr>
              <w:t>No cardiac/neuro disease</w:t>
            </w:r>
          </w:p>
        </w:tc>
        <w:tc>
          <w:tcPr>
            <w:tcW w:type="dxa" w:w="950"/>
            <w:vAlign w:val="top"/>
          </w:tcPr>
          <w:p>
            <w:pPr>
              <w:spacing w:after="40" w:before="0" w:line="259" w:lineRule="auto"/>
            </w:pPr>
            <w:r>
              <w:rPr>
                <w:rFonts w:ascii="Calibri" w:hAnsi="Calibri"/>
                <w:b w:val="0"/>
                <w:i w:val="0"/>
                <w:color w:val="212121"/>
                <w:sz w:val="16"/>
              </w:rPr>
              <w:t>Known HF/AF/stroke</w:t>
            </w:r>
          </w:p>
        </w:tc>
        <w:tc>
          <w:tcPr>
            <w:tcW w:type="dxa" w:w="1036"/>
            <w:vAlign w:val="top"/>
          </w:tcPr>
          <w:p>
            <w:pPr>
              <w:spacing w:after="40" w:before="0" w:line="259" w:lineRule="auto"/>
            </w:pPr>
            <w:r>
              <w:rPr>
                <w:rFonts w:ascii="Calibri" w:hAnsi="Calibri"/>
                <w:b w:val="0"/>
                <w:i w:val="0"/>
                <w:color w:val="212121"/>
                <w:sz w:val="16"/>
              </w:rPr>
              <w:t>Establishes the commonest secondary causes of central/Cheyne–Stokes apnea</w:t>
            </w:r>
          </w:p>
        </w:tc>
        <w:tc>
          <w:tcPr>
            <w:tcW w:type="dxa" w:w="1036"/>
            <w:vAlign w:val="top"/>
          </w:tcPr>
          <w:p>
            <w:pPr>
              <w:spacing w:after="40" w:before="0" w:line="259" w:lineRule="auto"/>
            </w:pPr>
            <w:r>
              <w:rPr>
                <w:rFonts w:ascii="Calibri" w:hAnsi="Calibri"/>
                <w:b w:val="0"/>
                <w:i w:val="0"/>
                <w:color w:val="212121"/>
                <w:sz w:val="16"/>
              </w:rPr>
              <w:t>Elderly, HF, post-stroke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targeted cardiac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Cardiorespiratory exam</w:t>
            </w:r>
          </w:p>
        </w:tc>
        <w:tc>
          <w:tcPr>
            <w:tcW w:type="dxa" w:w="979"/>
            <w:vAlign w:val="top"/>
          </w:tcPr>
          <w:p>
            <w:pPr>
              <w:spacing w:after="40" w:before="0" w:line="259" w:lineRule="auto"/>
            </w:pPr>
            <w:r>
              <w:rPr>
                <w:rFonts w:ascii="Calibri" w:hAnsi="Calibri"/>
                <w:b w:val="0"/>
                <w:i w:val="0"/>
                <w:color w:val="212121"/>
                <w:sz w:val="16"/>
              </w:rPr>
              <w:t>JVP, oedema, crackles, S3, irregular pulse</w:t>
            </w:r>
          </w:p>
        </w:tc>
        <w:tc>
          <w:tcPr>
            <w:tcW w:type="dxa" w:w="950"/>
            <w:vAlign w:val="top"/>
          </w:tcPr>
          <w:p>
            <w:pPr>
              <w:spacing w:after="40" w:before="0" w:line="259" w:lineRule="auto"/>
            </w:pPr>
            <w:r>
              <w:rPr>
                <w:rFonts w:ascii="Calibri" w:hAnsi="Calibri"/>
                <w:b w:val="0"/>
                <w:i w:val="0"/>
                <w:color w:val="212121"/>
                <w:sz w:val="16"/>
              </w:rPr>
              <w:t>No congestion; regular pulse</w:t>
            </w:r>
          </w:p>
        </w:tc>
        <w:tc>
          <w:tcPr>
            <w:tcW w:type="dxa" w:w="950"/>
            <w:vAlign w:val="top"/>
          </w:tcPr>
          <w:p>
            <w:pPr>
              <w:spacing w:after="40" w:before="0" w:line="259" w:lineRule="auto"/>
            </w:pPr>
            <w:r>
              <w:rPr>
                <w:rFonts w:ascii="Calibri" w:hAnsi="Calibri"/>
                <w:b w:val="0"/>
                <w:i w:val="0"/>
                <w:color w:val="212121"/>
                <w:sz w:val="16"/>
              </w:rPr>
              <w:t>Raised JVP, pedal oedema, basal crackles, irregular pulse</w:t>
            </w:r>
          </w:p>
        </w:tc>
        <w:tc>
          <w:tcPr>
            <w:tcW w:type="dxa" w:w="1036"/>
            <w:vAlign w:val="top"/>
          </w:tcPr>
          <w:p>
            <w:pPr>
              <w:spacing w:after="40" w:before="0" w:line="259" w:lineRule="auto"/>
            </w:pPr>
            <w:r>
              <w:rPr>
                <w:rFonts w:ascii="Calibri" w:hAnsi="Calibri"/>
                <w:b w:val="0"/>
                <w:i w:val="0"/>
                <w:color w:val="212121"/>
                <w:sz w:val="16"/>
              </w:rPr>
              <w:t>Reveals underlying heart failure / atrial fibrillation driving CSA</w:t>
            </w:r>
          </w:p>
        </w:tc>
        <w:tc>
          <w:tcPr>
            <w:tcW w:type="dxa" w:w="1036"/>
            <w:vAlign w:val="top"/>
          </w:tcPr>
          <w:p>
            <w:pPr>
              <w:spacing w:after="40" w:before="0" w:line="259" w:lineRule="auto"/>
            </w:pPr>
            <w:r>
              <w:rPr>
                <w:rFonts w:ascii="Calibri" w:hAnsi="Calibri"/>
                <w:b w:val="0"/>
                <w:i w:val="0"/>
                <w:color w:val="212121"/>
                <w:sz w:val="16"/>
              </w:rPr>
              <w:t>HF, elderly, AF</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Habitus is often NORMAL, unlike obese OSA phenotype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w:t>
            </w:r>
          </w:p>
        </w:tc>
        <w:tc>
          <w:tcPr>
            <w:tcW w:type="dxa" w:w="950"/>
            <w:vAlign w:val="top"/>
          </w:tcPr>
          <w:p>
            <w:pPr>
              <w:spacing w:after="40" w:before="0" w:line="259" w:lineRule="auto"/>
            </w:pPr>
            <w:r>
              <w:rPr>
                <w:rFonts w:ascii="Calibri" w:hAnsi="Calibri"/>
                <w:b w:val="0"/>
                <w:i w:val="0"/>
                <w:color w:val="212121"/>
                <w:sz w:val="16"/>
              </w:rPr>
              <w:t>Sleepiness / observed breathing</w:t>
            </w:r>
          </w:p>
        </w:tc>
        <w:tc>
          <w:tcPr>
            <w:tcW w:type="dxa" w:w="979"/>
            <w:vAlign w:val="top"/>
          </w:tcPr>
          <w:p>
            <w:pPr>
              <w:spacing w:after="40" w:before="0" w:line="259" w:lineRule="auto"/>
            </w:pPr>
            <w:r>
              <w:rPr>
                <w:rFonts w:ascii="Calibri" w:hAnsi="Calibri"/>
                <w:b w:val="0"/>
                <w:i w:val="0"/>
                <w:color w:val="212121"/>
                <w:sz w:val="16"/>
              </w:rPr>
              <w:t>Epworth Sleepiness Scale; observed periodic breathing</w:t>
            </w:r>
          </w:p>
        </w:tc>
        <w:tc>
          <w:tcPr>
            <w:tcW w:type="dxa" w:w="950"/>
            <w:vAlign w:val="top"/>
          </w:tcPr>
          <w:p>
            <w:pPr>
              <w:spacing w:after="40" w:before="0" w:line="259" w:lineRule="auto"/>
            </w:pPr>
            <w:r>
              <w:rPr>
                <w:rFonts w:ascii="Calibri" w:hAnsi="Calibri"/>
                <w:b w:val="0"/>
                <w:i w:val="0"/>
                <w:color w:val="212121"/>
                <w:sz w:val="16"/>
              </w:rPr>
              <w:t>ESS &lt; 10; regular breathing</w:t>
            </w:r>
          </w:p>
        </w:tc>
        <w:tc>
          <w:tcPr>
            <w:tcW w:type="dxa" w:w="950"/>
            <w:vAlign w:val="top"/>
          </w:tcPr>
          <w:p>
            <w:pPr>
              <w:spacing w:after="40" w:before="0" w:line="259" w:lineRule="auto"/>
            </w:pPr>
            <w:r>
              <w:rPr>
                <w:rFonts w:ascii="Calibri" w:hAnsi="Calibri"/>
                <w:b w:val="0"/>
                <w:i w:val="0"/>
                <w:color w:val="212121"/>
                <w:sz w:val="16"/>
              </w:rPr>
              <w:t>ESS ≥ 10 or observed periodic breathing</w:t>
            </w:r>
          </w:p>
        </w:tc>
        <w:tc>
          <w:tcPr>
            <w:tcW w:type="dxa" w:w="1036"/>
            <w:vAlign w:val="top"/>
          </w:tcPr>
          <w:p>
            <w:pPr>
              <w:spacing w:after="40" w:before="0" w:line="259" w:lineRule="auto"/>
            </w:pPr>
            <w:r>
              <w:rPr>
                <w:rFonts w:ascii="Calibri" w:hAnsi="Calibri"/>
                <w:b w:val="0"/>
                <w:i w:val="0"/>
                <w:color w:val="212121"/>
                <w:sz w:val="16"/>
              </w:rPr>
              <w:t>Quantifies daytime impact and can capture periodic breathing at rest</w:t>
            </w:r>
          </w:p>
        </w:tc>
        <w:tc>
          <w:tcPr>
            <w:tcW w:type="dxa" w:w="1036"/>
            <w:vAlign w:val="top"/>
          </w:tcPr>
          <w:p>
            <w:pPr>
              <w:spacing w:after="40" w:before="0" w:line="259" w:lineRule="auto"/>
            </w:pPr>
            <w:r>
              <w:rPr>
                <w:rFonts w:ascii="Calibri" w:hAnsi="Calibri"/>
                <w:b w:val="0"/>
                <w:i w:val="0"/>
                <w:color w:val="212121"/>
                <w:sz w:val="16"/>
              </w:rPr>
              <w:t>Adults with suspected SDB</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Daytime sleepiness is often milder in CSA than OSA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Witnessed pauses in breathing during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Bed-partner observes repeated stops in breathing, often without the choking/struggle of obstructive apnea.</w:t>
            </w:r>
          </w:p>
        </w:tc>
      </w:tr>
      <w:tr>
        <w:trPr>
          <w:cantSplit/>
        </w:trPr>
        <w:tc>
          <w:tcPr>
            <w:tcW w:type="dxa" w:w="2304"/>
            <w:vAlign w:val="top"/>
          </w:tcPr>
          <w:p>
            <w:pPr>
              <w:spacing w:after="40" w:before="0" w:line="259" w:lineRule="auto"/>
            </w:pPr>
            <w:r>
              <w:rPr>
                <w:rFonts w:ascii="Calibri" w:hAnsi="Calibri"/>
                <w:b/>
                <w:i w:val="0"/>
                <w:color w:val="212121"/>
                <w:sz w:val="19"/>
              </w:rPr>
              <w:t>Abrupt awakening with shortness of breath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arousals gasping for air, frequently at the end of a Cheyne–Stokes apneic cycle.</w:t>
            </w:r>
          </w:p>
        </w:tc>
      </w:tr>
      <w:tr>
        <w:trPr>
          <w:cantSplit/>
        </w:trPr>
        <w:tc>
          <w:tcPr>
            <w:tcW w:type="dxa" w:w="2304"/>
            <w:vAlign w:val="top"/>
          </w:tcPr>
          <w:p>
            <w:pPr>
              <w:spacing w:after="40" w:before="0" w:line="259" w:lineRule="auto"/>
            </w:pPr>
            <w:r>
              <w:rPr>
                <w:rFonts w:ascii="Calibri" w:hAnsi="Calibri"/>
                <w:b/>
                <w:i w:val="0"/>
                <w:color w:val="212121"/>
                <w:sz w:val="19"/>
              </w:rPr>
              <w:t>Insomnia / frequent nocturnal awakenings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Fragmented sleep with difficulty staying asleep; CSA is often insomnia-predominant rather than sleepiness-predominant.</w:t>
            </w:r>
          </w:p>
        </w:tc>
      </w:tr>
      <w:tr>
        <w:trPr>
          <w:cantSplit/>
        </w:trPr>
        <w:tc>
          <w:tcPr>
            <w:tcW w:type="dxa" w:w="2304"/>
            <w:vAlign w:val="top"/>
          </w:tcPr>
          <w:p>
            <w:pPr>
              <w:spacing w:after="40" w:before="0" w:line="259" w:lineRule="auto"/>
            </w:pPr>
            <w:r>
              <w:rPr>
                <w:rFonts w:ascii="Calibri" w:hAnsi="Calibri"/>
                <w:b/>
                <w:i w:val="0"/>
                <w:color w:val="212121"/>
                <w:sz w:val="19"/>
              </w:rPr>
              <w:t>Non-restorative sleep / daytime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arousals prevent deep sleep, leaving the person unrefreshed and tired by day.</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Sleepiness and low alertness, though usually less marked than in obstructive sleep apnea.</w:t>
            </w:r>
          </w:p>
        </w:tc>
      </w:tr>
      <w:tr>
        <w:trPr>
          <w:cantSplit/>
        </w:trPr>
        <w:tc>
          <w:tcPr>
            <w:tcW w:type="dxa" w:w="2304"/>
            <w:vAlign w:val="top"/>
          </w:tcPr>
          <w:p>
            <w:pPr>
              <w:spacing w:after="40" w:before="0" w:line="259" w:lineRule="auto"/>
            </w:pPr>
            <w:r>
              <w:rPr>
                <w:rFonts w:ascii="Calibri" w:hAnsi="Calibri"/>
                <w:b/>
                <w:i w:val="0"/>
                <w:color w:val="212121"/>
                <w:sz w:val="19"/>
              </w:rPr>
              <w:t>Difficulty concentrating / poor memory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 fragmentation and nocturnal hypoxia impair attention, memory and executive function.</w:t>
            </w:r>
          </w:p>
        </w:tc>
      </w:tr>
      <w:tr>
        <w:trPr>
          <w:cantSplit/>
        </w:trPr>
        <w:tc>
          <w:tcPr>
            <w:tcW w:type="dxa" w:w="2304"/>
            <w:vAlign w:val="top"/>
          </w:tcPr>
          <w:p>
            <w:pPr>
              <w:spacing w:after="40" w:before="0" w:line="259" w:lineRule="auto"/>
            </w:pPr>
            <w:r>
              <w:rPr>
                <w:rFonts w:ascii="Calibri" w:hAnsi="Calibri"/>
                <w:b/>
                <w:i w:val="0"/>
                <w:color w:val="212121"/>
                <w:sz w:val="19"/>
              </w:rPr>
              <w:t>Morning 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Attributed to nocturnal hypoxia and CO₂ fluctuations during periodic breathing.</w:t>
            </w:r>
          </w:p>
        </w:tc>
      </w:tr>
      <w:tr>
        <w:trPr>
          <w:cantSplit/>
        </w:trPr>
        <w:tc>
          <w:tcPr>
            <w:tcW w:type="dxa" w:w="2304"/>
            <w:vAlign w:val="top"/>
          </w:tcPr>
          <w:p>
            <w:pPr>
              <w:spacing w:after="40" w:before="0" w:line="259" w:lineRule="auto"/>
            </w:pPr>
            <w:r>
              <w:rPr>
                <w:rFonts w:ascii="Calibri" w:hAnsi="Calibri"/>
                <w:b/>
                <w:i w:val="0"/>
                <w:color w:val="212121"/>
                <w:sz w:val="19"/>
              </w:rPr>
              <w:t>Mood disturbance / irritability / low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poor sleep contributes to irritability and depressive symptoms, common in coexisting heart failure.</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Nocturnal arousals and natriuretic-peptide release increase night-time urination, especially in heart failure.</w:t>
            </w:r>
          </w:p>
        </w:tc>
      </w:tr>
      <w:tr>
        <w:trPr>
          <w:cantSplit/>
        </w:trPr>
        <w:tc>
          <w:tcPr>
            <w:tcW w:type="dxa" w:w="2304"/>
            <w:vAlign w:val="top"/>
          </w:tcPr>
          <w:p>
            <w:pPr>
              <w:spacing w:after="40" w:before="0" w:line="259" w:lineRule="auto"/>
            </w:pPr>
            <w:r>
              <w:rPr>
                <w:rFonts w:ascii="Calibri" w:hAnsi="Calibri"/>
                <w:b/>
                <w:i w:val="0"/>
                <w:color w:val="212121"/>
                <w:sz w:val="19"/>
              </w:rPr>
              <w:t>Paroxysmal nocturnal dyspnoea / orthopnoea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Overlaps with the heart failure that drives Cheyne–Stokes breathing; breathlessness lying flat or at night.</w:t>
            </w:r>
          </w:p>
        </w:tc>
      </w:tr>
      <w:tr>
        <w:trPr>
          <w:cantSplit/>
        </w:trPr>
        <w:tc>
          <w:tcPr>
            <w:tcW w:type="dxa" w:w="2304"/>
            <w:vAlign w:val="top"/>
          </w:tcPr>
          <w:p>
            <w:pPr>
              <w:spacing w:after="40" w:before="0" w:line="259" w:lineRule="auto"/>
            </w:pPr>
            <w:r>
              <w:rPr>
                <w:rFonts w:ascii="Calibri" w:hAnsi="Calibri"/>
                <w:b/>
                <w:i w:val="0"/>
                <w:color w:val="212121"/>
                <w:sz w:val="19"/>
              </w:rPr>
              <w:t>Snoring (mild or absent)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Unlike OSA, loud habitual snoring may be minimal or absent because the airway is not obstructed.</w:t>
            </w:r>
          </w:p>
        </w:tc>
      </w:tr>
      <w:tr>
        <w:trPr>
          <w:cantSplit/>
        </w:trPr>
        <w:tc>
          <w:tcPr>
            <w:tcW w:type="dxa" w:w="2304"/>
            <w:vAlign w:val="top"/>
          </w:tcPr>
          <w:p>
            <w:pPr>
              <w:spacing w:after="40" w:before="0" w:line="259" w:lineRule="auto"/>
            </w:pPr>
            <w:r>
              <w:rPr>
                <w:rFonts w:ascii="Calibri" w:hAnsi="Calibri"/>
                <w:b/>
                <w:i w:val="0"/>
                <w:color w:val="212121"/>
                <w:sz w:val="19"/>
              </w:rPr>
              <w:t>Cyanosis with severe nocturnal desaturation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bluish discolouration during deep desaturations indicates severe disease or overlap with hypoventilation.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Observed Cheyne–Stokes / periodic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Crescendo–decrescendo breathing separated by central pauses, visible during sleep or even at rest in advanced HF.</w:t>
            </w:r>
          </w:p>
        </w:tc>
      </w:tr>
      <w:tr>
        <w:trPr>
          <w:cantSplit/>
        </w:trPr>
        <w:tc>
          <w:tcPr>
            <w:tcW w:type="dxa" w:w="3456"/>
            <w:vAlign w:val="top"/>
          </w:tcPr>
          <w:p>
            <w:pPr>
              <w:spacing w:after="40" w:before="0" w:line="259" w:lineRule="auto"/>
            </w:pPr>
            <w:r>
              <w:rPr>
                <w:rFonts w:ascii="Calibri" w:hAnsi="Calibri"/>
                <w:b/>
                <w:i w:val="0"/>
                <w:color w:val="212121"/>
                <w:sz w:val="19"/>
              </w:rPr>
              <w:t>Central apneic pauses without respiratory effort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 observation or PSG, airflow stops while thoraco-abdominal effort is simultaneously absent — the defining sign.</w:t>
            </w:r>
          </w:p>
        </w:tc>
      </w:tr>
      <w:tr>
        <w:trPr>
          <w:cantSplit/>
        </w:trPr>
        <w:tc>
          <w:tcPr>
            <w:tcW w:type="dxa" w:w="3456"/>
            <w:vAlign w:val="top"/>
          </w:tcPr>
          <w:p>
            <w:pPr>
              <w:spacing w:after="40" w:before="0" w:line="259" w:lineRule="auto"/>
            </w:pPr>
            <w:r>
              <w:rPr>
                <w:rFonts w:ascii="Calibri" w:hAnsi="Calibri"/>
                <w:b/>
                <w:i w:val="0"/>
                <w:color w:val="212121"/>
                <w:sz w:val="19"/>
              </w:rPr>
              <w:t>Cyclical nocturnal oxygen desaturation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Pulse oximetry shows a regular 'saw-tooth' pattern of dips matching the periodic breathing cycles.</w:t>
            </w:r>
          </w:p>
        </w:tc>
      </w:tr>
      <w:tr>
        <w:trPr>
          <w:cantSplit/>
        </w:trPr>
        <w:tc>
          <w:tcPr>
            <w:tcW w:type="dxa" w:w="3456"/>
            <w:vAlign w:val="top"/>
          </w:tcPr>
          <w:p>
            <w:pPr>
              <w:spacing w:after="40" w:before="0" w:line="259" w:lineRule="auto"/>
            </w:pPr>
            <w:r>
              <w:rPr>
                <w:rFonts w:ascii="Calibri" w:hAnsi="Calibri"/>
                <w:b/>
                <w:i w:val="0"/>
                <w:color w:val="212121"/>
                <w:sz w:val="19"/>
              </w:rPr>
              <w:t>Signs of heart failure (raised JVP, pedal oedema, basal crackles, S3)</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the underlying congestive heart failure that most often drives central/Cheyne–Stokes apnea.</w:t>
            </w:r>
          </w:p>
        </w:tc>
      </w:tr>
      <w:tr>
        <w:trPr>
          <w:cantSplit/>
        </w:trPr>
        <w:tc>
          <w:tcPr>
            <w:tcW w:type="dxa" w:w="3456"/>
            <w:vAlign w:val="top"/>
          </w:tcPr>
          <w:p>
            <w:pPr>
              <w:spacing w:after="40" w:before="0" w:line="259" w:lineRule="auto"/>
            </w:pPr>
            <w:r>
              <w:rPr>
                <w:rFonts w:ascii="Calibri" w:hAnsi="Calibri"/>
                <w:b/>
                <w:i w:val="0"/>
                <w:color w:val="212121"/>
                <w:sz w:val="19"/>
              </w:rPr>
              <w:t>Irregularly irregular pulse (atrial fibrillation)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Atrial fibrillation is a frequent associate and predictor of Cheyne–Stokes central apnea.</w:t>
            </w:r>
          </w:p>
        </w:tc>
      </w:tr>
      <w:tr>
        <w:trPr>
          <w:cantSplit/>
        </w:trPr>
        <w:tc>
          <w:tcPr>
            <w:tcW w:type="dxa" w:w="3456"/>
            <w:vAlign w:val="top"/>
          </w:tcPr>
          <w:p>
            <w:pPr>
              <w:spacing w:after="40" w:before="0" w:line="259" w:lineRule="auto"/>
            </w:pPr>
            <w:r>
              <w:rPr>
                <w:rFonts w:ascii="Calibri" w:hAnsi="Calibri"/>
                <w:b/>
                <w:i w:val="0"/>
                <w:color w:val="212121"/>
                <w:sz w:val="19"/>
              </w:rPr>
              <w:t>Near-normal body habitus / neck circumference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Unlike obese OSA patients, many CSA patients are of normal build — a useful discriminating clue.</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stroke or a brainstem lesion as the cause of central apnea.</w:t>
            </w:r>
          </w:p>
        </w:tc>
      </w:tr>
      <w:tr>
        <w:trPr>
          <w:cantSplit/>
        </w:trPr>
        <w:tc>
          <w:tcPr>
            <w:tcW w:type="dxa" w:w="3456"/>
            <w:vAlign w:val="top"/>
          </w:tcPr>
          <w:p>
            <w:pPr>
              <w:spacing w:after="40" w:before="0" w:line="259" w:lineRule="auto"/>
            </w:pPr>
            <w:r>
              <w:rPr>
                <w:rFonts w:ascii="Calibri" w:hAnsi="Calibri"/>
                <w:b/>
                <w:i w:val="0"/>
                <w:color w:val="212121"/>
                <w:sz w:val="19"/>
              </w:rPr>
              <w:t>Heart-rate oscillation synchronised with breathing cycles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Cyclic bradycardia–tachycardia tracks the apnea–hyperpnoea phases of Cheyne–Stokes respiration.</w:t>
            </w:r>
          </w:p>
        </w:tc>
      </w:tr>
      <w:tr>
        <w:trPr>
          <w:cantSplit/>
        </w:trPr>
        <w:tc>
          <w:tcPr>
            <w:tcW w:type="dxa" w:w="3456"/>
            <w:vAlign w:val="top"/>
          </w:tcPr>
          <w:p>
            <w:pPr>
              <w:spacing w:after="40" w:before="0" w:line="259" w:lineRule="auto"/>
            </w:pPr>
            <w:r>
              <w:rPr>
                <w:rFonts w:ascii="Calibri" w:hAnsi="Calibri"/>
                <w:b/>
                <w:i w:val="0"/>
                <w:color w:val="212121"/>
                <w:sz w:val="19"/>
              </w:rPr>
              <w:t>Measurable cognitive/attention deficits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Objective neuro-cognitive testing may reveal deficits from chronic fragmented, hypoxic sleep.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nocturnal hypoxaemia and re-oxygenation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Repetitive arousals and severe sleep fragmentation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Surges in sympathetic activity with nocturnal blood-pressure swings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arrhythmias — atrial fibrillation, bradyarrhythmia, ventricular ectopy</w:t>
            </w:r>
          </w:p>
        </w:tc>
        <w:tc>
          <w:tcPr>
            <w:tcW w:type="dxa" w:w="2980"/>
            <w:vAlign w:val="top"/>
          </w:tcPr>
          <w:p>
            <w:pPr>
              <w:spacing w:after="40" w:before="0" w:line="259" w:lineRule="auto"/>
            </w:pPr>
            <w:r>
              <w:rPr>
                <w:rFonts w:ascii="Calibri" w:hAnsi="Calibri"/>
                <w:b w:val="0"/>
                <w:i w:val="0"/>
                <w:color w:val="212121"/>
                <w:sz w:val="19"/>
              </w:rPr>
              <w:t>Immediate physiological consequences of cyclical apnea and desaturation during sleep</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 worsening of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Excessive daytime sleepiness with impaired concentration and driving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hospitalisation for heart failure</w:t>
            </w:r>
          </w:p>
        </w:tc>
        <w:tc>
          <w:tcPr>
            <w:tcW w:type="dxa" w:w="2980"/>
            <w:vAlign w:val="top"/>
          </w:tcPr>
          <w:p>
            <w:pPr>
              <w:spacing w:after="40" w:before="0" w:line="259" w:lineRule="auto"/>
            </w:pPr>
            <w:r>
              <w:rPr>
                <w:rFonts w:ascii="Calibri" w:hAnsi="Calibri"/>
                <w:b w:val="0"/>
                <w:i w:val="0"/>
                <w:color w:val="212121"/>
                <w:sz w:val="19"/>
              </w:rPr>
              <w:t>Result from chronic intermittent hypoxia, sympathetic activation and disturbed sleep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mortality, particularly in heart failure with Cheyne–Stokes respiration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 readmission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cognitive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outcomes after stroke</w:t>
            </w:r>
          </w:p>
        </w:tc>
        <w:tc>
          <w:tcPr>
            <w:tcW w:type="dxa" w:w="2980"/>
            <w:vAlign w:val="top"/>
          </w:tcPr>
          <w:p>
            <w:pPr>
              <w:spacing w:after="40" w:before="0" w:line="259" w:lineRule="auto"/>
            </w:pPr>
            <w:r>
              <w:rPr>
                <w:rFonts w:ascii="Calibri" w:hAnsi="Calibri"/>
                <w:b w:val="0"/>
                <w:i w:val="0"/>
                <w:color w:val="212121"/>
                <w:sz w:val="19"/>
              </w:rPr>
              <w:t>Long-term, disabling or fatal outcomes of untreated central sleep apnea and its cardiac substrate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Heart failure (esp. HFrEF)</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cause of Cheyne–Stokes central apnea; sleep-disordered breathing affects more than half of heart-failure patients.</w:t>
            </w:r>
          </w:p>
          <w:p>
            <w:pPr>
              <w:spacing w:after="40" w:before="0" w:line="259" w:lineRule="auto"/>
            </w:pPr>
            <w:r>
              <w:rPr>
                <w:rFonts w:ascii="Calibri" w:hAnsi="Calibri"/>
                <w:b/>
                <w:i w:val="0"/>
                <w:color w:val="212121"/>
                <w:sz w:val="19"/>
              </w:rPr>
              <w:t>&gt;50% SDB in HF</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Bidirectional link — reduced output promotes periodic breathing while nocturnal hypoxia sustains the arrhythmia.</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Brainstem and hemispheric strokes cause or worsen central apnea, which in turn harms recovery.</w:t>
            </w:r>
          </w:p>
        </w:tc>
      </w:tr>
      <w:tr>
        <w:trPr>
          <w:cantSplit/>
        </w:trPr>
        <w:tc>
          <w:tcPr>
            <w:tcW w:type="dxa" w:w="2232"/>
            <w:vAlign w:val="top"/>
          </w:tcPr>
          <w:p>
            <w:pPr>
              <w:spacing w:after="40" w:before="0" w:line="259" w:lineRule="auto"/>
            </w:pPr>
            <w:r>
              <w:rPr>
                <w:rFonts w:ascii="Calibri" w:hAnsi="Calibri"/>
                <w:b/>
                <w:i w:val="0"/>
                <w:color w:val="212121"/>
                <w:sz w:val="19"/>
              </w:rPr>
              <w:t>Chronic kidney disease / ESRD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Uraemia, acidosis and fluid overload destabilise ventilatory control.</w:t>
            </w:r>
          </w:p>
        </w:tc>
      </w:tr>
      <w:tr>
        <w:trPr>
          <w:cantSplit/>
        </w:trPr>
        <w:tc>
          <w:tcPr>
            <w:tcW w:type="dxa" w:w="2232"/>
            <w:vAlign w:val="top"/>
          </w:tcPr>
          <w:p>
            <w:pPr>
              <w:spacing w:after="40" w:before="0" w:line="259" w:lineRule="auto"/>
            </w:pPr>
            <w:r>
              <w:rPr>
                <w:rFonts w:ascii="Calibri" w:hAnsi="Calibri"/>
                <w:b/>
                <w:i w:val="0"/>
                <w:color w:val="212121"/>
                <w:sz w:val="19"/>
              </w:rPr>
              <w:t>Obstructive sleep apnea (overlap)</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Coexists with, and on CPAP can convert to, treatment-emergent central apnea.</w:t>
            </w:r>
          </w:p>
        </w:tc>
      </w:tr>
      <w:tr>
        <w:trPr>
          <w:cantSplit/>
        </w:trPr>
        <w:tc>
          <w:tcPr>
            <w:tcW w:type="dxa" w:w="2232"/>
            <w:vAlign w:val="top"/>
          </w:tcPr>
          <w:p>
            <w:pPr>
              <w:spacing w:after="40" w:before="0" w:line="259" w:lineRule="auto"/>
            </w:pPr>
            <w:r>
              <w:rPr>
                <w:rFonts w:ascii="Calibri" w:hAnsi="Calibri"/>
                <w:b/>
                <w:i w:val="0"/>
                <w:color w:val="212121"/>
                <w:sz w:val="19"/>
              </w:rPr>
              <w:t>Chronic opioid therapy / opioid 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Dose-related suppression of respiratory drive produces central/ataxic apneas.</w:t>
            </w:r>
          </w:p>
          <w:p>
            <w:pPr>
              <w:spacing w:after="40" w:before="0" w:line="259" w:lineRule="auto"/>
            </w:pPr>
            <w:r>
              <w:rPr>
                <w:rFonts w:ascii="Calibri" w:hAnsi="Calibri"/>
                <w:b/>
                <w:i w:val="0"/>
                <w:color w:val="212121"/>
                <w:sz w:val="19"/>
              </w:rPr>
              <w:t>~24% CSA</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Nocturnal sympathetic surges from cyclical apnea raise blood pressure.</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Repetitive hypoxia and left-heart disease elevate pulmonary pressures.</w:t>
            </w:r>
          </w:p>
        </w:tc>
      </w:tr>
      <w:tr>
        <w:trPr>
          <w:cantSplit/>
        </w:trPr>
        <w:tc>
          <w:tcPr>
            <w:tcW w:type="dxa" w:w="2232"/>
            <w:vAlign w:val="top"/>
          </w:tcPr>
          <w:p>
            <w:pPr>
              <w:spacing w:after="40" w:before="0" w:line="259" w:lineRule="auto"/>
            </w:pPr>
            <w:r>
              <w:rPr>
                <w:rFonts w:ascii="Calibri" w:hAnsi="Calibri"/>
                <w:b/>
                <w:i w:val="0"/>
                <w:color w:val="212121"/>
                <w:sz w:val="19"/>
              </w:rPr>
              <w:t>Depression / insomnia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Fragmented, non-restorative sleep contributes to low mood and chronic insomnia.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central sleep apnea usually signals an underlying problem — most often heart failure, stroke, opioids or high altitude — so treating that cause is central to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waking gasping for breath, a bed-partner reporting pauses or waxing–waning breathing, restless non-restorative sleep, and morning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Bring a bed-partner's description of the breathing pattern to the consultation, as this is a key diagnostic clue.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opioids, sedatives and alcohol before sleep unless essential, and never combine them, because they suppress the drive to breathe.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travelling or posted to high altitude, ascend gradually, allow time to acclimatise, and seek advice about preventive medication (e.g., acetazolamide)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therapy (device or oxygen) and attend follow-up, since untreated CSA worsens heart failure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opioid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High-altitude travellers/soldiers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part in supervised cardiac rehabilitation and regular aerobic exercise to improve heart-failure control, which can reduce Cheyne–Stokes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within limits set by the treating team, especially where heart failure is advanced.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adherence to heart-failure medication for the greatest reduction in nocturnal breathing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those going to altitude, undertake pre-acclimatisation and a staged ascent rather than rapid climbs.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Altitude-bound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low-salt diet (commonly &lt; 2 g sodium/day in heart failure) to limit fluid overload and pulmonary congestion that drive central apneas.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Observe any fluid-restriction advice given for heart failure or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heart-healthy diet rich in vegetables, fruit, whole grains and lean protein to support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heavy meals late at night that can worsen night-time breathlessness.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hypertension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prescribed positive-airway-pressure device correctly — CPAP, bilevel or adaptive servo-ventilation as indicated — and report if central events persist.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adaptive servo-ventilation (ASV) is NOT used in symptomatic heart failure with reduced ejection fraction (LVEF ≤ 45%) because it increases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supplemental nocturnal oxygen if prescribed for significant desaturation.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Try sleeping on the side and with the head of the bed elevated, which can lessen Cheyne–Stokes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sleep–wake times and good sleep hygiene to reduce sleep-onset ventilatory instability.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CSA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Treatment-emergent CSA on CPAP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the risk of heart failure, atrial fibrillation and stroke that underlie central sleep apnea.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quit-lines and pharmacotherapy —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in India, address smokeless-tobacco use as part of overall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particularly in the evening, because it depresses respiratory drive and deepens nocturnal hypoxia.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opioids or sedative-hypnotics — together they markedly worsen central apneas.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opioids are clinically necessary, work with the prescriber to use the lowest effective dose and review the need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or opioid dependence, which both aggravate central sleep apnea.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opioid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sedative-hypnotics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insomnia that frequently accompanies CSA using cognitive behavioural therapy for insomnia (CBT-I) rather than sedatives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is common in heart failure and worsened by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non-sedating strategies, as sedative psychotropics can aggravate central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explanation, since fear about night-time breathing can heighten anxiety and insomnia.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78199/" TargetMode="External"/><Relationship Id="rId10" Type="http://schemas.openxmlformats.org/officeDocument/2006/relationships/hyperlink" Target="https://pubmed.ncbi.nlm.nih.gov/38534039/" TargetMode="External"/><Relationship Id="rId11" Type="http://schemas.openxmlformats.org/officeDocument/2006/relationships/hyperlink" Target="https://pubmed.ncbi.nlm.nih.gov/36214477/" TargetMode="External"/><Relationship Id="rId12" Type="http://schemas.openxmlformats.org/officeDocument/2006/relationships/hyperlink" Target="https://pubmed.ncbi.nlm.nih.gov/32105208/" TargetMode="External"/><Relationship Id="rId13" Type="http://schemas.openxmlformats.org/officeDocument/2006/relationships/hyperlink" Target="https://pubmed.ncbi.nlm.nih.gov/26483979/" TargetMode="External"/><Relationship Id="rId14" Type="http://schemas.openxmlformats.org/officeDocument/2006/relationships/hyperlink" Target="https://pubmed.ncbi.nlm.nih.gov/28209226/" TargetMode="External"/><Relationship Id="rId15" Type="http://schemas.openxmlformats.org/officeDocument/2006/relationships/hyperlink" Target="https://pubmed.ncbi.nlm.nih.gov/16052417/" TargetMode="External"/><Relationship Id="rId16" Type="http://schemas.openxmlformats.org/officeDocument/2006/relationships/hyperlink" Target="https://pubmed.ncbi.nlm.nih.gov/29411336/" TargetMode="External"/><Relationship Id="rId17" Type="http://schemas.openxmlformats.org/officeDocument/2006/relationships/hyperlink" Target="https://pubmed.ncbi.nlm.nih.gov/26567495/" TargetMode="External"/><Relationship Id="rId18" Type="http://schemas.openxmlformats.org/officeDocument/2006/relationships/hyperlink" Target="https://pubmed.ncbi.nlm.nih.gov/1868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