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Air Pollution–Related Respiratory Disease</w:t>
      </w:r>
    </w:p>
    <w:p>
      <w:pPr>
        <w:spacing w:before="0" w:after="160"/>
      </w:pPr>
      <w:r>
        <w:rPr>
          <w:rFonts w:ascii="Calibri" w:hAnsi="Calibri"/>
          <w:b/>
          <w:i w:val="0"/>
          <w:color w:val="212121"/>
          <w:sz w:val="22"/>
        </w:rPr>
        <w:t xml:space="preserve">AKA </w:t>
      </w:r>
      <w:r>
        <w:rPr>
          <w:rFonts w:ascii="Calibri" w:hAnsi="Calibri"/>
          <w:b w:val="0"/>
          <w:i w:val="0"/>
          <w:color w:val="212121"/>
          <w:sz w:val="22"/>
        </w:rPr>
        <w:t>i.e., Pollution-induced respiratory disease, Particulate-matter (PM2.5) lung disease, Smog-related respiratory illness, Household (indoor) air pollution lung disease, Biomass-smoke lung disease, Environmental/occupational airway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Air pollution–related respiratory disease is an umbrella term for acute and chronic disorders of the airways and lungs caused or aggravated by inhaling polluted air. The relevant pollutants include ambient (outdoor) fine and coarse particulate matter (PM2.5 and PM10), ground-level ozone, nitrogen dioxide and sulfur dioxide from traffic, industry, power generation, construction dust and crop-residue burning, and household (indoor) air pollution from combustion of solid fuels (wood, dung, crop residue, coal) and tobacco smoke. The clinical spectrum ranges from acute lower respiratory infections (especially pneumonia in young children) and asthma exacerbations to chronic obstructive pulmonary disease (COPD), impaired lung growth, reduced lung function and lung cancer. Fine particulates penetrate deep into the alveoli, driving oxidative stress, airway inflammation and remodelling, while in India both dense outdoor pollution and widespread household solid-fuel use make this one of the country's largest environmental health burdens.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2019, an estimated 1.67 million deaths in India — 17.8% of all deaths in the country — were attributable to air pollution, comprising about 0.98 million from ambient particulate matter and 0.61 million from household air pollution, with an associated economic loss of US$36.8 billion (≈1.36% of India's GDP) (GBD India Study 2019). Air pollution accounts for over half (53.7%) of India's disability-adjusted life-years (DALYs) from COPD, and India carried an estimated 55.3 million COPD and 37.9 million asthma cases in 2016 — about a third of the world's chronic respiratory-disease burden. WHO separately estimated roughly 1.79 million deaths in India from ambient air pollution in 2016 (from stroke, heart disease, lung cancer and chronic respiratory disease).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test for “air pollution–related respiratory disease”; diagnosis rests on identifying the specific respiratory syndrome (pneumonia, asthma, COPD, lung cancer, reduced lung function) and establishing a causal or aggravating link to pollutant exposure. Supporting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documented exposure history — cooking with solid biomass or coal on an open/poorly-ventilated stove, residence in a high-PM2.5 zone (Indo-Gangetic plain, urban traffic/industrial corridor), occupational dust/fume exposure, and active or second-hand tobacco smoke;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Spirometry showing airflow limitation — post-bronchodilator FEV1/FVC &lt; 0.70 (fixed obstruction of COPD) or reversible/variable obstruction (asthma);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Chest radiograph or HRCT showing consolidation (pneumonia), hyperinflation/emphysema, bronchial-wall thickening, or a suspicious mass/nodule (lung cancer);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features of the relevant syndrome — chronic cough with sputum, wheeze, exertional breathlessness, or recurrent lower-respiratory infections in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Temporal correlation of symptom onset or exacerbations with high-pollution episodes (winter smog and thermal inversions, crop-residue [stubble] burning season, festival firecracker periods, dust storms);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other causes — in India tuberculosis must be actively excluded (sputum AFB, GeneXpert MTB/RIF), along with occupational pneumoconioses, interstitial lung disease and cardiac dyspnoea.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Air pollution–related respiratory disease is best classified by the source of pollution, by the clinical disease entity it produces or worsens, and by the temporality of the effect:</w:t>
      </w:r>
    </w:p>
    <w:p>
      <w:pPr>
        <w:spacing w:before="0" w:after="80"/>
      </w:pPr>
      <w:r>
        <w:rPr>
          <w:rFonts w:ascii="Calibri" w:hAnsi="Calibri"/>
          <w:b w:val="0"/>
          <w:i w:val="0"/>
          <w:color w:val="212121"/>
          <w:sz w:val="21"/>
        </w:rPr>
        <w:t>(1) By pollution source: ambient (outdoor) air pollution — PM2.5, PM10, ground-level ozone, nitrogen dioxide and sulfur dioxide from vehicular traffic, industry, coal-based power, construction and crop-residue burning; and household (indoor) air pollution — from combustion of solid fuels (wood, dung, crop residue, coal, kerosene) for cooking and heating, plus environmental tobacco smoke.</w:t>
      </w:r>
    </w:p>
    <w:p>
      <w:pPr>
        <w:spacing w:before="0" w:after="80"/>
      </w:pPr>
      <w:r>
        <w:rPr>
          <w:rFonts w:ascii="Calibri" w:hAnsi="Calibri"/>
          <w:b w:val="0"/>
          <w:i w:val="0"/>
          <w:color w:val="212121"/>
          <w:sz w:val="21"/>
        </w:rPr>
        <w:t>(2) By clinical entity: acute lower respiratory infection (pneumonia, bronchiolitis — predominantly in under-5 children); asthma (both new-onset disease and acute exacerbations); chronic obstructive pulmonary disease including chronic bronchitis and emphysema (biomass-related COPD in non-smoking women is a characteristically Indian pattern); lung cancer; and impaired lung growth/reduced lung function.</w:t>
      </w:r>
    </w:p>
    <w:p>
      <w:pPr>
        <w:spacing w:before="0" w:after="80"/>
      </w:pPr>
      <w:r>
        <w:rPr>
          <w:rFonts w:ascii="Calibri" w:hAnsi="Calibri"/>
          <w:b w:val="0"/>
          <w:i w:val="0"/>
          <w:color w:val="212121"/>
          <w:sz w:val="21"/>
        </w:rPr>
        <w:t>(3) By temporality: acute effects — asthma attacks, acute bronchitis, pneumonia and COPD exacerbations precipitated by short-term pollution peaks (smog episodes); versus chronic effects — COPD, accelerated lung-function decline and malignancy arising from cumulative long-term exposure.</w:t>
      </w:r>
    </w:p>
    <w:p>
      <w:pPr>
        <w:spacing w:before="0" w:after="80"/>
      </w:pPr>
      <w:r>
        <w:rPr>
          <w:rFonts w:ascii="Calibri" w:hAnsi="Calibri"/>
          <w:b w:val="0"/>
          <w:i w:val="0"/>
          <w:color w:val="212121"/>
          <w:sz w:val="21"/>
        </w:rPr>
        <w:t>(4) By severity/stage: graded using the framework of the underlying disease — e.g., GOLD stages for COPD, GINA steps for asthma, pneumonia severity scores, and TNM staging for lung cancer.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Ambient fine particulate matter (PM2.5/PM10): Inhaled particles penetrate deep into the small airways and alveoli, generating oxidative stress and airway inflammation; India's population-weighted PM2.5 far exceeds the WHO annual guideline of 5 µg/m³.</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Household solid-fuel combustion: Burning wood, dung, crop residue, coal and kerosene on inefficient stoves in poorly-ventilated kitchens exposes women and young children to extremely high indoor particulate concentrations.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Gaseous pollutants (ozone, NO2, SO2): Irritant gases from traffic and industry inflame the airway epithelium and provoke bronchoconstriction and airway hyper-responsiveness.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Tobacco and second-hand smoke: A potent personal air pollutant that acts additively and synergistically with ambient and household pollution to cause COPD and lung cancer.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Occupational exposures: Dusts, fumes and gases in construction, brick kilns, stone-crushing, mining, foundries, traffic and agriculture contribute a substantial share of the COPD burden.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Seasonal and episodic sources: Crop-residue (stubble) burning, winter thermal inversions, festival firecrackers and dust storms cause extreme short-term PM peaks, particularly across North India.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Host susceptibility: Extremes of age (young children, the elderly), pre-existing airway disease, undernutrition and genetic factors amplify the respiratory effects of a given level of pollution.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under 5 years</w:t>
            </w:r>
          </w:p>
        </w:tc>
        <w:tc>
          <w:tcPr>
            <w:tcW w:type="dxa" w:w="4276"/>
            <w:vAlign w:val="top"/>
          </w:tcPr>
          <w:p>
            <w:pPr>
              <w:spacing w:after="60" w:line="259" w:lineRule="auto"/>
            </w:pPr>
            <w:r>
              <w:rPr>
                <w:rFonts w:ascii="Calibri" w:hAnsi="Calibri"/>
                <w:b w:val="0"/>
                <w:i w:val="0"/>
                <w:color w:val="212121"/>
                <w:sz w:val="19"/>
              </w:rPr>
              <w:t>Growing lungs, immature airways and a higher breathing rate per unit body weight mean children inhale proportionally more pollutant per kilogram than adults. Particulate exposure impairs lung development and greatly raises the risk of pneumonia — a leading killer of Indian under-fives.</w:t>
            </w:r>
          </w:p>
          <w:p>
            <w:pPr>
              <w:spacing w:after="40" w:before="60" w:line="259" w:lineRule="auto"/>
            </w:pPr>
            <w:r>
              <w:rPr>
                <w:rFonts w:ascii="Calibri" w:hAnsi="Calibri"/>
                <w:b w:val="0"/>
                <w:i w:val="0"/>
                <w:color w:val="212121"/>
                <w:sz w:val="19"/>
              </w:rPr>
              <w:t>Almost half of all deaths from lower-respiratory infection among children under 5 years worldwide are caused by inhaling particulate matter from household air pollution.</w:t>
            </w:r>
          </w:p>
          <w:p>
            <w:pPr>
              <w:spacing w:after="40" w:line="252" w:lineRule="auto"/>
            </w:pPr>
            <w:hyperlink r:id="rId9">
              <w:r>
                <w:rPr>
                  <w:rFonts w:ascii="Calibri" w:hAnsi="Calibri" w:cs="Calibri"/>
                  <w:sz w:val="18"/>
                  <w:color w:val="1155CC"/>
                  <w:u w:val="single"/>
                </w:rPr>
                <w:t xml:space="preserve">who.int — Household air pollution and health</w:t>
              </w:r>
            </w:hyperlink>
          </w:p>
          <w:p>
            <w:pPr>
              <w:spacing w:before="60" w:after="40"/>
            </w:pPr>
            <w:r>
              <w:rPr>
                <w:rFonts w:ascii="Calibri" w:hAnsi="Calibri"/>
                <w:b w:val="0"/>
                <w:i w:val="0"/>
                <w:color w:val="5A5A5A"/>
                <w:sz w:val="18"/>
              </w:rPr>
              <w:t>#children  #pneumonia  #lungdevelopment  #householdairpollution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Reduced pulmonary reserve, weaker mucociliary clearance and clustering of cardiorespiratory comorbidity make older adults highly vulnerable; short-term pollution spikes trigger COPD exacerbations, pneumonia and cardiovascular events.</w:t>
            </w:r>
          </w:p>
          <w:p>
            <w:pPr>
              <w:spacing w:after="40" w:before="60" w:line="259" w:lineRule="auto"/>
            </w:pPr>
            <w:r>
              <w:rPr>
                <w:rFonts w:ascii="Calibri" w:hAnsi="Calibri"/>
                <w:b w:val="0"/>
                <w:i w:val="0"/>
                <w:color w:val="212121"/>
                <w:sz w:val="19"/>
              </w:rPr>
              <w:t>Globally, 14% of ambient-air-pollution deaths are due to COPD and 14% to acute lower respiratory infection, with the burden concentrated in older adults.</w:t>
            </w:r>
          </w:p>
          <w:p>
            <w:pPr>
              <w:spacing w:after="40" w:line="252" w:lineRule="auto"/>
            </w:pPr>
            <w:hyperlink r:id="rId10">
              <w:r>
                <w:rPr>
                  <w:rFonts w:ascii="Calibri" w:hAnsi="Calibri" w:cs="Calibri"/>
                  <w:sz w:val="18"/>
                  <w:color w:val="1155CC"/>
                  <w:u w:val="single"/>
                </w:rPr>
                <w:t xml:space="preserve">who.int — Ambient (outdoor) air quality and health</w:t>
              </w:r>
            </w:hyperlink>
          </w:p>
          <w:p>
            <w:pPr>
              <w:spacing w:before="60" w:after="40"/>
            </w:pPr>
            <w:r>
              <w:rPr>
                <w:rFonts w:ascii="Calibri" w:hAnsi="Calibri"/>
                <w:b w:val="0"/>
                <w:i w:val="0"/>
                <w:color w:val="5A5A5A"/>
                <w:sz w:val="18"/>
              </w:rPr>
              <w:t>#elderly  #COPD  #exacerbation  #reducedreserve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Working-age adults</w:t>
            </w:r>
          </w:p>
        </w:tc>
        <w:tc>
          <w:tcPr>
            <w:tcW w:type="dxa" w:w="4276"/>
            <w:vAlign w:val="top"/>
          </w:tcPr>
          <w:p>
            <w:pPr>
              <w:spacing w:after="60" w:line="259" w:lineRule="auto"/>
            </w:pPr>
            <w:r>
              <w:rPr>
                <w:rFonts w:ascii="Calibri" w:hAnsi="Calibri"/>
                <w:b w:val="0"/>
                <w:i w:val="0"/>
                <w:color w:val="212121"/>
                <w:sz w:val="19"/>
              </w:rPr>
              <w:t>Adults accumulate ambient plus occupational and commuting exposure over decades, driving progressive airflow obstruction and lung-function decline that surfaces in mid-life.</w:t>
            </w:r>
          </w:p>
          <w:p>
            <w:pPr>
              <w:spacing w:after="40" w:before="60" w:line="259" w:lineRule="auto"/>
            </w:pPr>
            <w:r>
              <w:rPr>
                <w:rFonts w:ascii="Calibri" w:hAnsi="Calibri"/>
                <w:b w:val="0"/>
                <w:i w:val="0"/>
                <w:color w:val="212121"/>
                <w:sz w:val="19"/>
              </w:rPr>
              <w:t>In India, occupational exposures account for 16.5% and tobacco 25.4% of COPD DALYs, on top of the dominant air-pollution contribution of 53.7%.</w:t>
            </w:r>
          </w:p>
          <w:p>
            <w:pPr>
              <w:spacing w:after="40" w:line="252" w:lineRule="auto"/>
            </w:pPr>
            <w:hyperlink r:id="rId11">
              <w:r>
                <w:rPr>
                  <w:rFonts w:ascii="Calibri" w:hAnsi="Calibri" w:cs="Calibri"/>
                  <w:sz w:val="18"/>
                  <w:color w:val="1155CC"/>
                  <w:u w:val="single"/>
                </w:rPr>
                <w:t xml:space="preserve">pmc.ncbi.nlm.nih.gov/PMC6227385 — GBD India chronic respiratory diseases</w:t>
              </w:r>
            </w:hyperlink>
          </w:p>
          <w:p>
            <w:pPr>
              <w:spacing w:before="60" w:after="40"/>
            </w:pPr>
            <w:r>
              <w:rPr>
                <w:rFonts w:ascii="Calibri" w:hAnsi="Calibri"/>
                <w:b w:val="0"/>
                <w:i w:val="0"/>
                <w:color w:val="5A5A5A"/>
                <w:sz w:val="18"/>
              </w:rPr>
              <w:t>#adults  #occupational  #cumulativeexposure  #COPD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(household biomass cooks)</w:t>
            </w:r>
          </w:p>
        </w:tc>
        <w:tc>
          <w:tcPr>
            <w:tcW w:type="dxa" w:w="4276"/>
            <w:vAlign w:val="top"/>
          </w:tcPr>
          <w:p>
            <w:pPr>
              <w:spacing w:after="60" w:line="259" w:lineRule="auto"/>
            </w:pPr>
            <w:r>
              <w:rPr>
                <w:rFonts w:ascii="Calibri" w:hAnsi="Calibri"/>
                <w:b w:val="0"/>
                <w:i w:val="0"/>
                <w:color w:val="212121"/>
                <w:sz w:val="19"/>
              </w:rPr>
              <w:t>Women who cook on solid-fuel stoves spend hours daily beside the fire, inhaling dense smoke; this is the classic route to COPD and chronic bronchitis in Indian women who have never smoked.</w:t>
            </w:r>
          </w:p>
          <w:p>
            <w:pPr>
              <w:spacing w:after="40" w:before="60" w:line="259" w:lineRule="auto"/>
            </w:pPr>
            <w:r>
              <w:rPr>
                <w:rFonts w:ascii="Calibri" w:hAnsi="Calibri"/>
                <w:b w:val="0"/>
                <w:i w:val="0"/>
                <w:color w:val="212121"/>
                <w:sz w:val="19"/>
              </w:rPr>
              <w:t>Women and children bear the greatest health burden from polluting fuels, and 23% of all COPD deaths in adults in low- and middle-income countries are due to household air pollution.</w:t>
            </w:r>
          </w:p>
          <w:p>
            <w:pPr>
              <w:spacing w:after="40" w:line="252" w:lineRule="auto"/>
            </w:pPr>
            <w:hyperlink r:id="rId9">
              <w:r>
                <w:rPr>
                  <w:rFonts w:ascii="Calibri" w:hAnsi="Calibri" w:cs="Calibri"/>
                  <w:sz w:val="18"/>
                  <w:color w:val="1155CC"/>
                  <w:u w:val="single"/>
                </w:rPr>
                <w:t xml:space="preserve">who.int — Household air pollution and health</w:t>
              </w:r>
            </w:hyperlink>
          </w:p>
          <w:p>
            <w:pPr>
              <w:spacing w:before="60" w:after="40"/>
            </w:pPr>
            <w:r>
              <w:rPr>
                <w:rFonts w:ascii="Calibri" w:hAnsi="Calibri"/>
                <w:b w:val="0"/>
                <w:i w:val="0"/>
                <w:color w:val="5A5A5A"/>
                <w:sz w:val="18"/>
              </w:rPr>
              <w:t>#women  #biomass  #nonsmokerCOPD  #chulha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solid-fuel households</w:t>
            </w:r>
          </w:p>
        </w:tc>
        <w:tc>
          <w:tcPr>
            <w:tcW w:type="dxa" w:w="4276"/>
            <w:vAlign w:val="top"/>
          </w:tcPr>
          <w:p>
            <w:pPr>
              <w:spacing w:after="60" w:line="259" w:lineRule="auto"/>
            </w:pPr>
            <w:r>
              <w:rPr>
                <w:rFonts w:ascii="Calibri" w:hAnsi="Calibri"/>
                <w:b w:val="0"/>
                <w:i w:val="0"/>
                <w:color w:val="212121"/>
                <w:sz w:val="19"/>
              </w:rPr>
              <w:t>Poverty forces reliance on biomass/coal for cooking and heating and concentrates residence near traffic, industry and waste-burning, so the poor face the highest combined indoor and outdoor exposure with least access to care.</w:t>
            </w:r>
          </w:p>
          <w:p>
            <w:pPr>
              <w:spacing w:after="40" w:before="60" w:line="259" w:lineRule="auto"/>
            </w:pPr>
            <w:r>
              <w:rPr>
                <w:rFonts w:ascii="Calibri" w:hAnsi="Calibri"/>
                <w:b w:val="0"/>
                <w:i w:val="0"/>
                <w:color w:val="212121"/>
                <w:sz w:val="19"/>
              </w:rPr>
              <w:t>Around 2.1 billion people worldwide still cook with solid fuels; in India, household air pollution caused an estimated 0.61 million deaths in 2019.</w:t>
            </w:r>
          </w:p>
          <w:p>
            <w:pPr>
              <w:spacing w:after="40" w:line="252" w:lineRule="auto"/>
            </w:pPr>
            <w:hyperlink r:id="rId12">
              <w:r>
                <w:rPr>
                  <w:rFonts w:ascii="Calibri" w:hAnsi="Calibri" w:cs="Calibri"/>
                  <w:sz w:val="18"/>
                  <w:color w:val="1155CC"/>
                  <w:u w:val="single"/>
                </w:rPr>
                <w:t xml:space="preserve">pmc.ncbi.nlm.nih.gov/PMC7805008 — GBD India air pollution 2019</w:t>
              </w:r>
            </w:hyperlink>
          </w:p>
          <w:p>
            <w:pPr>
              <w:spacing w:before="60" w:after="40"/>
            </w:pPr>
            <w:r>
              <w:rPr>
                <w:rFonts w:ascii="Calibri" w:hAnsi="Calibri"/>
                <w:b w:val="0"/>
                <w:i w:val="0"/>
                <w:color w:val="5A5A5A"/>
                <w:sz w:val="18"/>
              </w:rPr>
              <w:t>#poverty  #solidfuel  #inequity  #householdairpollution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 Indian / Indo-Gangetic plain (Delhi, UP, Bihar)</w:t>
            </w:r>
          </w:p>
        </w:tc>
        <w:tc>
          <w:tcPr>
            <w:tcW w:type="dxa" w:w="4276"/>
            <w:vAlign w:val="top"/>
          </w:tcPr>
          <w:p>
            <w:pPr>
              <w:spacing w:after="60" w:line="259" w:lineRule="auto"/>
            </w:pPr>
            <w:r>
              <w:rPr>
                <w:rFonts w:ascii="Calibri" w:hAnsi="Calibri"/>
                <w:b w:val="0"/>
                <w:i w:val="0"/>
                <w:color w:val="212121"/>
                <w:sz w:val="19"/>
              </w:rPr>
              <w:t>The Indo-Gangetic plain traps pollution under winter thermal inversions and receives seasonal crop-residue-burning smoke, giving some of the highest ambient PM2.5 levels on earth and the greatest per-capita health loss.</w:t>
            </w:r>
          </w:p>
          <w:p>
            <w:pPr>
              <w:spacing w:after="40" w:before="60" w:line="259" w:lineRule="auto"/>
            </w:pPr>
            <w:r>
              <w:rPr>
                <w:rFonts w:ascii="Calibri" w:hAnsi="Calibri"/>
                <w:b w:val="0"/>
                <w:i w:val="0"/>
                <w:color w:val="212121"/>
                <w:sz w:val="19"/>
              </w:rPr>
              <w:t>Air-pollution per-capita economic loss varied 5.4-fold across Indian states in 2019, with Delhi experiencing the highest per-capita impact.</w:t>
            </w:r>
          </w:p>
          <w:p>
            <w:pPr>
              <w:spacing w:after="40" w:line="252" w:lineRule="auto"/>
            </w:pPr>
            <w:hyperlink r:id="rId12">
              <w:r>
                <w:rPr>
                  <w:rFonts w:ascii="Calibri" w:hAnsi="Calibri" w:cs="Calibri"/>
                  <w:sz w:val="18"/>
                  <w:color w:val="1155CC"/>
                  <w:u w:val="single"/>
                </w:rPr>
                <w:t xml:space="preserve">pmc.ncbi.nlm.nih.gov/PMC7805008 — GBD India air pollution 2019</w:t>
              </w:r>
            </w:hyperlink>
          </w:p>
          <w:p>
            <w:pPr>
              <w:spacing w:before="60" w:after="40"/>
            </w:pPr>
            <w:r>
              <w:rPr>
                <w:rFonts w:ascii="Calibri" w:hAnsi="Calibri"/>
                <w:b w:val="0"/>
                <w:i w:val="0"/>
                <w:color w:val="5A5A5A"/>
                <w:sz w:val="18"/>
              </w:rPr>
              <w:t>#Delhi  #IndoGangetic  #smog  #stubbleburning</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households (biomass belt)</w:t>
            </w:r>
          </w:p>
        </w:tc>
        <w:tc>
          <w:tcPr>
            <w:tcW w:type="dxa" w:w="4276"/>
            <w:vAlign w:val="top"/>
          </w:tcPr>
          <w:p>
            <w:pPr>
              <w:spacing w:after="60" w:line="259" w:lineRule="auto"/>
            </w:pPr>
            <w:r>
              <w:rPr>
                <w:rFonts w:ascii="Calibri" w:hAnsi="Calibri"/>
                <w:b w:val="0"/>
                <w:i w:val="0"/>
                <w:color w:val="212121"/>
                <w:sz w:val="19"/>
              </w:rPr>
              <w:t>Rural India depends heavily on wood, dung and crop residue for cooking, so indoor particulate levels in rural kitchens far exceed safe limits, driving COPD and childhood pneumonia despite cleaner outdoor air than cities.</w:t>
            </w:r>
          </w:p>
          <w:p>
            <w:pPr>
              <w:spacing w:after="40" w:before="60" w:line="259" w:lineRule="auto"/>
            </w:pPr>
            <w:r>
              <w:rPr>
                <w:rFonts w:ascii="Calibri" w:hAnsi="Calibri"/>
                <w:b w:val="0"/>
                <w:i w:val="0"/>
                <w:color w:val="212121"/>
                <w:sz w:val="19"/>
              </w:rPr>
              <w:t>Household air-pollution deaths in India fell 64.2% between 1990 and 2019 as clean fuels spread, yet the residual burden remains large in rural areas.</w:t>
            </w:r>
          </w:p>
          <w:p>
            <w:pPr>
              <w:spacing w:after="40" w:line="252" w:lineRule="auto"/>
            </w:pPr>
            <w:hyperlink r:id="rId12">
              <w:r>
                <w:rPr>
                  <w:rFonts w:ascii="Calibri" w:hAnsi="Calibri" w:cs="Calibri"/>
                  <w:sz w:val="18"/>
                  <w:color w:val="1155CC"/>
                  <w:u w:val="single"/>
                </w:rPr>
                <w:t xml:space="preserve">pmc.ncbi.nlm.nih.gov/PMC7805008 — GBD India air pollution 2019</w:t>
              </w:r>
            </w:hyperlink>
          </w:p>
          <w:p>
            <w:pPr>
              <w:spacing w:before="60" w:after="40"/>
            </w:pPr>
            <w:r>
              <w:rPr>
                <w:rFonts w:ascii="Calibri" w:hAnsi="Calibri"/>
                <w:b w:val="0"/>
                <w:i w:val="0"/>
                <w:color w:val="5A5A5A"/>
                <w:sz w:val="18"/>
              </w:rPr>
              <w:t>#rural  #biomass  #indoorsmoke  #cleanfuel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Urban traffic &amp; industrial corridors</w:t>
            </w:r>
          </w:p>
        </w:tc>
        <w:tc>
          <w:tcPr>
            <w:tcW w:type="dxa" w:w="4276"/>
            <w:vAlign w:val="top"/>
          </w:tcPr>
          <w:p>
            <w:pPr>
              <w:spacing w:after="60" w:line="259" w:lineRule="auto"/>
            </w:pPr>
            <w:r>
              <w:rPr>
                <w:rFonts w:ascii="Calibri" w:hAnsi="Calibri"/>
                <w:b w:val="0"/>
                <w:i w:val="0"/>
                <w:color w:val="212121"/>
                <w:sz w:val="19"/>
              </w:rPr>
              <w:t>City dwellers near busy roads, industry and construction inhale vehicular PM2.5, diesel exhaust, NO2 and ozone; ambient particulate deaths in India have risen sharply with urbanisation and motorisation.</w:t>
            </w:r>
          </w:p>
          <w:p>
            <w:pPr>
              <w:spacing w:after="40" w:before="60" w:line="259" w:lineRule="auto"/>
            </w:pPr>
            <w:r>
              <w:rPr>
                <w:rFonts w:ascii="Calibri" w:hAnsi="Calibri"/>
                <w:b w:val="0"/>
                <w:i w:val="0"/>
                <w:color w:val="212121"/>
                <w:sz w:val="19"/>
              </w:rPr>
              <w:t>Ambient particulate-matter deaths in India increased 115.3%, and ambient-ozone deaths 139.2%, between 1990 and 2019.</w:t>
            </w:r>
          </w:p>
          <w:p>
            <w:pPr>
              <w:spacing w:after="40" w:line="252" w:lineRule="auto"/>
            </w:pPr>
            <w:hyperlink r:id="rId12">
              <w:r>
                <w:rPr>
                  <w:rFonts w:ascii="Calibri" w:hAnsi="Calibri" w:cs="Calibri"/>
                  <w:sz w:val="18"/>
                  <w:color w:val="1155CC"/>
                  <w:u w:val="single"/>
                </w:rPr>
                <w:t xml:space="preserve">pmc.ncbi.nlm.nih.gov/PMC7805008 — GBD India air pollution 2019</w:t>
              </w:r>
            </w:hyperlink>
          </w:p>
          <w:p>
            <w:pPr>
              <w:spacing w:before="60" w:after="40"/>
            </w:pPr>
            <w:r>
              <w:rPr>
                <w:rFonts w:ascii="Calibri" w:hAnsi="Calibri"/>
                <w:b w:val="0"/>
                <w:i w:val="0"/>
                <w:color w:val="5A5A5A"/>
                <w:sz w:val="18"/>
              </w:rPr>
              <w:t>#urban  #traffic  #dieselexhaust  #ozone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Cooking fuel</w:t>
            </w:r>
          </w:p>
        </w:tc>
        <w:tc>
          <w:tcPr>
            <w:tcW w:type="dxa" w:w="2160"/>
            <w:vAlign w:val="top"/>
          </w:tcPr>
          <w:p>
            <w:pPr>
              <w:spacing w:after="40" w:before="0" w:line="259" w:lineRule="auto"/>
            </w:pPr>
            <w:r>
              <w:rPr>
                <w:rFonts w:ascii="Calibri" w:hAnsi="Calibri"/>
                <w:b w:val="0"/>
                <w:i w:val="0"/>
                <w:color w:val="212121"/>
                <w:sz w:val="19"/>
              </w:rPr>
              <w:t>Solid-fuel (biomass/coal) cooks</w:t>
            </w:r>
          </w:p>
        </w:tc>
        <w:tc>
          <w:tcPr>
            <w:tcW w:type="dxa" w:w="4276"/>
            <w:vAlign w:val="top"/>
          </w:tcPr>
          <w:p>
            <w:pPr>
              <w:spacing w:after="60" w:line="259" w:lineRule="auto"/>
            </w:pPr>
            <w:r>
              <w:rPr>
                <w:rFonts w:ascii="Calibri" w:hAnsi="Calibri"/>
                <w:b w:val="0"/>
                <w:i w:val="0"/>
                <w:color w:val="212121"/>
                <w:sz w:val="19"/>
              </w:rPr>
              <w:t>Cooking indoors over wood, dung, crop residue or coal produces very high concentrations of respirable particles and carbon monoxide, the dominant driver of household-air-pollution lung disease.</w:t>
            </w:r>
          </w:p>
          <w:p>
            <w:pPr>
              <w:spacing w:after="40" w:before="60" w:line="259" w:lineRule="auto"/>
            </w:pPr>
            <w:r>
              <w:rPr>
                <w:rFonts w:ascii="Calibri" w:hAnsi="Calibri"/>
                <w:b w:val="0"/>
                <w:i w:val="0"/>
                <w:color w:val="212121"/>
                <w:sz w:val="19"/>
              </w:rPr>
              <w:t>Household air pollution caused an estimated 2.9 million deaths in 2021, of which 19% were from COPD and 21% from lower respiratory infection.</w:t>
            </w:r>
          </w:p>
          <w:p>
            <w:pPr>
              <w:spacing w:after="40" w:line="252" w:lineRule="auto"/>
            </w:pPr>
            <w:hyperlink r:id="rId9">
              <w:r>
                <w:rPr>
                  <w:rFonts w:ascii="Calibri" w:hAnsi="Calibri" w:cs="Calibri"/>
                  <w:sz w:val="18"/>
                  <w:color w:val="1155CC"/>
                  <w:u w:val="single"/>
                </w:rPr>
                <w:t xml:space="preserve">who.int — Household air pollution and health</w:t>
              </w:r>
            </w:hyperlink>
          </w:p>
          <w:p>
            <w:pPr>
              <w:spacing w:before="60" w:after="40"/>
            </w:pPr>
            <w:r>
              <w:rPr>
                <w:rFonts w:ascii="Calibri" w:hAnsi="Calibri"/>
                <w:b w:val="0"/>
                <w:i w:val="0"/>
                <w:color w:val="5A5A5A"/>
                <w:sz w:val="18"/>
              </w:rPr>
              <w:t>#biomass  #chulha  #indoorPM  #cleancooking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(cigarette, bidi, hookah)</w:t>
            </w:r>
          </w:p>
        </w:tc>
        <w:tc>
          <w:tcPr>
            <w:tcW w:type="dxa" w:w="4276"/>
            <w:vAlign w:val="top"/>
          </w:tcPr>
          <w:p>
            <w:pPr>
              <w:spacing w:after="60" w:line="259" w:lineRule="auto"/>
            </w:pPr>
            <w:r>
              <w:rPr>
                <w:rFonts w:ascii="Calibri" w:hAnsi="Calibri"/>
                <w:b w:val="0"/>
                <w:i w:val="0"/>
                <w:color w:val="212121"/>
                <w:sz w:val="19"/>
              </w:rPr>
              <w:t>Tobacco smoke is itself a concentrated air pollutant; in a polluted environment it acts additively and synergistically to accelerate COPD and lung cancer, and second-hand smoke pollutes shared indoor air.</w:t>
            </w:r>
          </w:p>
          <w:p>
            <w:pPr>
              <w:spacing w:after="40" w:before="60" w:line="259" w:lineRule="auto"/>
            </w:pPr>
            <w:r>
              <w:rPr>
                <w:rFonts w:ascii="Calibri" w:hAnsi="Calibri"/>
                <w:b w:val="0"/>
                <w:i w:val="0"/>
                <w:color w:val="212121"/>
                <w:sz w:val="19"/>
              </w:rPr>
              <w:t>Nearly 267 million adults (29%) in India use tobacco, which causes about 1.35 million deaths a year; tobacco accounts for 25.4% of India's COPD DALYs.</w:t>
            </w:r>
          </w:p>
          <w:p>
            <w:pPr>
              <w:spacing w:after="40" w:line="252" w:lineRule="auto"/>
            </w:pPr>
            <w:hyperlink r:id="rId13">
              <w:r>
                <w:rPr>
                  <w:rFonts w:ascii="Calibri" w:hAnsi="Calibri" w:cs="Calibri"/>
                  <w:sz w:val="18"/>
                  <w:color w:val="1155CC"/>
                  <w:u w:val="single"/>
                </w:rPr>
                <w:t xml:space="preserve">who.int/india — Tobacco</w:t>
              </w:r>
            </w:hyperlink>
          </w:p>
          <w:p>
            <w:pPr>
              <w:spacing w:before="60" w:after="40"/>
            </w:pPr>
            <w:r>
              <w:rPr>
                <w:rFonts w:ascii="Calibri" w:hAnsi="Calibri"/>
                <w:b w:val="0"/>
                <w:i w:val="0"/>
                <w:color w:val="5A5A5A"/>
                <w:sz w:val="18"/>
              </w:rPr>
              <w:t>#smoking  #bidi  #secondhandsmoke  #COPD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Dust/fume-exposed workers (construction, brick-kiln, stone, traffic)</w:t>
            </w:r>
          </w:p>
        </w:tc>
        <w:tc>
          <w:tcPr>
            <w:tcW w:type="dxa" w:w="4276"/>
            <w:vAlign w:val="top"/>
          </w:tcPr>
          <w:p>
            <w:pPr>
              <w:spacing w:after="60" w:line="259" w:lineRule="auto"/>
            </w:pPr>
            <w:r>
              <w:rPr>
                <w:rFonts w:ascii="Calibri" w:hAnsi="Calibri"/>
                <w:b w:val="0"/>
                <w:i w:val="0"/>
                <w:color w:val="212121"/>
                <w:sz w:val="19"/>
              </w:rPr>
              <w:t>Outdoor and industrial workers — construction and road labourers, brick-kiln and stone-crushing workers, traffic police, miners and farmers exposed to stubble smoke — breathe high pollutant doses for long hours, raising COPD and chronic-bronchitis risk.</w:t>
            </w:r>
          </w:p>
          <w:p>
            <w:pPr>
              <w:spacing w:after="40" w:before="60" w:line="259" w:lineRule="auto"/>
            </w:pPr>
            <w:r>
              <w:rPr>
                <w:rFonts w:ascii="Calibri" w:hAnsi="Calibri"/>
                <w:b w:val="0"/>
                <w:i w:val="0"/>
                <w:color w:val="212121"/>
                <w:sz w:val="19"/>
              </w:rPr>
              <w:t>Occupational exposures contribute an estimated 16.5% of COPD DALYs in India.</w:t>
            </w:r>
          </w:p>
          <w:p>
            <w:pPr>
              <w:spacing w:after="40" w:line="252" w:lineRule="auto"/>
            </w:pPr>
            <w:hyperlink r:id="rId11">
              <w:r>
                <w:rPr>
                  <w:rFonts w:ascii="Calibri" w:hAnsi="Calibri" w:cs="Calibri"/>
                  <w:sz w:val="18"/>
                  <w:color w:val="1155CC"/>
                  <w:u w:val="single"/>
                </w:rPr>
                <w:t xml:space="preserve">pmc.ncbi.nlm.nih.gov/PMC6227385 — GBD India chronic respiratory diseases</w:t>
              </w:r>
            </w:hyperlink>
          </w:p>
          <w:p>
            <w:pPr>
              <w:spacing w:before="60" w:after="40"/>
            </w:pPr>
            <w:r>
              <w:rPr>
                <w:rFonts w:ascii="Calibri" w:hAnsi="Calibri"/>
                <w:b w:val="0"/>
                <w:i w:val="0"/>
                <w:color w:val="5A5A5A"/>
                <w:sz w:val="18"/>
              </w:rPr>
              <w:t>#occupational  #brickkiln  #construction  #dust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Outdoor activity in polluted air</w:t>
            </w:r>
          </w:p>
        </w:tc>
        <w:tc>
          <w:tcPr>
            <w:tcW w:type="dxa" w:w="2160"/>
            <w:vAlign w:val="top"/>
          </w:tcPr>
          <w:p>
            <w:pPr>
              <w:spacing w:after="40" w:before="0" w:line="259" w:lineRule="auto"/>
            </w:pPr>
            <w:r>
              <w:rPr>
                <w:rFonts w:ascii="Calibri" w:hAnsi="Calibri"/>
                <w:b w:val="0"/>
                <w:i w:val="0"/>
                <w:color w:val="212121"/>
                <w:sz w:val="19"/>
              </w:rPr>
              <w:t>Outdoor exercisers &amp; long commuters</w:t>
            </w:r>
          </w:p>
        </w:tc>
        <w:tc>
          <w:tcPr>
            <w:tcW w:type="dxa" w:w="4276"/>
            <w:vAlign w:val="top"/>
          </w:tcPr>
          <w:p>
            <w:pPr>
              <w:spacing w:after="60" w:line="259" w:lineRule="auto"/>
            </w:pPr>
            <w:r>
              <w:rPr>
                <w:rFonts w:ascii="Calibri" w:hAnsi="Calibri"/>
                <w:b w:val="0"/>
                <w:i w:val="0"/>
                <w:color w:val="212121"/>
                <w:sz w:val="19"/>
              </w:rPr>
              <w:t>Vigorous exercise or long commutes during high-pollution periods increase minute ventilation and shift breathing to the mouth, sharply raising the inhaled dose of PM2.5 and irritant gases and provoking symptoms.</w:t>
            </w:r>
          </w:p>
          <w:p>
            <w:pPr>
              <w:spacing w:after="40" w:before="60" w:line="259" w:lineRule="auto"/>
            </w:pPr>
            <w:r>
              <w:rPr>
                <w:rFonts w:ascii="Calibri" w:hAnsi="Calibri"/>
                <w:b w:val="0"/>
                <w:i w:val="0"/>
                <w:color w:val="212121"/>
                <w:sz w:val="19"/>
              </w:rPr>
              <w:t>Because roughly 80% of PM2.5-related deaths could be avoided at guideline pollution levels, timing and location of outdoor exertion materially change inhaled dose.</w:t>
            </w:r>
          </w:p>
          <w:p>
            <w:pPr>
              <w:spacing w:after="40" w:line="252" w:lineRule="auto"/>
            </w:pPr>
            <w:hyperlink r:id="rId14">
              <w:r>
                <w:rPr>
                  <w:rFonts w:ascii="Calibri" w:hAnsi="Calibri" w:cs="Calibri"/>
                  <w:sz w:val="18"/>
                  <w:color w:val="1155CC"/>
                  <w:u w:val="single"/>
                </w:rPr>
                <w:t xml:space="preserve">who.int — New WHO Global Air Quality Guidelines (2021)</w:t>
              </w:r>
            </w:hyperlink>
          </w:p>
          <w:p>
            <w:pPr>
              <w:spacing w:before="60" w:after="40"/>
            </w:pPr>
            <w:r>
              <w:rPr>
                <w:rFonts w:ascii="Calibri" w:hAnsi="Calibri"/>
                <w:b w:val="0"/>
                <w:i w:val="0"/>
                <w:color w:val="5A5A5A"/>
                <w:sz w:val="18"/>
              </w:rPr>
              <w:t>#commuting  #exercise  #inhaleddose  #AQI</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 status</w:t>
            </w:r>
          </w:p>
        </w:tc>
        <w:tc>
          <w:tcPr>
            <w:tcW w:type="dxa" w:w="2160"/>
            <w:vAlign w:val="top"/>
          </w:tcPr>
          <w:p>
            <w:pPr>
              <w:spacing w:after="40" w:before="0" w:line="259" w:lineRule="auto"/>
            </w:pPr>
            <w:r>
              <w:rPr>
                <w:rFonts w:ascii="Calibri" w:hAnsi="Calibri"/>
                <w:b w:val="0"/>
                <w:i w:val="0"/>
                <w:color w:val="212121"/>
                <w:sz w:val="19"/>
              </w:rPr>
              <w:t>Undernourished children</w:t>
            </w:r>
          </w:p>
        </w:tc>
        <w:tc>
          <w:tcPr>
            <w:tcW w:type="dxa" w:w="4276"/>
            <w:vAlign w:val="top"/>
          </w:tcPr>
          <w:p>
            <w:pPr>
              <w:spacing w:after="60" w:line="259" w:lineRule="auto"/>
            </w:pPr>
            <w:r>
              <w:rPr>
                <w:rFonts w:ascii="Calibri" w:hAnsi="Calibri"/>
                <w:b w:val="0"/>
                <w:i w:val="0"/>
                <w:color w:val="212121"/>
                <w:sz w:val="19"/>
              </w:rPr>
              <w:t>Protein-energy malnutrition and micronutrient deficiency impair immune defence and lung growth, so undernourished children are far more likely to progress from pollutant exposure to severe or fatal pneumonia.</w:t>
            </w:r>
          </w:p>
          <w:p>
            <w:pPr>
              <w:spacing w:after="40" w:before="60" w:line="259" w:lineRule="auto"/>
            </w:pPr>
            <w:r>
              <w:rPr>
                <w:rFonts w:ascii="Calibri" w:hAnsi="Calibri"/>
                <w:b w:val="0"/>
                <w:i w:val="0"/>
                <w:color w:val="212121"/>
                <w:sz w:val="19"/>
              </w:rPr>
              <w:t>Under-5 children bear a major share of pollution-related lower-respiratory-infection mortality, with undernutrition a key amplifying factor.</w:t>
            </w:r>
          </w:p>
          <w:p>
            <w:pPr>
              <w:spacing w:after="40" w:line="252" w:lineRule="auto"/>
            </w:pPr>
            <w:hyperlink r:id="rId9">
              <w:r>
                <w:rPr>
                  <w:rFonts w:ascii="Calibri" w:hAnsi="Calibri" w:cs="Calibri"/>
                  <w:sz w:val="18"/>
                  <w:color w:val="1155CC"/>
                  <w:u w:val="single"/>
                </w:rPr>
                <w:t xml:space="preserve">who.int — Household air pollution and health</w:t>
              </w:r>
            </w:hyperlink>
          </w:p>
          <w:p>
            <w:pPr>
              <w:spacing w:before="60" w:after="40"/>
            </w:pPr>
            <w:r>
              <w:rPr>
                <w:rFonts w:ascii="Calibri" w:hAnsi="Calibri"/>
                <w:b w:val="0"/>
                <w:i w:val="0"/>
                <w:color w:val="5A5A5A"/>
                <w:sz w:val="18"/>
              </w:rPr>
              <w:t>#malnutrition  #children  #pneumonia  #immunity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Antioxidant intake</w:t>
            </w:r>
          </w:p>
        </w:tc>
        <w:tc>
          <w:tcPr>
            <w:tcW w:type="dxa" w:w="2160"/>
            <w:vAlign w:val="top"/>
          </w:tcPr>
          <w:p>
            <w:pPr>
              <w:spacing w:after="40" w:before="0" w:line="259" w:lineRule="auto"/>
            </w:pPr>
            <w:r>
              <w:rPr>
                <w:rFonts w:ascii="Calibri" w:hAnsi="Calibri"/>
                <w:b w:val="0"/>
                <w:i w:val="0"/>
                <w:color w:val="212121"/>
                <w:sz w:val="19"/>
              </w:rPr>
              <w:t>Low fruit/vegetable (low-antioxidant) diets</w:t>
            </w:r>
          </w:p>
        </w:tc>
        <w:tc>
          <w:tcPr>
            <w:tcW w:type="dxa" w:w="4276"/>
            <w:vAlign w:val="top"/>
          </w:tcPr>
          <w:p>
            <w:pPr>
              <w:spacing w:after="60" w:line="259" w:lineRule="auto"/>
            </w:pPr>
            <w:r>
              <w:rPr>
                <w:rFonts w:ascii="Calibri" w:hAnsi="Calibri"/>
                <w:b w:val="0"/>
                <w:i w:val="0"/>
                <w:color w:val="212121"/>
                <w:sz w:val="19"/>
              </w:rPr>
              <w:t>Inhaled particulates injure the airway largely through oxidative stress; diets poor in antioxidant fruits, vegetables and omega-3 fats provide less buffering capacity, while antioxidant-rich diets may modestly attenuate pollutant-induced airway injury.</w:t>
            </w:r>
          </w:p>
          <w:p>
            <w:pPr>
              <w:spacing w:before="60" w:after="40"/>
            </w:pPr>
            <w:r>
              <w:rPr>
                <w:rFonts w:ascii="Calibri" w:hAnsi="Calibri"/>
                <w:b w:val="0"/>
                <w:i w:val="0"/>
                <w:color w:val="5A5A5A"/>
                <w:sz w:val="18"/>
              </w:rPr>
              <w:t>#antioxidants  #oxidativestress  #diet  #fruitsvegetables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Inherited susceptibility</w:t>
            </w:r>
          </w:p>
        </w:tc>
        <w:tc>
          <w:tcPr>
            <w:tcW w:type="dxa" w:w="2160"/>
            <w:vAlign w:val="top"/>
          </w:tcPr>
          <w:p>
            <w:pPr>
              <w:spacing w:after="40" w:before="0" w:line="259" w:lineRule="auto"/>
            </w:pPr>
            <w:r>
              <w:rPr>
                <w:rFonts w:ascii="Calibri" w:hAnsi="Calibri"/>
                <w:b w:val="0"/>
                <w:i w:val="0"/>
                <w:color w:val="212121"/>
                <w:sz w:val="19"/>
              </w:rPr>
              <w:t>Alpha-1 antitrypsin deficiency &amp; antioxidant-gene variants</w:t>
            </w:r>
          </w:p>
        </w:tc>
        <w:tc>
          <w:tcPr>
            <w:tcW w:type="dxa" w:w="4276"/>
            <w:vAlign w:val="top"/>
          </w:tcPr>
          <w:p>
            <w:pPr>
              <w:spacing w:after="60" w:line="259" w:lineRule="auto"/>
            </w:pPr>
            <w:r>
              <w:rPr>
                <w:rFonts w:ascii="Calibri" w:hAnsi="Calibri"/>
                <w:b w:val="0"/>
                <w:i w:val="0"/>
                <w:color w:val="212121"/>
                <w:sz w:val="19"/>
              </w:rPr>
              <w:t>Alpha-1 antitrypsin deficiency removes a key protease brake on lung destruction, and polymorphisms in antioxidant/detoxifying genes (e.g., glutathione-S-transferase) modulate how much airway damage a given pollution dose causes, so susceptible individuals develop COPD earlier and faster.</w:t>
            </w:r>
          </w:p>
          <w:p>
            <w:pPr>
              <w:spacing w:before="60" w:after="40"/>
            </w:pPr>
            <w:r>
              <w:rPr>
                <w:rFonts w:ascii="Calibri" w:hAnsi="Calibri"/>
                <w:b w:val="0"/>
                <w:i w:val="0"/>
                <w:color w:val="5A5A5A"/>
                <w:sz w:val="18"/>
              </w:rPr>
              <w:t>#alpha1antitrypsin  #GST  #susceptibility  #earlyCOPD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Atopy / family history</w:t>
            </w:r>
          </w:p>
        </w:tc>
        <w:tc>
          <w:tcPr>
            <w:tcW w:type="dxa" w:w="2160"/>
            <w:vAlign w:val="top"/>
          </w:tcPr>
          <w:p>
            <w:pPr>
              <w:spacing w:after="40" w:before="0" w:line="259" w:lineRule="auto"/>
            </w:pPr>
            <w:r>
              <w:rPr>
                <w:rFonts w:ascii="Calibri" w:hAnsi="Calibri"/>
                <w:b w:val="0"/>
                <w:i w:val="0"/>
                <w:color w:val="212121"/>
                <w:sz w:val="19"/>
              </w:rPr>
              <w:t>Familial asthma &amp; atopic individuals</w:t>
            </w:r>
          </w:p>
        </w:tc>
        <w:tc>
          <w:tcPr>
            <w:tcW w:type="dxa" w:w="4276"/>
            <w:vAlign w:val="top"/>
          </w:tcPr>
          <w:p>
            <w:pPr>
              <w:spacing w:after="60" w:line="259" w:lineRule="auto"/>
            </w:pPr>
            <w:r>
              <w:rPr>
                <w:rFonts w:ascii="Calibri" w:hAnsi="Calibri"/>
                <w:b w:val="0"/>
                <w:i w:val="0"/>
                <w:color w:val="212121"/>
                <w:sz w:val="19"/>
              </w:rPr>
              <w:t>A genetic predisposition to atopy and airway hyper-responsiveness lowers the threshold at which pollutants (ozone, NO2, particulates) trigger asthma onset and exacerbations.</w:t>
            </w:r>
          </w:p>
          <w:p>
            <w:pPr>
              <w:spacing w:after="40" w:before="60" w:line="259" w:lineRule="auto"/>
            </w:pPr>
            <w:r>
              <w:rPr>
                <w:rFonts w:ascii="Calibri" w:hAnsi="Calibri"/>
                <w:b w:val="0"/>
                <w:i w:val="0"/>
                <w:color w:val="212121"/>
                <w:sz w:val="19"/>
              </w:rPr>
              <w:t>India had an estimated 37.9 million cases of asthma in 2016, many aggravated by ambient and household air pollution.</w:t>
            </w:r>
          </w:p>
          <w:p>
            <w:pPr>
              <w:spacing w:after="40" w:line="252" w:lineRule="auto"/>
            </w:pPr>
            <w:hyperlink r:id="rId11">
              <w:r>
                <w:rPr>
                  <w:rFonts w:ascii="Calibri" w:hAnsi="Calibri" w:cs="Calibri"/>
                  <w:sz w:val="18"/>
                  <w:color w:val="1155CC"/>
                  <w:u w:val="single"/>
                </w:rPr>
                <w:t xml:space="preserve">pmc.ncbi.nlm.nih.gov/PMC6227385 — GBD India chronic respiratory diseases</w:t>
              </w:r>
            </w:hyperlink>
          </w:p>
          <w:p>
            <w:pPr>
              <w:spacing w:before="60" w:after="40"/>
            </w:pPr>
            <w:r>
              <w:rPr>
                <w:rFonts w:ascii="Calibri" w:hAnsi="Calibri"/>
                <w:b w:val="0"/>
                <w:i w:val="0"/>
                <w:color w:val="5A5A5A"/>
                <w:sz w:val="18"/>
              </w:rPr>
              <w:t>#atopy  #asthma  #familyhistory  #hyperreactivity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Pre-existing COPD</w:t>
            </w:r>
          </w:p>
        </w:tc>
        <w:tc>
          <w:tcPr>
            <w:tcW w:type="dxa" w:w="2160"/>
            <w:vAlign w:val="top"/>
          </w:tcPr>
          <w:p>
            <w:pPr>
              <w:spacing w:after="40" w:before="0" w:line="259" w:lineRule="auto"/>
            </w:pPr>
            <w:r>
              <w:rPr>
                <w:rFonts w:ascii="Calibri" w:hAnsi="Calibri"/>
                <w:b w:val="0"/>
                <w:i w:val="0"/>
                <w:color w:val="212121"/>
                <w:sz w:val="19"/>
              </w:rPr>
              <w:t>Patients with established COPD</w:t>
            </w:r>
          </w:p>
        </w:tc>
        <w:tc>
          <w:tcPr>
            <w:tcW w:type="dxa" w:w="4276"/>
            <w:vAlign w:val="top"/>
          </w:tcPr>
          <w:p>
            <w:pPr>
              <w:spacing w:after="60" w:line="259" w:lineRule="auto"/>
            </w:pPr>
            <w:r>
              <w:rPr>
                <w:rFonts w:ascii="Calibri" w:hAnsi="Calibri"/>
                <w:b w:val="0"/>
                <w:i w:val="0"/>
                <w:color w:val="212121"/>
                <w:sz w:val="19"/>
              </w:rPr>
              <w:t>In already-obstructed lungs, pollution spikes precipitate exacerbations, hasten FEV1 decline and increase hospitalisation and death; air pollution is the single largest contributor to India's COPD burden.</w:t>
            </w:r>
          </w:p>
          <w:p>
            <w:pPr>
              <w:spacing w:after="40" w:before="60" w:line="259" w:lineRule="auto"/>
            </w:pPr>
            <w:r>
              <w:rPr>
                <w:rFonts w:ascii="Calibri" w:hAnsi="Calibri"/>
                <w:b w:val="0"/>
                <w:i w:val="0"/>
                <w:color w:val="212121"/>
                <w:sz w:val="19"/>
              </w:rPr>
              <w:t>India had an estimated 55.3 million COPD cases in 2016, and air pollution accounts for 53.7% of the country's COPD DALYs.</w:t>
            </w:r>
          </w:p>
          <w:p>
            <w:pPr>
              <w:spacing w:after="40" w:line="252" w:lineRule="auto"/>
            </w:pPr>
            <w:hyperlink r:id="rId11">
              <w:r>
                <w:rPr>
                  <w:rFonts w:ascii="Calibri" w:hAnsi="Calibri" w:cs="Calibri"/>
                  <w:sz w:val="18"/>
                  <w:color w:val="1155CC"/>
                  <w:u w:val="single"/>
                </w:rPr>
                <w:t xml:space="preserve">pmc.ncbi.nlm.nih.gov/PMC6227385 — GBD India chronic respiratory diseases</w:t>
              </w:r>
            </w:hyperlink>
          </w:p>
          <w:p>
            <w:pPr>
              <w:spacing w:before="60" w:after="40"/>
            </w:pPr>
            <w:r>
              <w:rPr>
                <w:rFonts w:ascii="Calibri" w:hAnsi="Calibri"/>
                <w:b w:val="0"/>
                <w:i w:val="0"/>
                <w:color w:val="5A5A5A"/>
                <w:sz w:val="18"/>
              </w:rPr>
              <w:t>#COPD  #exacerbation  #FEV1decline  #hospitalisation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Asthma</w:t>
            </w:r>
          </w:p>
        </w:tc>
        <w:tc>
          <w:tcPr>
            <w:tcW w:type="dxa" w:w="2160"/>
            <w:vAlign w:val="top"/>
          </w:tcPr>
          <w:p>
            <w:pPr>
              <w:spacing w:after="40" w:before="0" w:line="259" w:lineRule="auto"/>
            </w:pPr>
            <w:r>
              <w:rPr>
                <w:rFonts w:ascii="Calibri" w:hAnsi="Calibri"/>
                <w:b w:val="0"/>
                <w:i w:val="0"/>
                <w:color w:val="212121"/>
                <w:sz w:val="19"/>
              </w:rPr>
              <w:t>Patients with asthma</w:t>
            </w:r>
          </w:p>
        </w:tc>
        <w:tc>
          <w:tcPr>
            <w:tcW w:type="dxa" w:w="4276"/>
            <w:vAlign w:val="top"/>
          </w:tcPr>
          <w:p>
            <w:pPr>
              <w:spacing w:after="60" w:line="259" w:lineRule="auto"/>
            </w:pPr>
            <w:r>
              <w:rPr>
                <w:rFonts w:ascii="Calibri" w:hAnsi="Calibri"/>
                <w:b w:val="0"/>
                <w:i w:val="0"/>
                <w:color w:val="212121"/>
                <w:sz w:val="19"/>
              </w:rPr>
              <w:t>Particulates and irritant gases inflame hyper-reactive airways, provoking wheeze, nocturnal symptoms and acute attacks; smog episodes and stubble-burning are recognised triggers of asthma surges in India.</w:t>
            </w:r>
          </w:p>
          <w:p>
            <w:pPr>
              <w:spacing w:after="40" w:before="60" w:line="259" w:lineRule="auto"/>
            </w:pPr>
            <w:r>
              <w:rPr>
                <w:rFonts w:ascii="Calibri" w:hAnsi="Calibri"/>
                <w:b w:val="0"/>
                <w:i w:val="0"/>
                <w:color w:val="212121"/>
                <w:sz w:val="19"/>
              </w:rPr>
              <w:t>Asthma affected an estimated 37.9 million people in India in 2016, with exacerbations closely tracking pollution peaks.</w:t>
            </w:r>
          </w:p>
          <w:p>
            <w:pPr>
              <w:spacing w:after="40" w:line="252" w:lineRule="auto"/>
            </w:pPr>
            <w:hyperlink r:id="rId11">
              <w:r>
                <w:rPr>
                  <w:rFonts w:ascii="Calibri" w:hAnsi="Calibri" w:cs="Calibri"/>
                  <w:sz w:val="18"/>
                  <w:color w:val="1155CC"/>
                  <w:u w:val="single"/>
                </w:rPr>
                <w:t xml:space="preserve">pmc.ncbi.nlm.nih.gov/PMC6227385 — GBD India chronic respiratory diseases</w:t>
              </w:r>
            </w:hyperlink>
          </w:p>
          <w:p>
            <w:pPr>
              <w:spacing w:before="60" w:after="40"/>
            </w:pPr>
            <w:r>
              <w:rPr>
                <w:rFonts w:ascii="Calibri" w:hAnsi="Calibri"/>
                <w:b w:val="0"/>
                <w:i w:val="0"/>
                <w:color w:val="5A5A5A"/>
                <w:sz w:val="18"/>
              </w:rPr>
              <w:t>#asthma  #exacerbation  #triggers  #airwayinflammation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Cardiometabolic disease</w:t>
            </w:r>
          </w:p>
        </w:tc>
        <w:tc>
          <w:tcPr>
            <w:tcW w:type="dxa" w:w="2160"/>
            <w:vAlign w:val="top"/>
          </w:tcPr>
          <w:p>
            <w:pPr>
              <w:spacing w:after="40" w:before="0" w:line="259" w:lineRule="auto"/>
            </w:pPr>
            <w:r>
              <w:rPr>
                <w:rFonts w:ascii="Calibri" w:hAnsi="Calibri"/>
                <w:b w:val="0"/>
                <w:i w:val="0"/>
                <w:color w:val="212121"/>
                <w:sz w:val="19"/>
              </w:rPr>
              <w:t>Patients with heart disease or diabetes</w:t>
            </w:r>
          </w:p>
        </w:tc>
        <w:tc>
          <w:tcPr>
            <w:tcW w:type="dxa" w:w="4276"/>
            <w:vAlign w:val="top"/>
          </w:tcPr>
          <w:p>
            <w:pPr>
              <w:spacing w:after="60" w:line="259" w:lineRule="auto"/>
            </w:pPr>
            <w:r>
              <w:rPr>
                <w:rFonts w:ascii="Calibri" w:hAnsi="Calibri"/>
                <w:b w:val="0"/>
                <w:i w:val="0"/>
                <w:color w:val="212121"/>
                <w:sz w:val="19"/>
              </w:rPr>
              <w:t>PM2.5 drives systemic inflammation and endothelial dysfunction shared by heart and lung disease; coexisting cardiovascular disease or diabetes worsens respiratory outcomes and vice versa.</w:t>
            </w:r>
          </w:p>
          <w:p>
            <w:pPr>
              <w:spacing w:after="40" w:before="60" w:line="259" w:lineRule="auto"/>
            </w:pPr>
            <w:r>
              <w:rPr>
                <w:rFonts w:ascii="Calibri" w:hAnsi="Calibri"/>
                <w:b w:val="0"/>
                <w:i w:val="0"/>
                <w:color w:val="212121"/>
                <w:sz w:val="19"/>
              </w:rPr>
              <w:t>Globally, 68% of deaths from outdoor air pollution are due to ischaemic heart disease and stroke, underlining the shared particulate pathway with respiratory disease.</w:t>
            </w:r>
          </w:p>
          <w:p>
            <w:pPr>
              <w:spacing w:after="40" w:line="252" w:lineRule="auto"/>
            </w:pPr>
            <w:hyperlink r:id="rId10">
              <w:r>
                <w:rPr>
                  <w:rFonts w:ascii="Calibri" w:hAnsi="Calibri" w:cs="Calibri"/>
                  <w:sz w:val="18"/>
                  <w:color w:val="1155CC"/>
                  <w:u w:val="single"/>
                </w:rPr>
                <w:t xml:space="preserve">who.int — Ambient (outdoor) air quality and health</w:t>
              </w:r>
            </w:hyperlink>
          </w:p>
          <w:p>
            <w:pPr>
              <w:spacing w:before="60" w:after="40"/>
            </w:pPr>
            <w:r>
              <w:rPr>
                <w:rFonts w:ascii="Calibri" w:hAnsi="Calibri"/>
                <w:b w:val="0"/>
                <w:i w:val="0"/>
                <w:color w:val="5A5A5A"/>
                <w:sz w:val="18"/>
              </w:rPr>
              <w:t>#cardiometabolic  #systemicinflammation  #PM25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Tuberculosis / prior lung disease</w:t>
            </w:r>
          </w:p>
        </w:tc>
        <w:tc>
          <w:tcPr>
            <w:tcW w:type="dxa" w:w="2160"/>
            <w:vAlign w:val="top"/>
          </w:tcPr>
          <w:p>
            <w:pPr>
              <w:spacing w:after="40" w:before="0" w:line="259" w:lineRule="auto"/>
            </w:pPr>
            <w:r>
              <w:rPr>
                <w:rFonts w:ascii="Calibri" w:hAnsi="Calibri"/>
                <w:b w:val="0"/>
                <w:i w:val="0"/>
                <w:color w:val="212121"/>
                <w:sz w:val="19"/>
              </w:rPr>
              <w:t>Active or treated TB, post-TB lung disease</w:t>
            </w:r>
          </w:p>
        </w:tc>
        <w:tc>
          <w:tcPr>
            <w:tcW w:type="dxa" w:w="4276"/>
            <w:vAlign w:val="top"/>
          </w:tcPr>
          <w:p>
            <w:pPr>
              <w:spacing w:after="60" w:line="259" w:lineRule="auto"/>
            </w:pPr>
            <w:r>
              <w:rPr>
                <w:rFonts w:ascii="Calibri" w:hAnsi="Calibri"/>
                <w:b w:val="0"/>
                <w:i w:val="0"/>
                <w:color w:val="212121"/>
                <w:sz w:val="19"/>
              </w:rPr>
              <w:t>India carries the world's largest TB burden; biomass and ambient smoke are linked to higher TB risk, and pollution compounds the fixed airflow obstruction of post-TB lung damage, so exposure must always be assessed alongside TB status.</w:t>
            </w:r>
          </w:p>
          <w:p>
            <w:pPr>
              <w:spacing w:after="40" w:before="60" w:line="259" w:lineRule="auto"/>
            </w:pPr>
            <w:r>
              <w:rPr>
                <w:rFonts w:ascii="Calibri" w:hAnsi="Calibri"/>
                <w:b w:val="0"/>
                <w:i w:val="0"/>
                <w:color w:val="212121"/>
                <w:sz w:val="19"/>
              </w:rPr>
              <w:t>Chronic respiratory diseases rose from 4.5% of India's total DALYs in 1990 to 6.4% in 2016, overlapping heavily with the country's large tuberculosis and post-TB burden.</w:t>
            </w:r>
          </w:p>
          <w:p>
            <w:pPr>
              <w:spacing w:after="40" w:line="252" w:lineRule="auto"/>
            </w:pPr>
            <w:hyperlink r:id="rId11">
              <w:r>
                <w:rPr>
                  <w:rFonts w:ascii="Calibri" w:hAnsi="Calibri" w:cs="Calibri"/>
                  <w:sz w:val="18"/>
                  <w:color w:val="1155CC"/>
                  <w:u w:val="single"/>
                </w:rPr>
                <w:t xml:space="preserve">pmc.ncbi.nlm.nih.gov/PMC6227385 — GBD India chronic respiratory diseases</w:t>
              </w:r>
            </w:hyperlink>
          </w:p>
          <w:p>
            <w:pPr>
              <w:spacing w:before="60" w:after="40"/>
            </w:pPr>
            <w:r>
              <w:rPr>
                <w:rFonts w:ascii="Calibri" w:hAnsi="Calibri"/>
                <w:b w:val="0"/>
                <w:i w:val="0"/>
                <w:color w:val="5A5A5A"/>
                <w:sz w:val="18"/>
              </w:rPr>
              <w:t>#tuberculosis  #postTB  #airflowobstruction  #India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Exercising or commuting outdoors during high-pollution periods raises minute ventilation and the inhaled dose of PM2.5 and irritant gases, provoking symptoms; yet regular activity improves lung function and cardiorespiratory fitness, so the net effect depends on when and where it is done.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Undernutrition markedly increases children's susceptibility to pollution-related pneumonia, while antioxidant-rich diets (fruits, vegetables, omega-3) may partly buffer the oxidative airway injury caused by inhaled particulates.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Nocturnal cough, wheeze and nasal congestion from pollution fragment sleep, and indoor pollution/OSA can worsen it, but sleep is a modifier of symptom burden rather than a primary cause of the lung injury.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second-hand tobacco smoke is itself a major air pollutant that acts additively and synergistically with ambient and household pollution to cause COPD and lung cancer; tobacco accounts for about a quarter of India's COPD DALYs.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direct causal link between alcohol and pollution-related lung injury, though heavy use may raise aspiration and infection risk and reduce adherence to inhaled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Living with chronic respiratory disease in polluted, resource-poor settings is associated with anxiety and depression that impair adherence and self-care; the relationship is bidirectional but not a cause of the underlying lung damage.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mucociliary clearance of inhaled particulates and keeps secretions loose, but direct evidence for preventing pollution-related disease is weak and indirect.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a weak methylxanthine bronchodilator that may transiently ease airflow, but it has no meaningful role in preventing pollution-related respiratory disease.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Kitchen ventilation, switching to clean cooking fuels and keeping the home smoke-free are central to reducing household exposure, while respiratory and hand hygiene lower superimposed respiratory infections.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Discrete high-exposure events — winter smog and thermal inversions, crop-residue (stubble) burning, festival firecrackers, dust storms, and occupational dust/fume exposure — precipitate acute exacerbations, asthma attacks and lower-respiratory infections.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Positioning matters chiefly for exposure: bending low over an open chulha or solid-fuel stove places the face directly in the smoke plume, increasing the inhaled particulate dose for women who cook.</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Ambient PM2.5 (annual mean, µg/m³)</w:t>
            </w:r>
          </w:p>
        </w:tc>
        <w:tc>
          <w:tcPr>
            <w:tcW w:type="dxa" w:w="1655"/>
            <w:vAlign w:val="top"/>
          </w:tcPr>
          <w:p>
            <w:pPr>
              <w:spacing w:after="40" w:before="0" w:line="259" w:lineRule="auto"/>
            </w:pPr>
            <w:r>
              <w:rPr>
                <w:rFonts w:ascii="Calibri" w:hAnsi="Calibri"/>
                <w:b w:val="0"/>
                <w:i w:val="0"/>
                <w:color w:val="212121"/>
                <w:sz w:val="19"/>
              </w:rPr>
              <w:t>General population</w:t>
            </w:r>
          </w:p>
        </w:tc>
        <w:tc>
          <w:tcPr>
            <w:tcW w:type="dxa" w:w="1512"/>
            <w:vAlign w:val="top"/>
          </w:tcPr>
          <w:p>
            <w:pPr>
              <w:spacing w:after="40" w:before="0" w:line="259" w:lineRule="auto"/>
            </w:pPr>
            <w:r>
              <w:rPr>
                <w:rFonts w:ascii="Calibri" w:hAnsi="Calibri"/>
                <w:b w:val="0"/>
                <w:i w:val="0"/>
                <w:color w:val="212121"/>
                <w:sz w:val="19"/>
              </w:rPr>
              <w:t>≤ 5 µg/m³ (WHO 2021 annual guideline)</w:t>
            </w:r>
          </w:p>
        </w:tc>
        <w:tc>
          <w:tcPr>
            <w:tcW w:type="dxa" w:w="1512"/>
            <w:vAlign w:val="top"/>
          </w:tcPr>
          <w:p>
            <w:pPr>
              <w:spacing w:after="40" w:before="0" w:line="259" w:lineRule="auto"/>
            </w:pPr>
            <w:r>
              <w:rPr>
                <w:rFonts w:ascii="Calibri" w:hAnsi="Calibri"/>
                <w:b w:val="0"/>
                <w:i w:val="0"/>
                <w:color w:val="212121"/>
                <w:sz w:val="19"/>
              </w:rPr>
              <w:t>&gt; 40 µg/m³ (India NAAQS annual) / far above WHO</w:t>
            </w:r>
          </w:p>
        </w:tc>
        <w:tc>
          <w:tcPr>
            <w:tcW w:type="dxa" w:w="1468"/>
            <w:vAlign w:val="top"/>
          </w:tcPr>
          <w:p>
            <w:pPr>
              <w:spacing w:after="60" w:line="259" w:lineRule="auto"/>
            </w:pPr>
            <w:r>
              <w:rPr>
                <w:rFonts w:ascii="Calibri" w:hAnsi="Calibri"/>
                <w:b w:val="0"/>
                <w:i w:val="0"/>
                <w:color w:val="212121"/>
                <w:sz w:val="19"/>
              </w:rPr>
              <w:t>India's population-weighted PM2.5 greatly exceeds WHO limits</w:t>
            </w:r>
          </w:p>
          <w:p>
            <w:pPr>
              <w:spacing w:after="40" w:line="252" w:lineRule="auto"/>
            </w:pPr>
            <w:hyperlink r:id="rId14">
              <w:r>
                <w:rPr>
                  <w:rFonts w:ascii="Calibri" w:hAnsi="Calibri" w:cs="Calibri"/>
                  <w:sz w:val="18"/>
                  <w:color w:val="1155CC"/>
                  <w:u w:val="single"/>
                </w:rPr>
                <w:t xml:space="preserve">https://www.who.int/news/item/22-09-2021-new-who-global-air-quality-guidelines-aim-to-save-millions-of-lives-from-air-pollution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Ambient PM2.5 (24-hour mean, µg/m³)</w:t>
            </w:r>
          </w:p>
        </w:tc>
        <w:tc>
          <w:tcPr>
            <w:tcW w:type="dxa" w:w="1655"/>
            <w:vAlign w:val="top"/>
          </w:tcPr>
          <w:p>
            <w:pPr>
              <w:spacing w:after="40" w:before="0" w:line="259" w:lineRule="auto"/>
            </w:pPr>
            <w:r>
              <w:rPr>
                <w:rFonts w:ascii="Calibri" w:hAnsi="Calibri"/>
                <w:b w:val="0"/>
                <w:i w:val="0"/>
                <w:color w:val="212121"/>
                <w:sz w:val="19"/>
              </w:rPr>
              <w:t>General population, sensitive groups</w:t>
            </w:r>
          </w:p>
        </w:tc>
        <w:tc>
          <w:tcPr>
            <w:tcW w:type="dxa" w:w="1512"/>
            <w:vAlign w:val="top"/>
          </w:tcPr>
          <w:p>
            <w:pPr>
              <w:spacing w:after="40" w:before="0" w:line="259" w:lineRule="auto"/>
            </w:pPr>
            <w:r>
              <w:rPr>
                <w:rFonts w:ascii="Calibri" w:hAnsi="Calibri"/>
                <w:b w:val="0"/>
                <w:i w:val="0"/>
                <w:color w:val="212121"/>
                <w:sz w:val="19"/>
              </w:rPr>
              <w:t>≤ 15 µg/m³ (WHO 24-h guideline)</w:t>
            </w:r>
          </w:p>
        </w:tc>
        <w:tc>
          <w:tcPr>
            <w:tcW w:type="dxa" w:w="1512"/>
            <w:vAlign w:val="top"/>
          </w:tcPr>
          <w:p>
            <w:pPr>
              <w:spacing w:after="40" w:before="0" w:line="259" w:lineRule="auto"/>
            </w:pPr>
            <w:r>
              <w:rPr>
                <w:rFonts w:ascii="Calibri" w:hAnsi="Calibri"/>
                <w:b w:val="0"/>
                <w:i w:val="0"/>
                <w:color w:val="212121"/>
                <w:sz w:val="19"/>
              </w:rPr>
              <w:t>&gt; 60 µg/m³ (India 24-h NAAQS); smog days much higher</w:t>
            </w:r>
          </w:p>
        </w:tc>
        <w:tc>
          <w:tcPr>
            <w:tcW w:type="dxa" w:w="1468"/>
            <w:vAlign w:val="top"/>
          </w:tcPr>
          <w:p>
            <w:pPr>
              <w:spacing w:after="60" w:line="259" w:lineRule="auto"/>
            </w:pPr>
            <w:r>
              <w:rPr>
                <w:rFonts w:ascii="Calibri" w:hAnsi="Calibri"/>
                <w:b w:val="0"/>
                <w:i w:val="0"/>
                <w:color w:val="212121"/>
                <w:sz w:val="19"/>
              </w:rPr>
              <w:t>Short-term peaks drive exacerbations and LRTI</w:t>
            </w:r>
          </w:p>
          <w:p>
            <w:pPr>
              <w:spacing w:after="40" w:line="252" w:lineRule="auto"/>
            </w:pPr>
            <w:hyperlink r:id="rId14">
              <w:r>
                <w:rPr>
                  <w:rFonts w:ascii="Calibri" w:hAnsi="Calibri" w:cs="Calibri"/>
                  <w:sz w:val="18"/>
                  <w:color w:val="1155CC"/>
                  <w:u w:val="single"/>
                </w:rPr>
                <w:t xml:space="preserve">https://www.who.int/news/item/22-09-2021-new-who-global-air-quality-guidelines-aim-to-save-millions-of-lives-from-air-pollution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Air Quality Index (CPCB AQI)</w:t>
            </w:r>
          </w:p>
        </w:tc>
        <w:tc>
          <w:tcPr>
            <w:tcW w:type="dxa" w:w="1655"/>
            <w:vAlign w:val="top"/>
          </w:tcPr>
          <w:p>
            <w:pPr>
              <w:spacing w:after="40" w:before="0" w:line="259" w:lineRule="auto"/>
            </w:pPr>
            <w:r>
              <w:rPr>
                <w:rFonts w:ascii="Calibri" w:hAnsi="Calibri"/>
                <w:b w:val="0"/>
                <w:i w:val="0"/>
                <w:color w:val="212121"/>
                <w:sz w:val="19"/>
              </w:rPr>
              <w:t>General population</w:t>
            </w:r>
          </w:p>
        </w:tc>
        <w:tc>
          <w:tcPr>
            <w:tcW w:type="dxa" w:w="1512"/>
            <w:vAlign w:val="top"/>
          </w:tcPr>
          <w:p>
            <w:pPr>
              <w:spacing w:after="40" w:before="0" w:line="259" w:lineRule="auto"/>
            </w:pPr>
            <w:r>
              <w:rPr>
                <w:rFonts w:ascii="Calibri" w:hAnsi="Calibri"/>
                <w:b w:val="0"/>
                <w:i w:val="0"/>
                <w:color w:val="212121"/>
                <w:sz w:val="19"/>
              </w:rPr>
              <w:t>0–50 (Good)</w:t>
            </w:r>
          </w:p>
        </w:tc>
        <w:tc>
          <w:tcPr>
            <w:tcW w:type="dxa" w:w="1512"/>
            <w:vAlign w:val="top"/>
          </w:tcPr>
          <w:p>
            <w:pPr>
              <w:spacing w:after="40" w:before="0" w:line="259" w:lineRule="auto"/>
            </w:pPr>
            <w:r>
              <w:rPr>
                <w:rFonts w:ascii="Calibri" w:hAnsi="Calibri"/>
                <w:b w:val="0"/>
                <w:i w:val="0"/>
                <w:color w:val="212121"/>
                <w:sz w:val="19"/>
              </w:rPr>
              <w:t>&gt; 200 (Poor / Very poor / Severe)</w:t>
            </w:r>
          </w:p>
        </w:tc>
        <w:tc>
          <w:tcPr>
            <w:tcW w:type="dxa" w:w="1468"/>
            <w:vAlign w:val="top"/>
          </w:tcPr>
          <w:p>
            <w:pPr>
              <w:spacing w:after="40" w:before="0" w:line="259" w:lineRule="auto"/>
            </w:pPr>
            <w:r>
              <w:rPr>
                <w:rFonts w:ascii="Calibri" w:hAnsi="Calibri"/>
                <w:b w:val="0"/>
                <w:i w:val="0"/>
                <w:color w:val="212121"/>
                <w:sz w:val="19"/>
              </w:rPr>
              <w:t>Guides mask use and avoidance of outdoor exertion on bad-air days</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Primary cooking fuel</w:t>
            </w:r>
          </w:p>
        </w:tc>
        <w:tc>
          <w:tcPr>
            <w:tcW w:type="dxa" w:w="1655"/>
            <w:vAlign w:val="top"/>
          </w:tcPr>
          <w:p>
            <w:pPr>
              <w:spacing w:after="40" w:before="0" w:line="259" w:lineRule="auto"/>
            </w:pPr>
            <w:r>
              <w:rPr>
                <w:rFonts w:ascii="Calibri" w:hAnsi="Calibri"/>
                <w:b w:val="0"/>
                <w:i w:val="0"/>
                <w:color w:val="212121"/>
                <w:sz w:val="19"/>
              </w:rPr>
              <w:t>Households, women cooks</w:t>
            </w:r>
          </w:p>
        </w:tc>
        <w:tc>
          <w:tcPr>
            <w:tcW w:type="dxa" w:w="1512"/>
            <w:vAlign w:val="top"/>
          </w:tcPr>
          <w:p>
            <w:pPr>
              <w:spacing w:after="40" w:before="0" w:line="259" w:lineRule="auto"/>
            </w:pPr>
            <w:r>
              <w:rPr>
                <w:rFonts w:ascii="Calibri" w:hAnsi="Calibri"/>
                <w:b w:val="0"/>
                <w:i w:val="0"/>
                <w:color w:val="212121"/>
                <w:sz w:val="19"/>
              </w:rPr>
              <w:t>Clean fuel (LPG, electricity, biogas)</w:t>
            </w:r>
          </w:p>
        </w:tc>
        <w:tc>
          <w:tcPr>
            <w:tcW w:type="dxa" w:w="1512"/>
            <w:vAlign w:val="top"/>
          </w:tcPr>
          <w:p>
            <w:pPr>
              <w:spacing w:after="40" w:before="0" w:line="259" w:lineRule="auto"/>
            </w:pPr>
            <w:r>
              <w:rPr>
                <w:rFonts w:ascii="Calibri" w:hAnsi="Calibri"/>
                <w:b w:val="0"/>
                <w:i w:val="0"/>
                <w:color w:val="212121"/>
                <w:sz w:val="19"/>
              </w:rPr>
              <w:t>Solid biomass, coal or kerosene on open stove</w:t>
            </w:r>
          </w:p>
        </w:tc>
        <w:tc>
          <w:tcPr>
            <w:tcW w:type="dxa" w:w="1468"/>
            <w:vAlign w:val="top"/>
          </w:tcPr>
          <w:p>
            <w:pPr>
              <w:spacing w:after="60" w:line="259" w:lineRule="auto"/>
            </w:pPr>
            <w:r>
              <w:rPr>
                <w:rFonts w:ascii="Calibri" w:hAnsi="Calibri"/>
                <w:b w:val="0"/>
                <w:i w:val="0"/>
                <w:color w:val="212121"/>
                <w:sz w:val="19"/>
              </w:rPr>
              <w:t>Clean-fuel transition is the key modifiable exposure</w:t>
            </w:r>
          </w:p>
          <w:p>
            <w:pPr>
              <w:spacing w:after="40" w:line="252" w:lineRule="auto"/>
            </w:pPr>
            <w:hyperlink r:id="rId9">
              <w:r>
                <w:rPr>
                  <w:rFonts w:ascii="Calibri" w:hAnsi="Calibri" w:cs="Calibri"/>
                  <w:sz w:val="18"/>
                  <w:color w:val="1155CC"/>
                  <w:u w:val="single"/>
                </w:rPr>
                <w:t xml:space="preserve">https://www.who.int/news-room/fact-sheets/detail/household-air-pollution-and-health</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Any daily smoking or regular second-hand exposure</w:t>
            </w:r>
          </w:p>
        </w:tc>
        <w:tc>
          <w:tcPr>
            <w:tcW w:type="dxa" w:w="1468"/>
            <w:vAlign w:val="top"/>
          </w:tcPr>
          <w:p>
            <w:pPr>
              <w:spacing w:after="60" w:line="259" w:lineRule="auto"/>
            </w:pPr>
            <w:r>
              <w:rPr>
                <w:rFonts w:ascii="Calibri" w:hAnsi="Calibri"/>
                <w:b w:val="0"/>
                <w:i w:val="0"/>
                <w:color w:val="212121"/>
                <w:sz w:val="19"/>
              </w:rPr>
              <w:t>Adds directly and synergistically to inhaled pollutant load</w:t>
            </w:r>
          </w:p>
          <w:p>
            <w:pPr>
              <w:spacing w:after="40" w:line="252" w:lineRule="auto"/>
            </w:pPr>
            <w:hyperlink r:id="rId13">
              <w:r>
                <w:rPr>
                  <w:rFonts w:ascii="Calibri" w:hAnsi="Calibri" w:cs="Calibri"/>
                  <w:sz w:val="18"/>
                  <w:color w:val="1155CC"/>
                  <w:u w:val="single"/>
                </w:rPr>
                <w:t xml:space="preserve">https://www.who.int/india/health-topics/tobacco</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Post-bronchodilator FEV1/FVC</w:t>
            </w:r>
          </w:p>
        </w:tc>
        <w:tc>
          <w:tcPr>
            <w:tcW w:type="dxa" w:w="1655"/>
            <w:vAlign w:val="top"/>
          </w:tcPr>
          <w:p>
            <w:pPr>
              <w:spacing w:after="40" w:before="0" w:line="259" w:lineRule="auto"/>
            </w:pPr>
            <w:r>
              <w:rPr>
                <w:rFonts w:ascii="Calibri" w:hAnsi="Calibri"/>
                <w:b w:val="0"/>
                <w:i w:val="0"/>
                <w:color w:val="212121"/>
                <w:sz w:val="19"/>
              </w:rPr>
              <w:t>Adults with chronic symptoms</w:t>
            </w:r>
          </w:p>
        </w:tc>
        <w:tc>
          <w:tcPr>
            <w:tcW w:type="dxa" w:w="1512"/>
            <w:vAlign w:val="top"/>
          </w:tcPr>
          <w:p>
            <w:pPr>
              <w:spacing w:after="40" w:before="0" w:line="259" w:lineRule="auto"/>
            </w:pPr>
            <w:r>
              <w:rPr>
                <w:rFonts w:ascii="Calibri" w:hAnsi="Calibri"/>
                <w:b w:val="0"/>
                <w:i w:val="0"/>
                <w:color w:val="212121"/>
                <w:sz w:val="19"/>
              </w:rPr>
              <w:t>≥ 0.70</w:t>
            </w:r>
          </w:p>
        </w:tc>
        <w:tc>
          <w:tcPr>
            <w:tcW w:type="dxa" w:w="1512"/>
            <w:vAlign w:val="top"/>
          </w:tcPr>
          <w:p>
            <w:pPr>
              <w:spacing w:after="40" w:before="0" w:line="259" w:lineRule="auto"/>
            </w:pPr>
            <w:r>
              <w:rPr>
                <w:rFonts w:ascii="Calibri" w:hAnsi="Calibri"/>
                <w:b w:val="0"/>
                <w:i w:val="0"/>
                <w:color w:val="212121"/>
                <w:sz w:val="19"/>
              </w:rPr>
              <w:t>&lt; 0.70 (fixed airflow obstruction / COPD)</w:t>
            </w:r>
          </w:p>
        </w:tc>
        <w:tc>
          <w:tcPr>
            <w:tcW w:type="dxa" w:w="1468"/>
            <w:vAlign w:val="top"/>
          </w:tcPr>
          <w:p>
            <w:pPr>
              <w:spacing w:after="40" w:before="0" w:line="259" w:lineRule="auto"/>
            </w:pPr>
            <w:r>
              <w:rPr>
                <w:rFonts w:ascii="Calibri" w:hAnsi="Calibri"/>
                <w:b w:val="0"/>
                <w:i w:val="0"/>
                <w:color w:val="212121"/>
                <w:sz w:val="19"/>
              </w:rPr>
              <w:t>Spirometric threshold for chronic obstruction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Peak expiratory flow rate (PEFR) diurnal variability</w:t>
            </w:r>
          </w:p>
        </w:tc>
        <w:tc>
          <w:tcPr>
            <w:tcW w:type="dxa" w:w="1655"/>
            <w:vAlign w:val="top"/>
          </w:tcPr>
          <w:p>
            <w:pPr>
              <w:spacing w:after="40" w:before="0" w:line="259" w:lineRule="auto"/>
            </w:pPr>
            <w:r>
              <w:rPr>
                <w:rFonts w:ascii="Calibri" w:hAnsi="Calibri"/>
                <w:b w:val="0"/>
                <w:i w:val="0"/>
                <w:color w:val="212121"/>
                <w:sz w:val="19"/>
              </w:rPr>
              <w:t>Asthma patients</w:t>
            </w:r>
          </w:p>
        </w:tc>
        <w:tc>
          <w:tcPr>
            <w:tcW w:type="dxa" w:w="1512"/>
            <w:vAlign w:val="top"/>
          </w:tcPr>
          <w:p>
            <w:pPr>
              <w:spacing w:after="40" w:before="0" w:line="259" w:lineRule="auto"/>
            </w:pPr>
            <w:r>
              <w:rPr>
                <w:rFonts w:ascii="Calibri" w:hAnsi="Calibri"/>
                <w:b w:val="0"/>
                <w:i w:val="0"/>
                <w:color w:val="212121"/>
                <w:sz w:val="19"/>
              </w:rPr>
              <w:t>&lt; 20% variability</w:t>
            </w:r>
          </w:p>
        </w:tc>
        <w:tc>
          <w:tcPr>
            <w:tcW w:type="dxa" w:w="1512"/>
            <w:vAlign w:val="top"/>
          </w:tcPr>
          <w:p>
            <w:pPr>
              <w:spacing w:after="40" w:before="0" w:line="259" w:lineRule="auto"/>
            </w:pPr>
            <w:r>
              <w:rPr>
                <w:rFonts w:ascii="Calibri" w:hAnsi="Calibri"/>
                <w:b w:val="0"/>
                <w:i w:val="0"/>
                <w:color w:val="212121"/>
                <w:sz w:val="19"/>
              </w:rPr>
              <w:t>&gt; 20% variability or falling PEFR</w:t>
            </w:r>
          </w:p>
        </w:tc>
        <w:tc>
          <w:tcPr>
            <w:tcW w:type="dxa" w:w="1468"/>
            <w:vAlign w:val="top"/>
          </w:tcPr>
          <w:p>
            <w:pPr>
              <w:spacing w:after="40" w:before="0" w:line="259" w:lineRule="auto"/>
            </w:pPr>
            <w:r>
              <w:rPr>
                <w:rFonts w:ascii="Calibri" w:hAnsi="Calibri"/>
                <w:b w:val="0"/>
                <w:i w:val="0"/>
                <w:color w:val="212121"/>
                <w:sz w:val="19"/>
              </w:rPr>
              <w:t>Rising variability signals poor asthma control on polluted days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Resting oxygen saturation (SpO2)</w:t>
            </w:r>
          </w:p>
        </w:tc>
        <w:tc>
          <w:tcPr>
            <w:tcW w:type="dxa" w:w="1655"/>
            <w:vAlign w:val="top"/>
          </w:tcPr>
          <w:p>
            <w:pPr>
              <w:spacing w:after="40" w:before="0" w:line="259" w:lineRule="auto"/>
            </w:pPr>
            <w:r>
              <w:rPr>
                <w:rFonts w:ascii="Calibri" w:hAnsi="Calibri"/>
                <w:b w:val="0"/>
                <w:i w:val="0"/>
                <w:color w:val="212121"/>
                <w:sz w:val="19"/>
              </w:rPr>
              <w:t>Symptomatic / exacerbation</w:t>
            </w:r>
          </w:p>
        </w:tc>
        <w:tc>
          <w:tcPr>
            <w:tcW w:type="dxa" w:w="1512"/>
            <w:vAlign w:val="top"/>
          </w:tcPr>
          <w:p>
            <w:pPr>
              <w:spacing w:after="40" w:before="0" w:line="259" w:lineRule="auto"/>
            </w:pPr>
            <w:r>
              <w:rPr>
                <w:rFonts w:ascii="Calibri" w:hAnsi="Calibri"/>
                <w:b w:val="0"/>
                <w:i w:val="0"/>
                <w:color w:val="212121"/>
                <w:sz w:val="19"/>
              </w:rPr>
              <w:t>≥ 94% on room air</w:t>
            </w:r>
          </w:p>
        </w:tc>
        <w:tc>
          <w:tcPr>
            <w:tcW w:type="dxa" w:w="1512"/>
            <w:vAlign w:val="top"/>
          </w:tcPr>
          <w:p>
            <w:pPr>
              <w:spacing w:after="40" w:before="0" w:line="259" w:lineRule="auto"/>
            </w:pPr>
            <w:r>
              <w:rPr>
                <w:rFonts w:ascii="Calibri" w:hAnsi="Calibri"/>
                <w:b w:val="0"/>
                <w:i w:val="0"/>
                <w:color w:val="212121"/>
                <w:sz w:val="19"/>
              </w:rPr>
              <w:t>&lt; 90% (hypoxaemia)</w:t>
            </w:r>
          </w:p>
        </w:tc>
        <w:tc>
          <w:tcPr>
            <w:tcW w:type="dxa" w:w="1468"/>
            <w:vAlign w:val="top"/>
          </w:tcPr>
          <w:p>
            <w:pPr>
              <w:spacing w:after="40" w:before="0" w:line="259" w:lineRule="auto"/>
            </w:pPr>
            <w:r>
              <w:rPr>
                <w:rFonts w:ascii="Calibri" w:hAnsi="Calibri"/>
                <w:b w:val="0"/>
                <w:i w:val="0"/>
                <w:color w:val="212121"/>
                <w:sz w:val="19"/>
              </w:rPr>
              <w:t>Falling SpO2 during smog episodes indicates a severe exacerbation</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Child nutritional status (weight-for-age / BMI)</w:t>
            </w:r>
          </w:p>
        </w:tc>
        <w:tc>
          <w:tcPr>
            <w:tcW w:type="dxa" w:w="1655"/>
            <w:vAlign w:val="top"/>
          </w:tcPr>
          <w:p>
            <w:pPr>
              <w:spacing w:after="40" w:before="0" w:line="259" w:lineRule="auto"/>
            </w:pPr>
            <w:r>
              <w:rPr>
                <w:rFonts w:ascii="Calibri" w:hAnsi="Calibri"/>
                <w:b w:val="0"/>
                <w:i w:val="0"/>
                <w:color w:val="212121"/>
                <w:sz w:val="19"/>
              </w:rPr>
              <w:t>Under-5 children</w:t>
            </w:r>
          </w:p>
        </w:tc>
        <w:tc>
          <w:tcPr>
            <w:tcW w:type="dxa" w:w="1512"/>
            <w:vAlign w:val="top"/>
          </w:tcPr>
          <w:p>
            <w:pPr>
              <w:spacing w:after="40" w:before="0" w:line="259" w:lineRule="auto"/>
            </w:pPr>
            <w:r>
              <w:rPr>
                <w:rFonts w:ascii="Calibri" w:hAnsi="Calibri"/>
                <w:b w:val="0"/>
                <w:i w:val="0"/>
                <w:color w:val="212121"/>
                <w:sz w:val="19"/>
              </w:rPr>
              <w:t>Normal for age</w:t>
            </w:r>
          </w:p>
        </w:tc>
        <w:tc>
          <w:tcPr>
            <w:tcW w:type="dxa" w:w="1512"/>
            <w:vAlign w:val="top"/>
          </w:tcPr>
          <w:p>
            <w:pPr>
              <w:spacing w:after="40" w:before="0" w:line="259" w:lineRule="auto"/>
            </w:pPr>
            <w:r>
              <w:rPr>
                <w:rFonts w:ascii="Calibri" w:hAnsi="Calibri"/>
                <w:b w:val="0"/>
                <w:i w:val="0"/>
                <w:color w:val="212121"/>
                <w:sz w:val="19"/>
              </w:rPr>
              <w:t>Underweight / wasting</w:t>
            </w:r>
          </w:p>
        </w:tc>
        <w:tc>
          <w:tcPr>
            <w:tcW w:type="dxa" w:w="1468"/>
            <w:vAlign w:val="top"/>
          </w:tcPr>
          <w:p>
            <w:pPr>
              <w:spacing w:after="60" w:line="259" w:lineRule="auto"/>
            </w:pPr>
            <w:r>
              <w:rPr>
                <w:rFonts w:ascii="Calibri" w:hAnsi="Calibri"/>
                <w:b w:val="0"/>
                <w:i w:val="0"/>
                <w:color w:val="212121"/>
                <w:sz w:val="19"/>
              </w:rPr>
              <w:t>Undernutrition amplifies pollution-related pneumonia risk</w:t>
            </w:r>
          </w:p>
          <w:p>
            <w:pPr>
              <w:spacing w:after="40" w:line="252" w:lineRule="auto"/>
            </w:pPr>
            <w:hyperlink r:id="rId9">
              <w:r>
                <w:rPr>
                  <w:rFonts w:ascii="Calibri" w:hAnsi="Calibri" w:cs="Calibri"/>
                  <w:sz w:val="18"/>
                  <w:color w:val="1155CC"/>
                  <w:u w:val="single"/>
                </w:rPr>
                <w:t xml:space="preserve">https://www.who.int/news-room/fact-sheets/detail/household-air-pollution-and-health</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FEV1, FVC, FEV1/FVC (post-bronchodilator)</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FEV1/FVC ≥ 0.70; FEV1 ≥ 80% predicted</w:t>
            </w:r>
          </w:p>
        </w:tc>
        <w:tc>
          <w:tcPr>
            <w:tcW w:type="dxa" w:w="950"/>
            <w:vAlign w:val="top"/>
          </w:tcPr>
          <w:p>
            <w:pPr>
              <w:spacing w:after="40" w:before="0" w:line="259" w:lineRule="auto"/>
            </w:pPr>
            <w:r>
              <w:rPr>
                <w:rFonts w:ascii="Calibri" w:hAnsi="Calibri"/>
                <w:b w:val="0"/>
                <w:i w:val="0"/>
                <w:color w:val="212121"/>
                <w:sz w:val="16"/>
              </w:rPr>
              <w:t>FEV1/FVC &lt; 0.70 (obstruction); low FEV1 grades severity</w:t>
            </w:r>
          </w:p>
        </w:tc>
        <w:tc>
          <w:tcPr>
            <w:tcW w:type="dxa" w:w="1036"/>
            <w:vAlign w:val="top"/>
          </w:tcPr>
          <w:p>
            <w:pPr>
              <w:spacing w:after="40" w:before="0" w:line="259" w:lineRule="auto"/>
            </w:pPr>
            <w:r>
              <w:rPr>
                <w:rFonts w:ascii="Calibri" w:hAnsi="Calibri"/>
                <w:b w:val="0"/>
                <w:i w:val="0"/>
                <w:color w:val="212121"/>
                <w:sz w:val="16"/>
              </w:rPr>
              <w:t>Confirms and grades airflow obstruction (COPD) or reversible obstruction (asthma)</w:t>
            </w:r>
          </w:p>
        </w:tc>
        <w:tc>
          <w:tcPr>
            <w:tcW w:type="dxa" w:w="1036"/>
            <w:vAlign w:val="top"/>
          </w:tcPr>
          <w:p>
            <w:pPr>
              <w:spacing w:after="40" w:before="0" w:line="259" w:lineRule="auto"/>
            </w:pPr>
            <w:r>
              <w:rPr>
                <w:rFonts w:ascii="Calibri" w:hAnsi="Calibri"/>
                <w:b w:val="0"/>
                <w:i w:val="0"/>
                <w:color w:val="212121"/>
                <w:sz w:val="16"/>
              </w:rPr>
              <w:t>Adults with chronic cough/dyspnoea, smokers, biomass cooks</w:t>
            </w:r>
          </w:p>
        </w:tc>
        <w:tc>
          <w:tcPr>
            <w:tcW w:type="dxa" w:w="720"/>
            <w:vAlign w:val="top"/>
          </w:tcPr>
          <w:p>
            <w:pPr>
              <w:spacing w:after="40" w:before="0" w:line="259" w:lineRule="auto"/>
            </w:pPr>
            <w:r>
              <w:rPr>
                <w:rFonts w:ascii="Calibri" w:hAnsi="Calibri"/>
                <w:b w:val="0"/>
                <w:i w:val="0"/>
                <w:color w:val="212121"/>
                <w:sz w:val="16"/>
              </w:rPr>
              <w:t>Physical activity;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Reversibility testing separates asthma from fixed COPD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 (PA)</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Clear lung fields, normal cardiothoracic ratio</w:t>
            </w:r>
          </w:p>
        </w:tc>
        <w:tc>
          <w:tcPr>
            <w:tcW w:type="dxa" w:w="950"/>
            <w:vAlign w:val="top"/>
          </w:tcPr>
          <w:p>
            <w:pPr>
              <w:spacing w:after="40" w:before="0" w:line="259" w:lineRule="auto"/>
            </w:pPr>
            <w:r>
              <w:rPr>
                <w:rFonts w:ascii="Calibri" w:hAnsi="Calibri"/>
                <w:b w:val="0"/>
                <w:i w:val="0"/>
                <w:color w:val="212121"/>
                <w:sz w:val="16"/>
              </w:rPr>
              <w:t>Hyperinflation/flat diaphragms (COPD), consolidation (pneumonia), mass/nodule (cancer)</w:t>
            </w:r>
          </w:p>
        </w:tc>
        <w:tc>
          <w:tcPr>
            <w:tcW w:type="dxa" w:w="1036"/>
            <w:vAlign w:val="top"/>
          </w:tcPr>
          <w:p>
            <w:pPr>
              <w:spacing w:after="40" w:before="0" w:line="259" w:lineRule="auto"/>
            </w:pPr>
            <w:r>
              <w:rPr>
                <w:rFonts w:ascii="Calibri" w:hAnsi="Calibri"/>
                <w:b w:val="0"/>
                <w:i w:val="0"/>
                <w:color w:val="212121"/>
                <w:sz w:val="16"/>
              </w:rPr>
              <w:t>First-line to detect infection, emphysema, cor pulmonale or malignancy</w:t>
            </w:r>
          </w:p>
        </w:tc>
        <w:tc>
          <w:tcPr>
            <w:tcW w:type="dxa" w:w="1036"/>
            <w:vAlign w:val="top"/>
          </w:tcPr>
          <w:p>
            <w:pPr>
              <w:spacing w:after="40" w:before="0" w:line="259" w:lineRule="auto"/>
            </w:pPr>
            <w:r>
              <w:rPr>
                <w:rFonts w:ascii="Calibri" w:hAnsi="Calibri"/>
                <w:b w:val="0"/>
                <w:i w:val="0"/>
                <w:color w:val="212121"/>
                <w:sz w:val="16"/>
              </w:rPr>
              <w:t>All symptomatic patients, children with suspected pneumonia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Normal film does not exclude early COPD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HRCT thorax</w:t>
            </w:r>
          </w:p>
        </w:tc>
        <w:tc>
          <w:tcPr>
            <w:tcW w:type="dxa" w:w="892"/>
            <w:vAlign w:val="top"/>
          </w:tcPr>
          <w:p>
            <w:pPr>
              <w:spacing w:after="40" w:before="0" w:line="259" w:lineRule="auto"/>
            </w:pPr>
            <w:r>
              <w:rPr>
                <w:rFonts w:ascii="Calibri" w:hAnsi="Calibri"/>
                <w:b w:val="0"/>
                <w:i w:val="0"/>
                <w:color w:val="212121"/>
                <w:sz w:val="16"/>
              </w:rPr>
              <w:t>CT chest</w:t>
            </w:r>
          </w:p>
        </w:tc>
        <w:tc>
          <w:tcPr>
            <w:tcW w:type="dxa" w:w="950"/>
            <w:vAlign w:val="top"/>
          </w:tcPr>
          <w:p>
            <w:pPr>
              <w:spacing w:after="40" w:before="0" w:line="259" w:lineRule="auto"/>
            </w:pPr>
            <w:r>
              <w:rPr>
                <w:rFonts w:ascii="Calibri" w:hAnsi="Calibri"/>
                <w:b w:val="0"/>
                <w:i w:val="0"/>
                <w:color w:val="212121"/>
                <w:sz w:val="16"/>
              </w:rPr>
              <w:t>No emphysema, mass or interstitial change</w:t>
            </w:r>
          </w:p>
        </w:tc>
        <w:tc>
          <w:tcPr>
            <w:tcW w:type="dxa" w:w="950"/>
            <w:vAlign w:val="top"/>
          </w:tcPr>
          <w:p>
            <w:pPr>
              <w:spacing w:after="40" w:before="0" w:line="259" w:lineRule="auto"/>
            </w:pPr>
            <w:r>
              <w:rPr>
                <w:rFonts w:ascii="Calibri" w:hAnsi="Calibri"/>
                <w:b w:val="0"/>
                <w:i w:val="0"/>
                <w:color w:val="212121"/>
                <w:sz w:val="16"/>
              </w:rPr>
              <w:t>Emphysema, bronchial-wall thickening, bronchiectasis, mass, or interstitial disease</w:t>
            </w:r>
          </w:p>
        </w:tc>
        <w:tc>
          <w:tcPr>
            <w:tcW w:type="dxa" w:w="1036"/>
            <w:vAlign w:val="top"/>
          </w:tcPr>
          <w:p>
            <w:pPr>
              <w:spacing w:after="40" w:before="0" w:line="259" w:lineRule="auto"/>
            </w:pPr>
            <w:r>
              <w:rPr>
                <w:rFonts w:ascii="Calibri" w:hAnsi="Calibri"/>
                <w:b w:val="0"/>
                <w:i w:val="0"/>
                <w:color w:val="212121"/>
                <w:sz w:val="16"/>
              </w:rPr>
              <w:t>Characterises structural lung damage and detects malignancy</w:t>
            </w:r>
          </w:p>
        </w:tc>
        <w:tc>
          <w:tcPr>
            <w:tcW w:type="dxa" w:w="1036"/>
            <w:vAlign w:val="top"/>
          </w:tcPr>
          <w:p>
            <w:pPr>
              <w:spacing w:after="40" w:before="0" w:line="259" w:lineRule="auto"/>
            </w:pPr>
            <w:r>
              <w:rPr>
                <w:rFonts w:ascii="Calibri" w:hAnsi="Calibri"/>
                <w:b w:val="0"/>
                <w:i w:val="0"/>
                <w:color w:val="212121"/>
                <w:sz w:val="16"/>
              </w:rPr>
              <w:t>Suspected lung cancer, atypical or severe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Low-dose CT is used for lung-cancer evaluation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 / oximetry</w:t>
            </w:r>
          </w:p>
        </w:tc>
        <w:tc>
          <w:tcPr>
            <w:tcW w:type="dxa" w:w="1036"/>
            <w:vAlign w:val="top"/>
          </w:tcPr>
          <w:p>
            <w:pPr>
              <w:spacing w:after="40" w:before="0" w:line="259" w:lineRule="auto"/>
            </w:pPr>
            <w:r>
              <w:rPr>
                <w:rFonts w:ascii="Calibri" w:hAnsi="Calibri"/>
                <w:b w:val="0"/>
                <w:i w:val="0"/>
                <w:color w:val="212121"/>
                <w:sz w:val="16"/>
              </w:rPr>
              <w:t>SpO2, PaO2, PaCO2</w:t>
            </w:r>
          </w:p>
        </w:tc>
        <w:tc>
          <w:tcPr>
            <w:tcW w:type="dxa" w:w="892"/>
            <w:vAlign w:val="top"/>
          </w:tcPr>
          <w:p>
            <w:pPr>
              <w:spacing w:after="40" w:before="0" w:line="259" w:lineRule="auto"/>
            </w:pPr>
            <w:r>
              <w:rPr>
                <w:rFonts w:ascii="Calibri" w:hAnsi="Calibri"/>
                <w:b w:val="0"/>
                <w:i w:val="0"/>
                <w:color w:val="212121"/>
                <w:sz w:val="16"/>
              </w:rPr>
              <w:t>Pulse oximetry &amp; ABG</w:t>
            </w:r>
          </w:p>
        </w:tc>
        <w:tc>
          <w:tcPr>
            <w:tcW w:type="dxa" w:w="950"/>
            <w:vAlign w:val="top"/>
          </w:tcPr>
          <w:p>
            <w:pPr>
              <w:spacing w:after="40" w:before="0" w:line="259" w:lineRule="auto"/>
            </w:pPr>
            <w:r>
              <w:rPr>
                <w:rFonts w:ascii="Calibri" w:hAnsi="Calibri"/>
                <w:b w:val="0"/>
                <w:i w:val="0"/>
                <w:color w:val="212121"/>
                <w:sz w:val="16"/>
              </w:rPr>
              <w:t>SpO2 ≥ 94%; normal PaO2/PaCO2</w:t>
            </w:r>
          </w:p>
        </w:tc>
        <w:tc>
          <w:tcPr>
            <w:tcW w:type="dxa" w:w="950"/>
            <w:vAlign w:val="top"/>
          </w:tcPr>
          <w:p>
            <w:pPr>
              <w:spacing w:after="40" w:before="0" w:line="259" w:lineRule="auto"/>
            </w:pPr>
            <w:r>
              <w:rPr>
                <w:rFonts w:ascii="Calibri" w:hAnsi="Calibri"/>
                <w:b w:val="0"/>
                <w:i w:val="0"/>
                <w:color w:val="212121"/>
                <w:sz w:val="16"/>
              </w:rPr>
              <w:t>Hypoxaemia; hypercapnia in advanced COPD</w:t>
            </w:r>
          </w:p>
        </w:tc>
        <w:tc>
          <w:tcPr>
            <w:tcW w:type="dxa" w:w="1036"/>
            <w:vAlign w:val="top"/>
          </w:tcPr>
          <w:p>
            <w:pPr>
              <w:spacing w:after="40" w:before="0" w:line="259" w:lineRule="auto"/>
            </w:pPr>
            <w:r>
              <w:rPr>
                <w:rFonts w:ascii="Calibri" w:hAnsi="Calibri"/>
                <w:b w:val="0"/>
                <w:i w:val="0"/>
                <w:color w:val="212121"/>
                <w:sz w:val="16"/>
              </w:rPr>
              <w:t>Quantifies gas-exchange failure and need for oxygen/ventilation</w:t>
            </w:r>
          </w:p>
        </w:tc>
        <w:tc>
          <w:tcPr>
            <w:tcW w:type="dxa" w:w="1036"/>
            <w:vAlign w:val="top"/>
          </w:tcPr>
          <w:p>
            <w:pPr>
              <w:spacing w:after="40" w:before="0" w:line="259" w:lineRule="auto"/>
            </w:pPr>
            <w:r>
              <w:rPr>
                <w:rFonts w:ascii="Calibri" w:hAnsi="Calibri"/>
                <w:b w:val="0"/>
                <w:i w:val="0"/>
                <w:color w:val="212121"/>
                <w:sz w:val="16"/>
              </w:rPr>
              <w:t>Exacerbations, advanced COPD, severe pneumonia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oxygen therapy and admission decisions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&amp; differential leukocyte count, eosinophils, haematocrit</w:t>
            </w:r>
          </w:p>
        </w:tc>
        <w:tc>
          <w:tcPr>
            <w:tcW w:type="dxa" w:w="892"/>
            <w:vAlign w:val="top"/>
          </w:tcPr>
          <w:p>
            <w:pPr>
              <w:spacing w:after="40" w:before="0" w:line="259" w:lineRule="auto"/>
            </w:pPr>
            <w:r>
              <w:rPr>
                <w:rFonts w:ascii="Calibri" w:hAnsi="Calibri"/>
                <w:b w:val="0"/>
                <w:i w:val="0"/>
                <w:color w:val="212121"/>
                <w:sz w:val="16"/>
              </w:rPr>
              <w:t>Complete blood count (CBC)</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Neutrophilia (infection), eosinophilia (asthma phenotype), polycythaemia (chronic hypoxia)</w:t>
            </w:r>
          </w:p>
        </w:tc>
        <w:tc>
          <w:tcPr>
            <w:tcW w:type="dxa" w:w="1036"/>
            <w:vAlign w:val="top"/>
          </w:tcPr>
          <w:p>
            <w:pPr>
              <w:spacing w:after="40" w:before="0" w:line="259" w:lineRule="auto"/>
            </w:pPr>
            <w:r>
              <w:rPr>
                <w:rFonts w:ascii="Calibri" w:hAnsi="Calibri"/>
                <w:b w:val="0"/>
                <w:i w:val="0"/>
                <w:color w:val="212121"/>
                <w:sz w:val="16"/>
              </w:rPr>
              <w:t>Supports infection, allergic phenotype, or chronic hypoxaemia</w:t>
            </w:r>
          </w:p>
        </w:tc>
        <w:tc>
          <w:tcPr>
            <w:tcW w:type="dxa" w:w="1036"/>
            <w:vAlign w:val="top"/>
          </w:tcPr>
          <w:p>
            <w:pPr>
              <w:spacing w:after="40" w:before="0" w:line="259" w:lineRule="auto"/>
            </w:pPr>
            <w:r>
              <w:rPr>
                <w:rFonts w:ascii="Calibri" w:hAnsi="Calibri"/>
                <w:b w:val="0"/>
                <w:i w:val="0"/>
                <w:color w:val="212121"/>
                <w:sz w:val="16"/>
              </w:rPr>
              <w:t>Exacerbations, asthma, chronic hypoxic COPD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Blood eosinophils help guide inhaled-steroid 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Sputum AFB smear, GeneXpert MTB/RIF, bacterial culture</w:t>
            </w:r>
          </w:p>
        </w:tc>
        <w:tc>
          <w:tcPr>
            <w:tcW w:type="dxa" w:w="892"/>
            <w:vAlign w:val="top"/>
          </w:tcPr>
          <w:p>
            <w:pPr>
              <w:spacing w:after="40" w:before="0" w:line="259" w:lineRule="auto"/>
            </w:pPr>
            <w:r>
              <w:rPr>
                <w:rFonts w:ascii="Calibri" w:hAnsi="Calibri"/>
                <w:b w:val="0"/>
                <w:i w:val="0"/>
                <w:color w:val="212121"/>
                <w:sz w:val="16"/>
              </w:rPr>
              <w:t>Sputum studies</w:t>
            </w:r>
          </w:p>
        </w:tc>
        <w:tc>
          <w:tcPr>
            <w:tcW w:type="dxa" w:w="950"/>
            <w:vAlign w:val="top"/>
          </w:tcPr>
          <w:p>
            <w:pPr>
              <w:spacing w:after="40" w:before="0" w:line="259" w:lineRule="auto"/>
            </w:pPr>
            <w:r>
              <w:rPr>
                <w:rFonts w:ascii="Calibri" w:hAnsi="Calibri"/>
                <w:b w:val="0"/>
                <w:i w:val="0"/>
                <w:color w:val="212121"/>
                <w:sz w:val="16"/>
              </w:rPr>
              <w:t>AFB negative; commensal flora</w:t>
            </w:r>
          </w:p>
        </w:tc>
        <w:tc>
          <w:tcPr>
            <w:tcW w:type="dxa" w:w="950"/>
            <w:vAlign w:val="top"/>
          </w:tcPr>
          <w:p>
            <w:pPr>
              <w:spacing w:after="40" w:before="0" w:line="259" w:lineRule="auto"/>
            </w:pPr>
            <w:r>
              <w:rPr>
                <w:rFonts w:ascii="Calibri" w:hAnsi="Calibri"/>
                <w:b w:val="0"/>
                <w:i w:val="0"/>
                <w:color w:val="212121"/>
                <w:sz w:val="16"/>
              </w:rPr>
              <w:t>MTB detected or pathogen isolated</w:t>
            </w:r>
          </w:p>
        </w:tc>
        <w:tc>
          <w:tcPr>
            <w:tcW w:type="dxa" w:w="1036"/>
            <w:vAlign w:val="top"/>
          </w:tcPr>
          <w:p>
            <w:pPr>
              <w:spacing w:after="40" w:before="0" w:line="259" w:lineRule="auto"/>
            </w:pPr>
            <w:r>
              <w:rPr>
                <w:rFonts w:ascii="Calibri" w:hAnsi="Calibri"/>
                <w:b w:val="0"/>
                <w:i w:val="0"/>
                <w:color w:val="212121"/>
                <w:sz w:val="16"/>
              </w:rPr>
              <w:t>Excludes tuberculosis (essential in India) and identifies infective exacerbation</w:t>
            </w:r>
          </w:p>
        </w:tc>
        <w:tc>
          <w:tcPr>
            <w:tcW w:type="dxa" w:w="1036"/>
            <w:vAlign w:val="top"/>
          </w:tcPr>
          <w:p>
            <w:pPr>
              <w:spacing w:after="40" w:before="0" w:line="259" w:lineRule="auto"/>
            </w:pPr>
            <w:r>
              <w:rPr>
                <w:rFonts w:ascii="Calibri" w:hAnsi="Calibri"/>
                <w:b w:val="0"/>
                <w:i w:val="0"/>
                <w:color w:val="212121"/>
                <w:sz w:val="16"/>
              </w:rPr>
              <w:t>Chronic cough, haemoptysis, weight loss, cavitary disease</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 (India)</w:t>
            </w:r>
          </w:p>
        </w:tc>
        <w:tc>
          <w:tcPr>
            <w:tcW w:type="dxa" w:w="720"/>
            <w:vAlign w:val="top"/>
          </w:tcPr>
          <w:p>
            <w:pPr>
              <w:spacing w:after="40" w:before="0" w:line="259" w:lineRule="auto"/>
            </w:pPr>
            <w:r>
              <w:rPr>
                <w:rFonts w:ascii="Calibri" w:hAnsi="Calibri"/>
                <w:b w:val="0"/>
                <w:i w:val="0"/>
                <w:color w:val="212121"/>
                <w:sz w:val="16"/>
              </w:rPr>
              <w:t>TB must be excluded before ascribing symptoms to pollution alone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 functional</w:t>
            </w:r>
          </w:p>
        </w:tc>
        <w:tc>
          <w:tcPr>
            <w:tcW w:type="dxa" w:w="1036"/>
            <w:vAlign w:val="top"/>
          </w:tcPr>
          <w:p>
            <w:pPr>
              <w:spacing w:after="40" w:before="0" w:line="259" w:lineRule="auto"/>
            </w:pPr>
            <w:r>
              <w:rPr>
                <w:rFonts w:ascii="Calibri" w:hAnsi="Calibri"/>
                <w:b w:val="0"/>
                <w:i w:val="0"/>
                <w:color w:val="212121"/>
                <w:sz w:val="16"/>
              </w:rPr>
              <w:t>ECG, echocardiography, 6-minute walk test</w:t>
            </w:r>
          </w:p>
        </w:tc>
        <w:tc>
          <w:tcPr>
            <w:tcW w:type="dxa" w:w="892"/>
            <w:vAlign w:val="top"/>
          </w:tcPr>
          <w:p>
            <w:pPr>
              <w:spacing w:after="40" w:before="0" w:line="259" w:lineRule="auto"/>
            </w:pPr>
            <w:r>
              <w:rPr>
                <w:rFonts w:ascii="Calibri" w:hAnsi="Calibri"/>
                <w:b w:val="0"/>
                <w:i w:val="0"/>
                <w:color w:val="212121"/>
                <w:sz w:val="16"/>
              </w:rPr>
              <w:t>Cor pulmonale &amp; functional assessment</w:t>
            </w:r>
          </w:p>
        </w:tc>
        <w:tc>
          <w:tcPr>
            <w:tcW w:type="dxa" w:w="950"/>
            <w:vAlign w:val="top"/>
          </w:tcPr>
          <w:p>
            <w:pPr>
              <w:spacing w:after="40" w:before="0" w:line="259" w:lineRule="auto"/>
            </w:pPr>
            <w:r>
              <w:rPr>
                <w:rFonts w:ascii="Calibri" w:hAnsi="Calibri"/>
                <w:b w:val="0"/>
                <w:i w:val="0"/>
                <w:color w:val="212121"/>
                <w:sz w:val="16"/>
              </w:rPr>
              <w:t>No RV strain; preserved walk distance</w:t>
            </w:r>
          </w:p>
        </w:tc>
        <w:tc>
          <w:tcPr>
            <w:tcW w:type="dxa" w:w="950"/>
            <w:vAlign w:val="top"/>
          </w:tcPr>
          <w:p>
            <w:pPr>
              <w:spacing w:after="40" w:before="0" w:line="259" w:lineRule="auto"/>
            </w:pPr>
            <w:r>
              <w:rPr>
                <w:rFonts w:ascii="Calibri" w:hAnsi="Calibri"/>
                <w:b w:val="0"/>
                <w:i w:val="0"/>
                <w:color w:val="212121"/>
                <w:sz w:val="16"/>
              </w:rPr>
              <w:t>RV hypertrophy/pulmonary hypertension; reduced walk distance/desaturation</w:t>
            </w:r>
          </w:p>
        </w:tc>
        <w:tc>
          <w:tcPr>
            <w:tcW w:type="dxa" w:w="1036"/>
            <w:vAlign w:val="top"/>
          </w:tcPr>
          <w:p>
            <w:pPr>
              <w:spacing w:after="40" w:before="0" w:line="259" w:lineRule="auto"/>
            </w:pPr>
            <w:r>
              <w:rPr>
                <w:rFonts w:ascii="Calibri" w:hAnsi="Calibri"/>
                <w:b w:val="0"/>
                <w:i w:val="0"/>
                <w:color w:val="212121"/>
                <w:sz w:val="16"/>
              </w:rPr>
              <w:t>Detects cor pulmonale and grades functional impairment</w:t>
            </w:r>
          </w:p>
        </w:tc>
        <w:tc>
          <w:tcPr>
            <w:tcW w:type="dxa" w:w="1036"/>
            <w:vAlign w:val="top"/>
          </w:tcPr>
          <w:p>
            <w:pPr>
              <w:spacing w:after="40" w:before="0" w:line="259" w:lineRule="auto"/>
            </w:pPr>
            <w:r>
              <w:rPr>
                <w:rFonts w:ascii="Calibri" w:hAnsi="Calibri"/>
                <w:b w:val="0"/>
                <w:i w:val="0"/>
                <w:color w:val="212121"/>
                <w:sz w:val="16"/>
              </w:rPr>
              <w:t>Advanced COPD, chronic hypoxaemia</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Pulmonary hypertension marks advanced disease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Cooking fuel, kitchen ventilation, residential PM zone, occupation, tobacco/second-hand smoke</w:t>
            </w:r>
          </w:p>
        </w:tc>
        <w:tc>
          <w:tcPr>
            <w:tcW w:type="dxa" w:w="950"/>
            <w:vAlign w:val="top"/>
          </w:tcPr>
          <w:p>
            <w:pPr>
              <w:spacing w:after="40" w:before="0" w:line="259" w:lineRule="auto"/>
            </w:pPr>
            <w:r>
              <w:rPr>
                <w:rFonts w:ascii="Calibri" w:hAnsi="Calibri"/>
                <w:b w:val="0"/>
                <w:i w:val="0"/>
                <w:color w:val="212121"/>
                <w:sz w:val="16"/>
              </w:rPr>
              <w:t>Clean fuel, low-exposure area, non-smoker</w:t>
            </w:r>
          </w:p>
        </w:tc>
        <w:tc>
          <w:tcPr>
            <w:tcW w:type="dxa" w:w="950"/>
            <w:vAlign w:val="top"/>
          </w:tcPr>
          <w:p>
            <w:pPr>
              <w:spacing w:after="40" w:before="0" w:line="259" w:lineRule="auto"/>
            </w:pPr>
            <w:r>
              <w:rPr>
                <w:rFonts w:ascii="Calibri" w:hAnsi="Calibri"/>
                <w:b w:val="0"/>
                <w:i w:val="0"/>
                <w:color w:val="212121"/>
                <w:sz w:val="16"/>
              </w:rPr>
              <w:t>Solid-fuel cooking, high-PM residence, dusty job, smoking</w:t>
            </w:r>
          </w:p>
        </w:tc>
        <w:tc>
          <w:tcPr>
            <w:tcW w:type="dxa" w:w="1036"/>
            <w:vAlign w:val="top"/>
          </w:tcPr>
          <w:p>
            <w:pPr>
              <w:spacing w:after="40" w:before="0" w:line="259" w:lineRule="auto"/>
            </w:pPr>
            <w:r>
              <w:rPr>
                <w:rFonts w:ascii="Calibri" w:hAnsi="Calibri"/>
                <w:b w:val="0"/>
                <w:i w:val="0"/>
                <w:color w:val="212121"/>
                <w:sz w:val="16"/>
              </w:rPr>
              <w:t>Establishes the causal/aggravating pollutant link central to diagnosis</w:t>
            </w:r>
          </w:p>
        </w:tc>
        <w:tc>
          <w:tcPr>
            <w:tcW w:type="dxa" w:w="1036"/>
            <w:vAlign w:val="top"/>
          </w:tcPr>
          <w:p>
            <w:pPr>
              <w:spacing w:after="40" w:before="0" w:line="259" w:lineRule="auto"/>
            </w:pPr>
            <w:r>
              <w:rPr>
                <w:rFonts w:ascii="Calibri" w:hAnsi="Calibri"/>
                <w:b w:val="0"/>
                <w:i w:val="0"/>
                <w:color w:val="212121"/>
                <w:sz w:val="16"/>
              </w:rPr>
              <w:t>Women cooks, urban/roadside residents, dust-exposed workers</w:t>
            </w:r>
          </w:p>
        </w:tc>
        <w:tc>
          <w:tcPr>
            <w:tcW w:type="dxa" w:w="720"/>
            <w:vAlign w:val="top"/>
          </w:tcPr>
          <w:p>
            <w:pPr>
              <w:spacing w:after="40" w:before="0" w:line="259" w:lineRule="auto"/>
            </w:pPr>
            <w:r>
              <w:rPr>
                <w:rFonts w:ascii="Calibri" w:hAnsi="Calibri"/>
                <w:b w:val="0"/>
                <w:i w:val="0"/>
                <w:color w:val="212121"/>
                <w:sz w:val="16"/>
              </w:rPr>
              <w:t>Hygiene; Provoking factors; 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years of solid-fuel use and pack-years of tobacco</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Chronic cough, sputum, wheeze, exertional breathlessness, recurrent LRTI, seasonal worsening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often worse in winter/smog season</w:t>
            </w:r>
          </w:p>
        </w:tc>
        <w:tc>
          <w:tcPr>
            <w:tcW w:type="dxa" w:w="1036"/>
            <w:vAlign w:val="top"/>
          </w:tcPr>
          <w:p>
            <w:pPr>
              <w:spacing w:after="40" w:before="0" w:line="259" w:lineRule="auto"/>
            </w:pPr>
            <w:r>
              <w:rPr>
                <w:rFonts w:ascii="Calibri" w:hAnsi="Calibri"/>
                <w:b w:val="0"/>
                <w:i w:val="0"/>
                <w:color w:val="212121"/>
                <w:sz w:val="16"/>
              </w:rPr>
              <w:t>Defines the respiratory syndrome and its pollution-linked pattern</w:t>
            </w:r>
          </w:p>
        </w:tc>
        <w:tc>
          <w:tcPr>
            <w:tcW w:type="dxa" w:w="1036"/>
            <w:vAlign w:val="top"/>
          </w:tcPr>
          <w:p>
            <w:pPr>
              <w:spacing w:after="40" w:before="0" w:line="259" w:lineRule="auto"/>
            </w:pPr>
            <w:r>
              <w:rPr>
                <w:rFonts w:ascii="Calibri" w:hAnsi="Calibri"/>
                <w:b w:val="0"/>
                <w:i w:val="0"/>
                <w:color w:val="212121"/>
                <w:sz w:val="16"/>
              </w:rPr>
              <w:t>Adults with chronic symptoms, children with recurrent infections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symptom flares during stubble-burning and festivals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TB &amp; comorbidity history</w:t>
            </w:r>
          </w:p>
        </w:tc>
        <w:tc>
          <w:tcPr>
            <w:tcW w:type="dxa" w:w="979"/>
            <w:vAlign w:val="top"/>
          </w:tcPr>
          <w:p>
            <w:pPr>
              <w:spacing w:after="40" w:before="0" w:line="259" w:lineRule="auto"/>
            </w:pPr>
            <w:r>
              <w:rPr>
                <w:rFonts w:ascii="Calibri" w:hAnsi="Calibri"/>
                <w:b w:val="0"/>
                <w:i w:val="0"/>
                <w:color w:val="212121"/>
                <w:sz w:val="16"/>
              </w:rPr>
              <w:t>Prior/active TB, cardiac disease, diabetes, atopy, prior lung disease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TB or cardiometabolic/atopic history</w:t>
            </w:r>
          </w:p>
        </w:tc>
        <w:tc>
          <w:tcPr>
            <w:tcW w:type="dxa" w:w="1036"/>
            <w:vAlign w:val="top"/>
          </w:tcPr>
          <w:p>
            <w:pPr>
              <w:spacing w:after="40" w:before="0" w:line="259" w:lineRule="auto"/>
            </w:pPr>
            <w:r>
              <w:rPr>
                <w:rFonts w:ascii="Calibri" w:hAnsi="Calibri"/>
                <w:b w:val="0"/>
                <w:i w:val="0"/>
                <w:color w:val="212121"/>
                <w:sz w:val="16"/>
              </w:rPr>
              <w:t>Identifies overlapping and confounding conditions that alter management</w:t>
            </w:r>
          </w:p>
        </w:tc>
        <w:tc>
          <w:tcPr>
            <w:tcW w:type="dxa" w:w="1036"/>
            <w:vAlign w:val="top"/>
          </w:tcPr>
          <w:p>
            <w:pPr>
              <w:spacing w:after="40" w:before="0" w:line="259" w:lineRule="auto"/>
            </w:pPr>
            <w:r>
              <w:rPr>
                <w:rFonts w:ascii="Calibri" w:hAnsi="Calibri"/>
                <w:b w:val="0"/>
                <w:i w:val="0"/>
                <w:color w:val="212121"/>
                <w:sz w:val="16"/>
              </w:rPr>
              <w:t>High-TB-burden communities, cardiometabolic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Post-TB obstruction commonly coexists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General examination</w:t>
            </w:r>
          </w:p>
        </w:tc>
        <w:tc>
          <w:tcPr>
            <w:tcW w:type="dxa" w:w="979"/>
            <w:vAlign w:val="top"/>
          </w:tcPr>
          <w:p>
            <w:pPr>
              <w:spacing w:after="40" w:before="0" w:line="259" w:lineRule="auto"/>
            </w:pPr>
            <w:r>
              <w:rPr>
                <w:rFonts w:ascii="Calibri" w:hAnsi="Calibri"/>
                <w:b w:val="0"/>
                <w:i w:val="0"/>
                <w:color w:val="212121"/>
                <w:sz w:val="16"/>
              </w:rPr>
              <w:t>Respiratory distress, central cyanosis, digital clubbing, pallor</w:t>
            </w:r>
          </w:p>
        </w:tc>
        <w:tc>
          <w:tcPr>
            <w:tcW w:type="dxa" w:w="950"/>
            <w:vAlign w:val="top"/>
          </w:tcPr>
          <w:p>
            <w:pPr>
              <w:spacing w:after="40" w:before="0" w:line="259" w:lineRule="auto"/>
            </w:pPr>
            <w:r>
              <w:rPr>
                <w:rFonts w:ascii="Calibri" w:hAnsi="Calibri"/>
                <w:b w:val="0"/>
                <w:i w:val="0"/>
                <w:color w:val="212121"/>
                <w:sz w:val="16"/>
              </w:rPr>
              <w:t>Comfortable, no cyanosis or clubbing</w:t>
            </w:r>
          </w:p>
        </w:tc>
        <w:tc>
          <w:tcPr>
            <w:tcW w:type="dxa" w:w="950"/>
            <w:vAlign w:val="top"/>
          </w:tcPr>
          <w:p>
            <w:pPr>
              <w:spacing w:after="40" w:before="0" w:line="259" w:lineRule="auto"/>
            </w:pPr>
            <w:r>
              <w:rPr>
                <w:rFonts w:ascii="Calibri" w:hAnsi="Calibri"/>
                <w:b w:val="0"/>
                <w:i w:val="0"/>
                <w:color w:val="212121"/>
                <w:sz w:val="16"/>
              </w:rPr>
              <w:t>Distress, cyanosis; clubbing suggests cancer/ILD/bronchiectasis</w:t>
            </w:r>
          </w:p>
        </w:tc>
        <w:tc>
          <w:tcPr>
            <w:tcW w:type="dxa" w:w="1036"/>
            <w:vAlign w:val="top"/>
          </w:tcPr>
          <w:p>
            <w:pPr>
              <w:spacing w:after="40" w:before="0" w:line="259" w:lineRule="auto"/>
            </w:pPr>
            <w:r>
              <w:rPr>
                <w:rFonts w:ascii="Calibri" w:hAnsi="Calibri"/>
                <w:b w:val="0"/>
                <w:i w:val="0"/>
                <w:color w:val="212121"/>
                <w:sz w:val="16"/>
              </w:rPr>
              <w:t>Flags hypoxaemia and possible malignancy or suppurative disease</w:t>
            </w:r>
          </w:p>
        </w:tc>
        <w:tc>
          <w:tcPr>
            <w:tcW w:type="dxa" w:w="1036"/>
            <w:vAlign w:val="top"/>
          </w:tcPr>
          <w:p>
            <w:pPr>
              <w:spacing w:after="40" w:before="0" w:line="259" w:lineRule="auto"/>
            </w:pPr>
            <w:r>
              <w:rPr>
                <w:rFonts w:ascii="Calibri" w:hAnsi="Calibri"/>
                <w:b w:val="0"/>
                <w:i w:val="0"/>
                <w:color w:val="212121"/>
                <w:sz w:val="16"/>
              </w:rPr>
              <w:t>Advanced or complicated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Clubbing is not a feature of uncomplicated COPD — investigate it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Respiratory examination</w:t>
            </w:r>
          </w:p>
        </w:tc>
        <w:tc>
          <w:tcPr>
            <w:tcW w:type="dxa" w:w="979"/>
            <w:vAlign w:val="top"/>
          </w:tcPr>
          <w:p>
            <w:pPr>
              <w:spacing w:after="40" w:before="0" w:line="259" w:lineRule="auto"/>
            </w:pPr>
            <w:r>
              <w:rPr>
                <w:rFonts w:ascii="Calibri" w:hAnsi="Calibri"/>
                <w:b w:val="0"/>
                <w:i w:val="0"/>
                <w:color w:val="212121"/>
                <w:sz w:val="16"/>
              </w:rPr>
              <w:t>Barrel chest, prolonged expiration, wheeze/rhonchi, crackles, reduced air entry</w:t>
            </w:r>
          </w:p>
        </w:tc>
        <w:tc>
          <w:tcPr>
            <w:tcW w:type="dxa" w:w="950"/>
            <w:vAlign w:val="top"/>
          </w:tcPr>
          <w:p>
            <w:pPr>
              <w:spacing w:after="40" w:before="0" w:line="259" w:lineRule="auto"/>
            </w:pPr>
            <w:r>
              <w:rPr>
                <w:rFonts w:ascii="Calibri" w:hAnsi="Calibri"/>
                <w:b w:val="0"/>
                <w:i w:val="0"/>
                <w:color w:val="212121"/>
                <w:sz w:val="16"/>
              </w:rPr>
              <w:t>Vesicular breath sounds, no added sounds</w:t>
            </w:r>
          </w:p>
        </w:tc>
        <w:tc>
          <w:tcPr>
            <w:tcW w:type="dxa" w:w="950"/>
            <w:vAlign w:val="top"/>
          </w:tcPr>
          <w:p>
            <w:pPr>
              <w:spacing w:after="40" w:before="0" w:line="259" w:lineRule="auto"/>
            </w:pPr>
            <w:r>
              <w:rPr>
                <w:rFonts w:ascii="Calibri" w:hAnsi="Calibri"/>
                <w:b w:val="0"/>
                <w:i w:val="0"/>
                <w:color w:val="212121"/>
                <w:sz w:val="16"/>
              </w:rPr>
              <w:t>Hyperinflation with wheeze (COPD/asthma) or crackles (pneumonia/ILD)</w:t>
            </w:r>
          </w:p>
        </w:tc>
        <w:tc>
          <w:tcPr>
            <w:tcW w:type="dxa" w:w="1036"/>
            <w:vAlign w:val="top"/>
          </w:tcPr>
          <w:p>
            <w:pPr>
              <w:spacing w:after="40" w:before="0" w:line="259" w:lineRule="auto"/>
            </w:pPr>
            <w:r>
              <w:rPr>
                <w:rFonts w:ascii="Calibri" w:hAnsi="Calibri"/>
                <w:b w:val="0"/>
                <w:i w:val="0"/>
                <w:color w:val="212121"/>
                <w:sz w:val="16"/>
              </w:rPr>
              <w:t>Localises airflow obstruction versus consolidation</w:t>
            </w:r>
          </w:p>
        </w:tc>
        <w:tc>
          <w:tcPr>
            <w:tcW w:type="dxa" w:w="1036"/>
            <w:vAlign w:val="top"/>
          </w:tcPr>
          <w:p>
            <w:pPr>
              <w:spacing w:after="40" w:before="0" w:line="259" w:lineRule="auto"/>
            </w:pPr>
            <w:r>
              <w:rPr>
                <w:rFonts w:ascii="Calibri" w:hAnsi="Calibri"/>
                <w:b w:val="0"/>
                <w:i w:val="0"/>
                <w:color w:val="212121"/>
                <w:sz w:val="16"/>
              </w:rPr>
              <w:t>COPD, asthma, pneumonia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Silent chest in severe asthma is an emergency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Vitals &amp; oximetry</w:t>
            </w:r>
          </w:p>
        </w:tc>
        <w:tc>
          <w:tcPr>
            <w:tcW w:type="dxa" w:w="979"/>
            <w:vAlign w:val="top"/>
          </w:tcPr>
          <w:p>
            <w:pPr>
              <w:spacing w:after="40" w:before="0" w:line="259" w:lineRule="auto"/>
            </w:pPr>
            <w:r>
              <w:rPr>
                <w:rFonts w:ascii="Calibri" w:hAnsi="Calibri"/>
                <w:b w:val="0"/>
                <w:i w:val="0"/>
                <w:color w:val="212121"/>
                <w:sz w:val="16"/>
              </w:rPr>
              <w:t>Respiratory rate, SpO2, heart rate, accessory-muscle use</w:t>
            </w:r>
          </w:p>
        </w:tc>
        <w:tc>
          <w:tcPr>
            <w:tcW w:type="dxa" w:w="950"/>
            <w:vAlign w:val="top"/>
          </w:tcPr>
          <w:p>
            <w:pPr>
              <w:spacing w:after="40" w:before="0" w:line="259" w:lineRule="auto"/>
            </w:pPr>
            <w:r>
              <w:rPr>
                <w:rFonts w:ascii="Calibri" w:hAnsi="Calibri"/>
                <w:b w:val="0"/>
                <w:i w:val="0"/>
                <w:color w:val="212121"/>
                <w:sz w:val="16"/>
              </w:rPr>
              <w:t>RR 12–20/min, SpO2 ≥ 94%</w:t>
            </w:r>
          </w:p>
        </w:tc>
        <w:tc>
          <w:tcPr>
            <w:tcW w:type="dxa" w:w="950"/>
            <w:vAlign w:val="top"/>
          </w:tcPr>
          <w:p>
            <w:pPr>
              <w:spacing w:after="40" w:before="0" w:line="259" w:lineRule="auto"/>
            </w:pPr>
            <w:r>
              <w:rPr>
                <w:rFonts w:ascii="Calibri" w:hAnsi="Calibri"/>
                <w:b w:val="0"/>
                <w:i w:val="0"/>
                <w:color w:val="212121"/>
                <w:sz w:val="16"/>
              </w:rPr>
              <w:t>Tachypnoea, SpO2 &lt; 90%, accessory-muscle use</w:t>
            </w:r>
          </w:p>
        </w:tc>
        <w:tc>
          <w:tcPr>
            <w:tcW w:type="dxa" w:w="1036"/>
            <w:vAlign w:val="top"/>
          </w:tcPr>
          <w:p>
            <w:pPr>
              <w:spacing w:after="40" w:before="0" w:line="259" w:lineRule="auto"/>
            </w:pPr>
            <w:r>
              <w:rPr>
                <w:rFonts w:ascii="Calibri" w:hAnsi="Calibri"/>
                <w:b w:val="0"/>
                <w:i w:val="0"/>
                <w:color w:val="212121"/>
                <w:sz w:val="16"/>
              </w:rPr>
              <w:t>Grades acute severity and the need for oxygen/admission</w:t>
            </w:r>
          </w:p>
        </w:tc>
        <w:tc>
          <w:tcPr>
            <w:tcW w:type="dxa" w:w="1036"/>
            <w:vAlign w:val="top"/>
          </w:tcPr>
          <w:p>
            <w:pPr>
              <w:spacing w:after="40" w:before="0" w:line="259" w:lineRule="auto"/>
            </w:pPr>
            <w:r>
              <w:rPr>
                <w:rFonts w:ascii="Calibri" w:hAnsi="Calibri"/>
                <w:b w:val="0"/>
                <w:i w:val="0"/>
                <w:color w:val="212121"/>
                <w:sz w:val="16"/>
              </w:rPr>
              <w:t>Exacerbations, severe pneumonia,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Tachypnoea is the key danger sign of childhood pneumonia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Signs of cor pulmonale</w:t>
            </w:r>
          </w:p>
        </w:tc>
        <w:tc>
          <w:tcPr>
            <w:tcW w:type="dxa" w:w="979"/>
            <w:vAlign w:val="top"/>
          </w:tcPr>
          <w:p>
            <w:pPr>
              <w:spacing w:after="40" w:before="0" w:line="259" w:lineRule="auto"/>
            </w:pPr>
            <w:r>
              <w:rPr>
                <w:rFonts w:ascii="Calibri" w:hAnsi="Calibri"/>
                <w:b w:val="0"/>
                <w:i w:val="0"/>
                <w:color w:val="212121"/>
                <w:sz w:val="16"/>
              </w:rPr>
              <w:t>Raised JVP, hepatomegaly, pedal oedema, loud P2</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in advanced chronic disease</w:t>
            </w:r>
          </w:p>
        </w:tc>
        <w:tc>
          <w:tcPr>
            <w:tcW w:type="dxa" w:w="1036"/>
            <w:vAlign w:val="top"/>
          </w:tcPr>
          <w:p>
            <w:pPr>
              <w:spacing w:after="40" w:before="0" w:line="259" w:lineRule="auto"/>
            </w:pPr>
            <w:r>
              <w:rPr>
                <w:rFonts w:ascii="Calibri" w:hAnsi="Calibri"/>
                <w:b w:val="0"/>
                <w:i w:val="0"/>
                <w:color w:val="212121"/>
                <w:sz w:val="16"/>
              </w:rPr>
              <w:t>Indicates pulmonary hypertension and right-heart failure</w:t>
            </w:r>
          </w:p>
        </w:tc>
        <w:tc>
          <w:tcPr>
            <w:tcW w:type="dxa" w:w="1036"/>
            <w:vAlign w:val="top"/>
          </w:tcPr>
          <w:p>
            <w:pPr>
              <w:spacing w:after="40" w:before="0" w:line="259" w:lineRule="auto"/>
            </w:pPr>
            <w:r>
              <w:rPr>
                <w:rFonts w:ascii="Calibri" w:hAnsi="Calibri"/>
                <w:b w:val="0"/>
                <w:i w:val="0"/>
                <w:color w:val="212121"/>
                <w:sz w:val="16"/>
              </w:rPr>
              <w:t>Advanced COPD, chronic hypoxaemia</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Marks late, high-mortality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or recurrent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cough from airway inflammation and irritation by inhaled particulates and gases.</w:t>
            </w:r>
          </w:p>
        </w:tc>
      </w:tr>
      <w:tr>
        <w:trPr>
          <w:cantSplit/>
        </w:trPr>
        <w:tc>
          <w:tcPr>
            <w:tcW w:type="dxa" w:w="2304"/>
            <w:vAlign w:val="top"/>
          </w:tcPr>
          <w:p>
            <w:pPr>
              <w:spacing w:after="40" w:before="0" w:line="259" w:lineRule="auto"/>
            </w:pPr>
            <w:r>
              <w:rPr>
                <w:rFonts w:ascii="Calibri" w:hAnsi="Calibri"/>
                <w:b/>
                <w:i w:val="0"/>
                <w:color w:val="212121"/>
                <w:sz w:val="19"/>
              </w:rPr>
              <w:t>Sputum production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Mucus hypersecretion of chronic bronchitis; may increase and change colour during infective exacerbations.</w:t>
            </w:r>
          </w:p>
        </w:tc>
      </w:tr>
      <w:tr>
        <w:trPr>
          <w:cantSplit/>
        </w:trPr>
        <w:tc>
          <w:tcPr>
            <w:tcW w:type="dxa" w:w="2304"/>
            <w:vAlign w:val="top"/>
          </w:tcPr>
          <w:p>
            <w:pPr>
              <w:spacing w:after="40" w:before="0" w:line="259" w:lineRule="auto"/>
            </w:pPr>
            <w:r>
              <w:rPr>
                <w:rFonts w:ascii="Calibri" w:hAnsi="Calibri"/>
                <w:b/>
                <w:i w:val="0"/>
                <w:color w:val="212121"/>
                <w:sz w:val="19"/>
              </w:rPr>
              <w:t>Wheeze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Musical airflow through narrowed, inflamed airways; prominent in asthma and COPD.</w:t>
            </w:r>
          </w:p>
        </w:tc>
      </w:tr>
      <w:tr>
        <w:trPr>
          <w:cantSplit/>
        </w:trPr>
        <w:tc>
          <w:tcPr>
            <w:tcW w:type="dxa" w:w="2304"/>
            <w:vAlign w:val="top"/>
          </w:tcPr>
          <w:p>
            <w:pPr>
              <w:spacing w:after="40" w:before="0" w:line="259" w:lineRule="auto"/>
            </w:pPr>
            <w:r>
              <w:rPr>
                <w:rFonts w:ascii="Calibri" w:hAnsi="Calibri"/>
                <w:b/>
                <w:i w:val="0"/>
                <w:color w:val="212121"/>
                <w:sz w:val="19"/>
              </w:rPr>
              <w:t>Exertional 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airflow obstruction and reduced gas exchange limit exercise capacity.</w:t>
            </w:r>
          </w:p>
        </w:tc>
      </w:tr>
      <w:tr>
        <w:trPr>
          <w:cantSplit/>
        </w:trPr>
        <w:tc>
          <w:tcPr>
            <w:tcW w:type="dxa" w:w="2304"/>
            <w:vAlign w:val="top"/>
          </w:tcPr>
          <w:p>
            <w:pPr>
              <w:spacing w:after="40" w:before="0" w:line="259" w:lineRule="auto"/>
            </w:pPr>
            <w:r>
              <w:rPr>
                <w:rFonts w:ascii="Calibri" w:hAnsi="Calibri"/>
                <w:b/>
                <w:i w:val="0"/>
                <w:color w:val="212121"/>
                <w:sz w:val="19"/>
              </w:rPr>
              <w:t>Chest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constriction from bronchoconstriction and airway hyper-responsiveness.</w:t>
            </w:r>
          </w:p>
        </w:tc>
      </w:tr>
      <w:tr>
        <w:trPr>
          <w:cantSplit/>
        </w:trPr>
        <w:tc>
          <w:tcPr>
            <w:tcW w:type="dxa" w:w="2304"/>
            <w:vAlign w:val="top"/>
          </w:tcPr>
          <w:p>
            <w:pPr>
              <w:spacing w:after="40" w:before="0" w:line="259" w:lineRule="auto"/>
            </w:pPr>
            <w:r>
              <w:rPr>
                <w:rFonts w:ascii="Calibri" w:hAnsi="Calibri"/>
                <w:b/>
                <w:i w:val="0"/>
                <w:color w:val="212121"/>
                <w:sz w:val="19"/>
              </w:rPr>
              <w:t>Recurrent respiratory infections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mucociliary clearance predisposes to repeated bronchitis and pneumonia, especially in children.</w:t>
            </w:r>
          </w:p>
        </w:tc>
      </w:tr>
      <w:tr>
        <w:trPr>
          <w:cantSplit/>
        </w:trPr>
        <w:tc>
          <w:tcPr>
            <w:tcW w:type="dxa" w:w="2304"/>
            <w:vAlign w:val="top"/>
          </w:tcPr>
          <w:p>
            <w:pPr>
              <w:spacing w:after="40" w:before="0" w:line="259" w:lineRule="auto"/>
            </w:pPr>
            <w:r>
              <w:rPr>
                <w:rFonts w:ascii="Calibri" w:hAnsi="Calibri"/>
                <w:b/>
                <w:i w:val="0"/>
                <w:color w:val="212121"/>
                <w:sz w:val="19"/>
              </w:rPr>
              <w:t>Eye, nose and throat irritation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Direct mucosal irritation by particulates, ozone and SO2 during high-pollution episodes.</w:t>
            </w:r>
          </w:p>
        </w:tc>
      </w:tr>
      <w:tr>
        <w:trPr>
          <w:cantSplit/>
        </w:trPr>
        <w:tc>
          <w:tcPr>
            <w:tcW w:type="dxa" w:w="2304"/>
            <w:vAlign w:val="top"/>
          </w:tcPr>
          <w:p>
            <w:pPr>
              <w:spacing w:after="40" w:before="0" w:line="259" w:lineRule="auto"/>
            </w:pPr>
            <w:r>
              <w:rPr>
                <w:rFonts w:ascii="Calibri" w:hAnsi="Calibri"/>
                <w:b/>
                <w:i w:val="0"/>
                <w:color w:val="212121"/>
                <w:sz w:val="19"/>
              </w:rPr>
              <w:t>Symptom flares during smog / stubble-burning season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Acute worsening tracking winter inversions, crop-residue burning and festival firecrackers.</w:t>
            </w:r>
          </w:p>
        </w:tc>
      </w:tr>
      <w:tr>
        <w:trPr>
          <w:cantSplit/>
        </w:trPr>
        <w:tc>
          <w:tcPr>
            <w:tcW w:type="dxa" w:w="2304"/>
            <w:vAlign w:val="top"/>
          </w:tcPr>
          <w:p>
            <w:pPr>
              <w:spacing w:after="40" w:before="0" w:line="259" w:lineRule="auto"/>
            </w:pPr>
            <w:r>
              <w:rPr>
                <w:rFonts w:ascii="Calibri" w:hAnsi="Calibri"/>
                <w:b/>
                <w:i w:val="0"/>
                <w:color w:val="212121"/>
                <w:sz w:val="19"/>
              </w:rPr>
              <w:t>Reduced exercise tolerance / fatigue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chronic hypoxaemia and increased work of breathing.</w:t>
            </w:r>
          </w:p>
        </w:tc>
      </w:tr>
      <w:tr>
        <w:trPr>
          <w:cantSplit/>
        </w:trPr>
        <w:tc>
          <w:tcPr>
            <w:tcW w:type="dxa" w:w="2304"/>
            <w:vAlign w:val="top"/>
          </w:tcPr>
          <w:p>
            <w:pPr>
              <w:spacing w:after="40" w:before="0" w:line="259" w:lineRule="auto"/>
            </w:pPr>
            <w:r>
              <w:rPr>
                <w:rFonts w:ascii="Calibri" w:hAnsi="Calibri"/>
                <w:b/>
                <w:i w:val="0"/>
                <w:color w:val="212121"/>
                <w:sz w:val="19"/>
              </w:rPr>
              <w:t>Nocturnal cough and waking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Night-time asthma symptoms and reflux-triggered cough disturb sleep.</w:t>
            </w:r>
          </w:p>
        </w:tc>
      </w:tr>
      <w:tr>
        <w:trPr>
          <w:cantSplit/>
        </w:trPr>
        <w:tc>
          <w:tcPr>
            <w:tcW w:type="dxa" w:w="2304"/>
            <w:vAlign w:val="top"/>
          </w:tcPr>
          <w:p>
            <w:pPr>
              <w:spacing w:after="40" w:before="0" w:line="259" w:lineRule="auto"/>
            </w:pPr>
            <w:r>
              <w:rPr>
                <w:rFonts w:ascii="Calibri" w:hAnsi="Calibri"/>
                <w:b/>
                <w:i w:val="0"/>
                <w:color w:val="212121"/>
                <w:sz w:val="19"/>
              </w:rPr>
              <w:t>Haemoptysis (blood-streaked sputum)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reflect infection, bronchiectasis or an underlying lung cancer — warrants investigation.</w:t>
            </w:r>
          </w:p>
        </w:tc>
      </w:tr>
      <w:tr>
        <w:trPr>
          <w:cantSplit/>
        </w:trPr>
        <w:tc>
          <w:tcPr>
            <w:tcW w:type="dxa" w:w="2304"/>
            <w:vAlign w:val="top"/>
          </w:tcPr>
          <w:p>
            <w:pPr>
              <w:spacing w:after="40" w:before="0" w:line="259" w:lineRule="auto"/>
            </w:pPr>
            <w:r>
              <w:rPr>
                <w:rFonts w:ascii="Calibri" w:hAnsi="Calibri"/>
                <w:b/>
                <w:i w:val="0"/>
                <w:color w:val="212121"/>
                <w:sz w:val="19"/>
              </w:rPr>
              <w:t>Severe acute respiratory distress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Life-threatening exacerbation or severe pneumonia during extreme smog, sometimes needing ventilation.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Tachypnoea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Raised respiratory rate; the cardinal danger sign of pneumonia in children.</w:t>
            </w:r>
          </w:p>
        </w:tc>
      </w:tr>
      <w:tr>
        <w:trPr>
          <w:cantSplit/>
        </w:trPr>
        <w:tc>
          <w:tcPr>
            <w:tcW w:type="dxa" w:w="3456"/>
            <w:vAlign w:val="top"/>
          </w:tcPr>
          <w:p>
            <w:pPr>
              <w:spacing w:after="40" w:before="0" w:line="259" w:lineRule="auto"/>
            </w:pPr>
            <w:r>
              <w:rPr>
                <w:rFonts w:ascii="Calibri" w:hAnsi="Calibri"/>
                <w:b/>
                <w:i w:val="0"/>
                <w:color w:val="212121"/>
                <w:sz w:val="19"/>
              </w:rPr>
              <w:t>Wheeze / rhonchi on auscultation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Continuous sounds from narrowed airways in asthma and COPD.</w:t>
            </w:r>
          </w:p>
        </w:tc>
      </w:tr>
      <w:tr>
        <w:trPr>
          <w:cantSplit/>
        </w:trPr>
        <w:tc>
          <w:tcPr>
            <w:tcW w:type="dxa" w:w="3456"/>
            <w:vAlign w:val="top"/>
          </w:tcPr>
          <w:p>
            <w:pPr>
              <w:spacing w:after="40" w:before="0" w:line="259" w:lineRule="auto"/>
            </w:pPr>
            <w:r>
              <w:rPr>
                <w:rFonts w:ascii="Calibri" w:hAnsi="Calibri"/>
                <w:b/>
                <w:i w:val="0"/>
                <w:color w:val="212121"/>
                <w:sz w:val="19"/>
              </w:rPr>
              <w:t>Prolonged expiratory phase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Airflow limitation lengthens expiration, often with pursed-lip breathing in COPD.</w:t>
            </w:r>
          </w:p>
        </w:tc>
      </w:tr>
      <w:tr>
        <w:trPr>
          <w:cantSplit/>
        </w:trPr>
        <w:tc>
          <w:tcPr>
            <w:tcW w:type="dxa" w:w="3456"/>
            <w:vAlign w:val="top"/>
          </w:tcPr>
          <w:p>
            <w:pPr>
              <w:spacing w:after="40" w:before="0" w:line="259" w:lineRule="auto"/>
            </w:pPr>
            <w:r>
              <w:rPr>
                <w:rFonts w:ascii="Calibri" w:hAnsi="Calibri"/>
                <w:b/>
                <w:i w:val="0"/>
                <w:color w:val="212121"/>
                <w:sz w:val="19"/>
              </w:rPr>
              <w:t>Reduced oxygen saturation (SpO2)</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Pulse-oximetry desaturation signals impaired gas exchange, worst during exacerbations.</w:t>
            </w:r>
          </w:p>
        </w:tc>
      </w:tr>
      <w:tr>
        <w:trPr>
          <w:cantSplit/>
        </w:trPr>
        <w:tc>
          <w:tcPr>
            <w:tcW w:type="dxa" w:w="3456"/>
            <w:vAlign w:val="top"/>
          </w:tcPr>
          <w:p>
            <w:pPr>
              <w:spacing w:after="40" w:before="0" w:line="259" w:lineRule="auto"/>
            </w:pPr>
            <w:r>
              <w:rPr>
                <w:rFonts w:ascii="Calibri" w:hAnsi="Calibri"/>
                <w:b/>
                <w:i w:val="0"/>
                <w:color w:val="212121"/>
                <w:sz w:val="19"/>
              </w:rPr>
              <w:t>Crackles / crepitations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Heard over consolidation (pneumonia) or fibrotic/interstitial change.</w:t>
            </w:r>
          </w:p>
        </w:tc>
      </w:tr>
      <w:tr>
        <w:trPr>
          <w:cantSplit/>
        </w:trPr>
        <w:tc>
          <w:tcPr>
            <w:tcW w:type="dxa" w:w="3456"/>
            <w:vAlign w:val="top"/>
          </w:tcPr>
          <w:p>
            <w:pPr>
              <w:spacing w:after="40" w:before="0" w:line="259" w:lineRule="auto"/>
            </w:pPr>
            <w:r>
              <w:rPr>
                <w:rFonts w:ascii="Calibri" w:hAnsi="Calibri"/>
                <w:b/>
                <w:i w:val="0"/>
                <w:color w:val="212121"/>
                <w:sz w:val="19"/>
              </w:rPr>
              <w:t>Use of accessory muscles of respiration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Recruitment of neck and intercostal muscles indicates increased work of breathing.</w:t>
            </w:r>
          </w:p>
        </w:tc>
      </w:tr>
      <w:tr>
        <w:trPr>
          <w:cantSplit/>
        </w:trPr>
        <w:tc>
          <w:tcPr>
            <w:tcW w:type="dxa" w:w="3456"/>
            <w:vAlign w:val="top"/>
          </w:tcPr>
          <w:p>
            <w:pPr>
              <w:spacing w:after="40" w:before="0" w:line="259" w:lineRule="auto"/>
            </w:pPr>
            <w:r>
              <w:rPr>
                <w:rFonts w:ascii="Calibri" w:hAnsi="Calibri"/>
                <w:b/>
                <w:i w:val="0"/>
                <w:color w:val="212121"/>
                <w:sz w:val="19"/>
              </w:rPr>
              <w:t>Barrel chest / hyperinflation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Increased antero-posterior diameter and hyper-resonance in established emphysema.</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Bluish tongue/lips from significant hypoxaemia in advanced or acute severe disease.</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lung cancer, bronchiectasis or interstitial disease rather than simple COPD — warrants workup.</w:t>
            </w:r>
          </w:p>
        </w:tc>
      </w:tr>
      <w:tr>
        <w:trPr>
          <w:cantSplit/>
        </w:trPr>
        <w:tc>
          <w:tcPr>
            <w:tcW w:type="dxa" w:w="3456"/>
            <w:vAlign w:val="top"/>
          </w:tcPr>
          <w:p>
            <w:pPr>
              <w:spacing w:after="40" w:before="0" w:line="259" w:lineRule="auto"/>
            </w:pPr>
            <w:r>
              <w:rPr>
                <w:rFonts w:ascii="Calibri" w:hAnsi="Calibri"/>
                <w:b/>
                <w:i w:val="0"/>
                <w:color w:val="212121"/>
                <w:sz w:val="19"/>
              </w:rPr>
              <w:t>Signs of cor pulmonale (raised JVP, pedal oedema, loud P2)</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Right-heart strain from chronic hypoxic pulmonary hypertension.</w:t>
            </w:r>
          </w:p>
        </w:tc>
      </w:tr>
      <w:tr>
        <w:trPr>
          <w:cantSplit/>
        </w:trPr>
        <w:tc>
          <w:tcPr>
            <w:tcW w:type="dxa" w:w="3456"/>
            <w:vAlign w:val="top"/>
          </w:tcPr>
          <w:p>
            <w:pPr>
              <w:spacing w:after="40" w:before="0" w:line="259" w:lineRule="auto"/>
            </w:pPr>
            <w:r>
              <w:rPr>
                <w:rFonts w:ascii="Calibri" w:hAnsi="Calibri"/>
                <w:b/>
                <w:i w:val="0"/>
                <w:color w:val="212121"/>
                <w:sz w:val="19"/>
              </w:rPr>
              <w:t>Harrison's sulcus / chest deformity in children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Chronic airway obstruction and recurrent infection can deform the growing chest wall.</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exacerbations of asthma and COPD triggered by pollution/smog peaks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lower respiratory infection — pneumonia and bronchiolitis (especially under-5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bronchitis and bronchospasm / airway hyper-responsiveness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Mucosal irritation of eyes, nose and throat</w:t>
            </w:r>
          </w:p>
        </w:tc>
        <w:tc>
          <w:tcPr>
            <w:tcW w:type="dxa" w:w="2980"/>
            <w:vAlign w:val="top"/>
          </w:tcPr>
          <w:p>
            <w:pPr>
              <w:spacing w:after="40" w:before="0" w:line="259" w:lineRule="auto"/>
            </w:pPr>
            <w:r>
              <w:rPr>
                <w:rFonts w:ascii="Calibri" w:hAnsi="Calibri"/>
                <w:b w:val="0"/>
                <w:i w:val="0"/>
                <w:color w:val="212121"/>
                <w:sz w:val="19"/>
              </w:rPr>
              <w:t>Direct, short-term airway responses to inhaled particulates and irritant gases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chronic obstructive pulmonary disease (chronic bronchitis and emphysema)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lung growth and reduced peak lung function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pneumonia and secondary bacterial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Bronchiectasis from repeated infective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hypoxaemia</w:t>
            </w:r>
          </w:p>
        </w:tc>
        <w:tc>
          <w:tcPr>
            <w:tcW w:type="dxa" w:w="2980"/>
            <w:vAlign w:val="top"/>
          </w:tcPr>
          <w:p>
            <w:pPr>
              <w:spacing w:after="40" w:before="0" w:line="259" w:lineRule="auto"/>
            </w:pPr>
            <w:r>
              <w:rPr>
                <w:rFonts w:ascii="Calibri" w:hAnsi="Calibri"/>
                <w:b w:val="0"/>
                <w:i w:val="0"/>
                <w:color w:val="212121"/>
                <w:sz w:val="19"/>
              </w:rPr>
              <w:t>Result from cumulative, longer-term exposure and repeated injury over months to years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failure requiring oxygen or ventilatory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 and 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Lung cancer (outdoor air pollution and particulate matter are Group 1 human carcinogens)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COPD with severe disability and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from cardiorespiratory disease</w:t>
            </w:r>
          </w:p>
        </w:tc>
        <w:tc>
          <w:tcPr>
            <w:tcW w:type="dxa" w:w="2980"/>
            <w:vAlign w:val="top"/>
          </w:tcPr>
          <w:p>
            <w:pPr>
              <w:spacing w:after="40" w:before="0" w:line="259" w:lineRule="auto"/>
            </w:pPr>
            <w:r>
              <w:rPr>
                <w:rFonts w:ascii="Calibri" w:hAnsi="Calibri"/>
                <w:b w:val="0"/>
                <w:i w:val="0"/>
                <w:color w:val="212121"/>
                <w:sz w:val="19"/>
              </w:rPr>
              <w:t>Irreversible, disabling and fatal end-results of longstanding pollution-related lung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obstructive pulmonary disease (COPD)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Air pollution is the largest single contributor to India's COPD burden and precipitates exacerbations.</w:t>
            </w:r>
          </w:p>
          <w:p>
            <w:pPr>
              <w:spacing w:after="40" w:before="0" w:line="259" w:lineRule="auto"/>
            </w:pPr>
            <w:r>
              <w:rPr>
                <w:rFonts w:ascii="Calibri" w:hAnsi="Calibri"/>
                <w:b/>
                <w:i w:val="0"/>
                <w:color w:val="212121"/>
                <w:sz w:val="19"/>
              </w:rPr>
              <w:t>53.7% of COPD DALYs (India)</w:t>
            </w:r>
          </w:p>
        </w:tc>
      </w:tr>
      <w:tr>
        <w:trPr>
          <w:cantSplit/>
        </w:trPr>
        <w:tc>
          <w:tcPr>
            <w:tcW w:type="dxa" w:w="2232"/>
            <w:vAlign w:val="top"/>
          </w:tcPr>
          <w:p>
            <w:pPr>
              <w:spacing w:after="40" w:before="0" w:line="259" w:lineRule="auto"/>
            </w:pPr>
            <w:r>
              <w:rPr>
                <w:rFonts w:ascii="Calibri" w:hAnsi="Calibri"/>
                <w:b/>
                <w:i w:val="0"/>
                <w:color w:val="212121"/>
                <w:sz w:val="19"/>
              </w:rPr>
              <w:t>Asthma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Particulates and irritant gases provoke exacerbations and may contribute to new-onset disease.</w:t>
            </w:r>
          </w:p>
          <w:p>
            <w:pPr>
              <w:spacing w:after="40" w:before="0" w:line="259" w:lineRule="auto"/>
            </w:pPr>
            <w:r>
              <w:rPr>
                <w:rFonts w:ascii="Calibri" w:hAnsi="Calibri"/>
                <w:b/>
                <w:i w:val="0"/>
                <w:color w:val="212121"/>
                <w:sz w:val="19"/>
              </w:rPr>
              <w:t>37.9 million cases (India, 2016)</w:t>
            </w:r>
          </w:p>
        </w:tc>
      </w:tr>
      <w:tr>
        <w:trPr>
          <w:cantSplit/>
        </w:trPr>
        <w:tc>
          <w:tcPr>
            <w:tcW w:type="dxa" w:w="2232"/>
            <w:vAlign w:val="top"/>
          </w:tcPr>
          <w:p>
            <w:pPr>
              <w:spacing w:after="40" w:before="0" w:line="259" w:lineRule="auto"/>
            </w:pPr>
            <w:r>
              <w:rPr>
                <w:rFonts w:ascii="Calibri" w:hAnsi="Calibri"/>
                <w:b/>
                <w:i w:val="0"/>
                <w:color w:val="212121"/>
                <w:sz w:val="19"/>
              </w:rPr>
              <w:t>Lower respiratory infection / pneumonia (children)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Household particulate exposure is a leading cause of fatal childhood pneumonia.</w:t>
            </w:r>
          </w:p>
          <w:p>
            <w:pPr>
              <w:spacing w:after="40" w:before="0" w:line="259" w:lineRule="auto"/>
            </w:pPr>
            <w:r>
              <w:rPr>
                <w:rFonts w:ascii="Calibri" w:hAnsi="Calibri"/>
                <w:b/>
                <w:i w:val="0"/>
                <w:color w:val="212121"/>
                <w:sz w:val="19"/>
              </w:rPr>
              <w:t>~half of under-5 LRI deaths (HAP)</w:t>
            </w:r>
          </w:p>
        </w:tc>
      </w:tr>
      <w:tr>
        <w:trPr>
          <w:cantSplit/>
        </w:trPr>
        <w:tc>
          <w:tcPr>
            <w:tcW w:type="dxa" w:w="2232"/>
            <w:vAlign w:val="top"/>
          </w:tcPr>
          <w:p>
            <w:pPr>
              <w:spacing w:after="40" w:before="0" w:line="259" w:lineRule="auto"/>
            </w:pPr>
            <w:r>
              <w:rPr>
                <w:rFonts w:ascii="Calibri" w:hAnsi="Calibri"/>
                <w:b/>
                <w:i w:val="0"/>
                <w:color w:val="212121"/>
                <w:sz w:val="19"/>
              </w:rPr>
              <w:t>Lung cancer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Outdoor air pollution and particulate matter are IARC Group 1 carcinogens.</w:t>
            </w:r>
          </w:p>
          <w:p>
            <w:pPr>
              <w:spacing w:after="40" w:before="0" w:line="259" w:lineRule="auto"/>
            </w:pPr>
            <w:r>
              <w:rPr>
                <w:rFonts w:ascii="Calibri" w:hAnsi="Calibri"/>
                <w:b/>
                <w:i w:val="0"/>
                <w:color w:val="212121"/>
                <w:sz w:val="19"/>
              </w:rPr>
              <w:t>4–6% of air-pollution deaths</w:t>
            </w:r>
          </w:p>
        </w:tc>
      </w:tr>
      <w:tr>
        <w:trPr>
          <w:cantSplit/>
        </w:trPr>
        <w:tc>
          <w:tcPr>
            <w:tcW w:type="dxa" w:w="2232"/>
            <w:vAlign w:val="top"/>
          </w:tcPr>
          <w:p>
            <w:pPr>
              <w:spacing w:after="40" w:before="0" w:line="259" w:lineRule="auto"/>
            </w:pPr>
            <w:r>
              <w:rPr>
                <w:rFonts w:ascii="Calibri" w:hAnsi="Calibri"/>
                <w:b/>
                <w:i w:val="0"/>
                <w:color w:val="212121"/>
                <w:sz w:val="19"/>
              </w:rPr>
              <w:t>Ischaemic heart disease &amp; stroke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PM2.5-driven systemic inflammation; cardiovascular comorbidity worsens respiratory outcomes.</w:t>
            </w:r>
          </w:p>
          <w:p>
            <w:pPr>
              <w:spacing w:after="40" w:before="0" w:line="259" w:lineRule="auto"/>
            </w:pPr>
            <w:r>
              <w:rPr>
                <w:rFonts w:ascii="Calibri" w:hAnsi="Calibri"/>
                <w:b/>
                <w:i w:val="0"/>
                <w:color w:val="212121"/>
                <w:sz w:val="19"/>
              </w:rPr>
              <w:t>68% of ambient-pollution deaths</w:t>
            </w:r>
          </w:p>
        </w:tc>
      </w:tr>
      <w:tr>
        <w:trPr>
          <w:cantSplit/>
        </w:trPr>
        <w:tc>
          <w:tcPr>
            <w:tcW w:type="dxa" w:w="2232"/>
            <w:vAlign w:val="top"/>
          </w:tcPr>
          <w:p>
            <w:pPr>
              <w:spacing w:after="40" w:before="0" w:line="259" w:lineRule="auto"/>
            </w:pPr>
            <w:r>
              <w:rPr>
                <w:rFonts w:ascii="Calibri" w:hAnsi="Calibri"/>
                <w:b/>
                <w:i w:val="0"/>
                <w:color w:val="212121"/>
                <w:sz w:val="19"/>
              </w:rPr>
              <w:t>Tuberculosis / post-TB lung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Biomass and ambient smoke are linked to higher TB risk; pollution compounds post-TB airflow obstruction in India.</w:t>
            </w:r>
          </w:p>
        </w:tc>
      </w:tr>
      <w:tr>
        <w:trPr>
          <w:cantSplit/>
        </w:trPr>
        <w:tc>
          <w:tcPr>
            <w:tcW w:type="dxa" w:w="2232"/>
            <w:vAlign w:val="top"/>
          </w:tcPr>
          <w:p>
            <w:pPr>
              <w:spacing w:after="40" w:before="0" w:line="259" w:lineRule="auto"/>
            </w:pPr>
            <w:r>
              <w:rPr>
                <w:rFonts w:ascii="Calibri" w:hAnsi="Calibri"/>
                <w:b/>
                <w:i w:val="0"/>
                <w:color w:val="212121"/>
                <w:sz w:val="19"/>
              </w:rPr>
              <w:t>Allergic rhinitis / atopy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airway inflammation with pollution-triggered asthma and frequently coexists.</w:t>
            </w:r>
          </w:p>
        </w:tc>
      </w:tr>
      <w:tr>
        <w:trPr>
          <w:cantSplit/>
        </w:trPr>
        <w:tc>
          <w:tcPr>
            <w:tcW w:type="dxa" w:w="2232"/>
            <w:vAlign w:val="top"/>
          </w:tcPr>
          <w:p>
            <w:pPr>
              <w:spacing w:after="40" w:before="0" w:line="259" w:lineRule="auto"/>
            </w:pPr>
            <w:r>
              <w:rPr>
                <w:rFonts w:ascii="Calibri" w:hAnsi="Calibri"/>
                <w:b/>
                <w:i w:val="0"/>
                <w:color w:val="212121"/>
                <w:sz w:val="19"/>
              </w:rPr>
              <w:t>Bronchiectasis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Recurrent pollution-related infection can cause permanent airway dilatation and chronic suppuration.</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inflammation from PM2.5 and shared risk clustering worsen infection risk and disease control.</w:t>
            </w:r>
          </w:p>
        </w:tc>
      </w:tr>
      <w:tr>
        <w:trPr>
          <w:cantSplit/>
        </w:trPr>
        <w:tc>
          <w:tcPr>
            <w:tcW w:type="dxa" w:w="2232"/>
            <w:vAlign w:val="top"/>
          </w:tcPr>
          <w:p>
            <w:pPr>
              <w:spacing w:after="40" w:before="0" w:line="259" w:lineRule="auto"/>
            </w:pPr>
            <w:r>
              <w:rPr>
                <w:rFonts w:ascii="Calibri" w:hAnsi="Calibri"/>
                <w:b/>
                <w:i w:val="0"/>
                <w:color w:val="212121"/>
                <w:sz w:val="19"/>
              </w:rPr>
              <w:t>Adverse pregnancy outcomes (low birth weight, preterm birth)</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Maternal ambient and household PM exposure is linked to low birth weight and impaired infant lung development.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from solid biomass/coal to clean cooking fuels (LPG, electricity, biogas) and improve kitchen ventilation with a chimney or exhaust.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Check the daily Air Quality Index (AQI) and avoid outdoor exertion when air quality is Poor, Very poor or Severe.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 the elderly and those with heart/lung disease indoors during smog episodes, stubble-burning season and around firecracker festivals.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well-fitted N95/FFP2 respirator (ordinary cloth masks do not filter PM2.5) on high-pollution days when outdoor exposure is unavoidable.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home smoke-free — no indoor tobacco smoking, incense or waste-burning — and consider a HEPA air purifier for the sleeping area where feasible.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up vaccinations (pneumococcal and influenza for adults; measles and pneumococcal for children) to reduce pollution-related infections.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biomass cooks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and cardiorespiratory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roadside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correct inhaler and spacer technique and adherence to prescribed bronchodilators/inhaled steroids for asthma and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written action plan for recognising and treating exacerbations early, with clear criteria for seeking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tuberculosis is excluded and, where present, fully treated before attributing all symptoms to pollution.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regular spirometry and follow-up to track lung-function decline and adjust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Asthma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Post-TB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Recurrent-pneumonia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eligible COPD and chronic-lung-disease patients in pulmonary rehabilitation with graded aerobic and strength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breathing techniques (pursed-lip and diaphragmatic breathing) to ease breathlessness.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Exercise indoors or at low-traffic times and locations, and avoid strenuous outdoor activity on high-AQI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activity to preserve cardiorespiratory fitness between pollution peaks.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Post-exacerbation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lung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with plenty of fruits, vegetables and whole grains to help buffer oxidative airway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calories, and continue breastfeeding, so children resist pollution-related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micronutrient deficiencies (vitamin A, C, D, zinc) that impair immunity and lung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to keep airway secretions loose and aid clearance of inhaled particles.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and pregnant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smoke-free and, where possible, filter or ventilate sleeping-area 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nocturnal asthma symptoms and reflux, and elevate the head of the bed if cough disturbs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adequate, regular sleep to support immune defence against respiratory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Asthma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night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residents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cigarettes, bidis and hookah — the single most effective step to reduce personal inhaled pollutant load and slow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and pharmacotherapy) and set a firm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second-hand smoke exposure for children and non-smoking family members by keeping the home and vehicle smoke-free.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clean-fuel cooking to remove the two dominant indoor pollutant sources together.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and bidi/hookah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Biomass-cooking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as heavy use raises aspiration and pneumonia risk and can reduce adherence to inhaled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acute respiratory illness and when sedation could impair the cough reflex.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alcohol-use disorder as part of overall respiratory risk reduction.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Recurrent-pneumonia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Non-adherent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the anxiety and depression that commonly accompany chronic breathlessness and polluted living conditions.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to long-term inhaled and preventive therapy through counselling and reminders.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caregiver and community support for the elderly and for families managing childhood respiratory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tobacco and alcohol dependence as part of holistic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COPD/asthma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substance dependence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household-air-pollution-and-health" TargetMode="External"/><Relationship Id="rId10" Type="http://schemas.openxmlformats.org/officeDocument/2006/relationships/hyperlink" Target="https://www.who.int/news-room/fact-sheets/detail/ambient-(outdoor)-air-quality-and-health" TargetMode="External"/><Relationship Id="rId11" Type="http://schemas.openxmlformats.org/officeDocument/2006/relationships/hyperlink" Target="https://pmc.ncbi.nlm.nih.gov/articles/PMC6227385/" TargetMode="External"/><Relationship Id="rId12" Type="http://schemas.openxmlformats.org/officeDocument/2006/relationships/hyperlink" Target="https://pmc.ncbi.nlm.nih.gov/articles/PMC7805008/" TargetMode="External"/><Relationship Id="rId13" Type="http://schemas.openxmlformats.org/officeDocument/2006/relationships/hyperlink" Target="https://www.who.int/india/health-topics/tobacco" TargetMode="External"/><Relationship Id="rId14" Type="http://schemas.openxmlformats.org/officeDocument/2006/relationships/hyperlink" Target="https://www.who.int/news/item/22-09-2021-new-who-global-air-quality-guidelines-aim-to-save-millions-of-lives-from-air-pol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