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Non-Alcoholic Fatty Liver Disease</w:t>
      </w:r>
    </w:p>
    <w:p>
      <w:pPr>
        <w:spacing w:before="0" w:after="160"/>
      </w:pPr>
      <w:r>
        <w:rPr>
          <w:rFonts w:ascii="Calibri" w:hAnsi="Calibri"/>
          <w:b/>
          <w:i w:val="0"/>
          <w:color w:val="212121"/>
          <w:sz w:val="22"/>
        </w:rPr>
        <w:t xml:space="preserve">AKA </w:t>
      </w:r>
      <w:r>
        <w:rPr>
          <w:rFonts w:ascii="Calibri" w:hAnsi="Calibri"/>
          <w:b w:val="0"/>
          <w:i w:val="0"/>
          <w:color w:val="212121"/>
          <w:sz w:val="22"/>
        </w:rPr>
        <w:t>i.e., NAFLD; Fatty liver; Hepatic steatosis; now re-termed Metabolic Dysfunction-Associated Steatotic Liver Disease (MASLD) under the 2023 nomenclature; steatohepatitis form = NASH / MASH</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Non-Alcoholic Fatty Liver Disease (NAFLD) is a chronic metabolic liver disorder defined by the accumulation of fat in more than 5% of hepatocytes (hepatic steatosis) in people who do not consume significant alcohol and have no other identifiable cause of liver fat. It spans a spectrum from simple steatosis (NAFL) through non-alcoholic steatohepatitis (NASH) with inflammation and hepatocyte injury, to fibrosis, cirrhosis and hepatocellular carcinoma. In 2023 an international consensus renamed the entity Metabolic Dysfunction-Associated Steatotic Liver Disease (MASLD), requiring hepatic steatosis plus at least one cardiometabolic risk factor; it is now regarded as the hepatic manifestation of the metabolic syndrome.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NAFLD is the commonest chronic liver disease in India. A systematic review and meta-analysis estimated a pooled prevalence of about 38.6% among Indian adults, though community-based studies range widely (roughly 9-32%) and clinic/hospital cohorts screened for metabolic dysfunction report up to ~68%. Prevalence rises steeply with metabolic disease: about 56.5% of Indian type 2 diabetics have NAFLD. In effect, roughly 1 in 3 Indian adults is affected, and the burden is now rising in rural as well as urban populations.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NAFLD (MASLD) is diagnosed by demonstrating hepatic steatosis together with exclusion of significant alcohol intake and other secondary causes; the 2023 MASLD criteria additionally require at least one cardiometabolic risk factor. Fibrosis is then risk-stratified with non-invasive scores and elastography. Key diagnostic elements: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Hepatic steatosis (fat in &gt;5% of hepatocytes) demonstrated by imaging or histology: abdominal ultrasound shows increased hepatic echogenicity (bright liver); controlled attenuation parameter (CAP) on transient elastography, or MRI proton-density fat fraction (MRI-PDFF &gt;=5%) quantify fat more accurately.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significant alcohol: intake below ~20 g/day for women and ~30 g/day for men (the older NAFLD threshold); under the 2023 scheme, alcohol above 140 g/week (women) or 210 g/week (men) reclassifies the patient as MetALD.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competing causes of steatosis: chronic viral hepatitis (especially HCV genotype 3), autoimmune and Wilson disease, and steatogenic drugs (corticosteroids, tamoxifen, amiodarone, methotrexate, valproate, antiretrovirals).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For a positive MASLD label: hepatic steatosis PLUS at least one of five cardiometabolic criteria - BMI &gt;=23 kg/m2 (Asian cut-off) or waist &gt;90 cm (M)/&gt;80 cm (F); fasting glucose &gt;=100 mg/dL, HbA1c &gt;=5.7% or type 2 diabetes; BP &gt;=130/85 mmHg or treatment; triglycerides &gt;=150 mg/dL or treatment; HDL &lt;=40 mg/dL (M)/&lt;=50 mg/dL (F) or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Fibrosis risk stratification: serum FIB-4 index and the NAFLD Fibrosis Score are first-line (FIB-4 &lt;1.3 = low risk); liver stiffness on vibration-controlled transient elastography (FibroScan) or MR elastography refines risk in intermediate/high scores.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Liver biopsy remains the gold standard to confirm steatohepatitis (NASH/MASH: steatosis + lobular inflammation + hepatocyte ballooning) and to stage fibrosis, but is reserved for diagnostic uncertainty or advanced-fibrosis assessment.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Under the 2023 consensus, fatty liver is grouped under the umbrella term Steatotic Liver Disease (SLD) and sub-classified by cause; the classical NAFLD spectrum is further graded histologically and by fibrosis stage:</w:t>
      </w:r>
    </w:p>
    <w:p>
      <w:pPr>
        <w:spacing w:before="0" w:after="80"/>
      </w:pPr>
      <w:r>
        <w:rPr>
          <w:rFonts w:ascii="Calibri" w:hAnsi="Calibri"/>
          <w:b w:val="0"/>
          <w:i w:val="0"/>
          <w:color w:val="212121"/>
          <w:sz w:val="21"/>
        </w:rPr>
        <w:t>(1) Steatotic Liver Disease (SLD) umbrella - MASLD (steatosis + &gt;=1 cardiometabolic factor, no/low alcohol), MetALD (MASLD with moderate alcohol), pure alcohol-related liver disease (ALD), specific-aetiology SLD (drug-induced, monogenic, HCV, etc.) and cryptogenic SLD. NAFLD maps almost entirely onto MASLD.</w:t>
      </w:r>
    </w:p>
    <w:p>
      <w:pPr>
        <w:spacing w:before="0" w:after="80"/>
      </w:pPr>
      <w:r>
        <w:rPr>
          <w:rFonts w:ascii="Calibri" w:hAnsi="Calibri"/>
          <w:b w:val="0"/>
          <w:i w:val="0"/>
          <w:color w:val="212121"/>
          <w:sz w:val="21"/>
        </w:rPr>
        <w:t>(2) Histological spectrum - Non-Alcoholic Fatty Liver (NAFL / MASL): bland steatosis without significant hepatocyte injury, generally non-progressive; versus Non-Alcoholic Steatohepatitis (NASH / MASH): steatosis with lobular inflammation and hepatocyte ballooning +/- fibrosis, the progressive, fibrogenic form.</w:t>
      </w:r>
    </w:p>
    <w:p>
      <w:pPr>
        <w:spacing w:before="0" w:after="80"/>
      </w:pPr>
      <w:r>
        <w:rPr>
          <w:rFonts w:ascii="Calibri" w:hAnsi="Calibri"/>
          <w:b w:val="0"/>
          <w:i w:val="0"/>
          <w:color w:val="212121"/>
          <w:sz w:val="21"/>
        </w:rPr>
        <w:t>(3) Fibrosis staging - F0 (none), F1 (mild perisinusoidal/periportal), F2 (significant, with bridging beginning), F3 (advanced/bridging fibrosis) and F4 (cirrhosis). Fibrosis stage, not steatosis, is the strongest predictor of liver-related and overall mortality.</w:t>
      </w:r>
    </w:p>
    <w:p>
      <w:pPr>
        <w:spacing w:before="0" w:after="80"/>
      </w:pPr>
      <w:r>
        <w:rPr>
          <w:rFonts w:ascii="Calibri" w:hAnsi="Calibri"/>
          <w:b w:val="0"/>
          <w:i w:val="0"/>
          <w:color w:val="212121"/>
          <w:sz w:val="21"/>
        </w:rPr>
        <w:t>(4) Ultrasound steatosis grade - Grade 1 (mild: slightly increased echogenicity), Grade 2 (moderate: obscured intrahepatic vessels/diaphragm) and Grade 3 (severe: marked echogenicity with poor deep-beam penetration), used for practical bedside grading.</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Insulin resistance: The central driver - peripheral and hepatic insulin resistance increases free-fatty-acid flux and de novo lipogenesis, causing triglyceride accumulation in hepatocytes (the 'first hit').</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Obesity and central adiposity: Excess visceral fat delivers free fatty acids and pro-inflammatory adipokines to the liver; South Asians accumulate visceral fat and develop NAFLD at lower BMI ('thin-fat' phenotype).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Type 2 diabetes and metabolic syndrome: Hyperglycaemia, dyslipidaemia and hypertension cluster with and accelerate steatosis, inflammation and fibrosis.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Dietary factors: High intake of fructose and sugar-sweetened beverages, refined carbohydrates, saturated/fried fats and ultra-processed foods promotes hepatic de novo lipogenesis and lipotoxicity.</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Genetic predisposition: Variants such as PNPLA3 (I148M), TM6SF2 and MBOAT7 increase hepatic fat retention and fibrosis risk; PNPLA3 risk alleles are common in Indians and drive lean NAFLD.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Gut-liver axis and dysbiosis: Altered microbiota, increased intestinal permeability and endotoxaemia contribute to hepatic inflammation ('multiple parallel hits').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Secondary/aggravating factors: PCOS, hypothyroidism, obstructive sleep apnoea, rapid weight loss and steatogenic drugs can precipitate or worsen hepatic steatosis.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w:t>
            </w:r>
          </w:p>
        </w:tc>
        <w:tc>
          <w:tcPr>
            <w:tcW w:type="dxa" w:w="4276"/>
            <w:vAlign w:val="top"/>
          </w:tcPr>
          <w:p>
            <w:pPr>
              <w:spacing w:after="60" w:line="259" w:lineRule="auto"/>
            </w:pPr>
            <w:r>
              <w:rPr>
                <w:rFonts w:ascii="Calibri" w:hAnsi="Calibri"/>
                <w:b w:val="0"/>
                <w:i w:val="0"/>
                <w:color w:val="212121"/>
                <w:sz w:val="19"/>
              </w:rPr>
              <w:t>Middle-aged adults (40-60 years) bear the peak burden as years of insulin resistance, visceral fat gain and dysglycaemia accumulate, promoting hepatic fat deposition and progression to steatohepatitis.</w:t>
            </w:r>
          </w:p>
          <w:p>
            <w:pPr>
              <w:spacing w:after="40" w:before="60" w:line="259" w:lineRule="auto"/>
            </w:pPr>
            <w:r>
              <w:rPr>
                <w:rFonts w:ascii="Calibri" w:hAnsi="Calibri"/>
                <w:b w:val="0"/>
                <w:i w:val="0"/>
                <w:color w:val="212121"/>
                <w:sz w:val="19"/>
              </w:rPr>
              <w:t>A systematic review/meta-analysis estimated a pooled NAFLD prevalence of about 38.6% among Indian adults - roughly one in three.</w:t>
            </w:r>
          </w:p>
          <w:p>
            <w:pPr>
              <w:spacing w:after="40" w:line="252" w:lineRule="auto"/>
            </w:pPr>
            <w:hyperlink r:id="rId9">
              <w:r>
                <w:rPr>
                  <w:rFonts w:ascii="Calibri" w:hAnsi="Calibri" w:cs="Calibri"/>
                  <w:sz w:val="18"/>
                  <w:color w:val="1155CC"/>
                  <w:u w:val="single"/>
                </w:rPr>
                <w:t xml:space="preserve">pubmed.ncbi.nlm.nih.gov/35677499</w:t>
              </w:r>
            </w:hyperlink>
          </w:p>
          <w:p>
            <w:pPr>
              <w:spacing w:before="60" w:after="40"/>
            </w:pPr>
            <w:r>
              <w:rPr>
                <w:rFonts w:ascii="Calibri" w:hAnsi="Calibri"/>
                <w:b w:val="0"/>
                <w:i w:val="0"/>
                <w:color w:val="5A5A5A"/>
                <w:sz w:val="18"/>
              </w:rPr>
              <w:t>#NAFLD  #MASLD  #insulinresistance  #metabolicsyndrome  #visceralfat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High risk. Longer exposure to metabolic drivers, sarcopenia and accumulated fibrosis mean older adults more often present with advanced fibrosis, cirrhosis and hepatocellular carcinoma.</w:t>
            </w:r>
          </w:p>
          <w:p>
            <w:pPr>
              <w:spacing w:after="40" w:before="60" w:line="259" w:lineRule="auto"/>
            </w:pPr>
            <w:r>
              <w:rPr>
                <w:rFonts w:ascii="Calibri" w:hAnsi="Calibri"/>
                <w:b w:val="0"/>
                <w:i w:val="0"/>
                <w:color w:val="212121"/>
                <w:sz w:val="19"/>
              </w:rPr>
              <w:t>In the Indian SPRINT study of type 2 diabetics, NAFLD prevalence peaked at 61.8% in the 61-70 year age group.</w:t>
            </w:r>
          </w:p>
          <w:p>
            <w:pPr>
              <w:spacing w:after="40" w:line="252" w:lineRule="auto"/>
            </w:pPr>
            <w:hyperlink r:id="rId10">
              <w:r>
                <w:rPr>
                  <w:rFonts w:ascii="Calibri" w:hAnsi="Calibri" w:cs="Calibri"/>
                  <w:sz w:val="18"/>
                  <w:color w:val="1155CC"/>
                  <w:u w:val="single"/>
                </w:rPr>
                <w:t xml:space="preserve">pubmed.ncbi.nlm.nih.gov/24772746 (SPRINT)</w:t>
              </w:r>
            </w:hyperlink>
          </w:p>
          <w:p>
            <w:pPr>
              <w:spacing w:before="60" w:after="40"/>
            </w:pPr>
            <w:r>
              <w:rPr>
                <w:rFonts w:ascii="Calibri" w:hAnsi="Calibri"/>
                <w:b w:val="0"/>
                <w:i w:val="0"/>
                <w:color w:val="5A5A5A"/>
                <w:sz w:val="18"/>
              </w:rPr>
              <w:t>#ageing  #fibrosis  #cirrhosis  #sarcopenia  #HCCrisk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(and post-menopausal women)</w:t>
            </w:r>
          </w:p>
        </w:tc>
        <w:tc>
          <w:tcPr>
            <w:tcW w:type="dxa" w:w="4276"/>
            <w:vAlign w:val="top"/>
          </w:tcPr>
          <w:p>
            <w:pPr>
              <w:spacing w:after="60" w:line="259" w:lineRule="auto"/>
            </w:pPr>
            <w:r>
              <w:rPr>
                <w:rFonts w:ascii="Calibri" w:hAnsi="Calibri"/>
                <w:b w:val="0"/>
                <w:i w:val="0"/>
                <w:color w:val="212121"/>
                <w:sz w:val="19"/>
              </w:rPr>
              <w:t>Men tend to develop NAFLD earlier and with more visceral fat, while pre-menopausal women are relatively protected by oestrogen; after menopause female risk rises and may exceed that of men.</w:t>
            </w:r>
          </w:p>
          <w:p>
            <w:pPr>
              <w:spacing w:after="40" w:before="60" w:line="259" w:lineRule="auto"/>
            </w:pPr>
            <w:r>
              <w:rPr>
                <w:rFonts w:ascii="Calibri" w:hAnsi="Calibri"/>
                <w:b w:val="0"/>
                <w:i w:val="0"/>
                <w:color w:val="212121"/>
                <w:sz w:val="19"/>
              </w:rPr>
              <w:t>Among Indian type 2 diabetics, NAFLD was found in 60% of women versus 54.3% of men, underscoring the loss of female protection in dysmetabolic states.</w:t>
            </w:r>
          </w:p>
          <w:p>
            <w:pPr>
              <w:spacing w:after="40" w:line="252" w:lineRule="auto"/>
            </w:pPr>
            <w:hyperlink r:id="rId10">
              <w:r>
                <w:rPr>
                  <w:rFonts w:ascii="Calibri" w:hAnsi="Calibri" w:cs="Calibri"/>
                  <w:sz w:val="18"/>
                  <w:color w:val="1155CC"/>
                  <w:u w:val="single"/>
                </w:rPr>
                <w:t xml:space="preserve">pubmed.ncbi.nlm.nih.gov/24772746 (SPRINT)</w:t>
              </w:r>
            </w:hyperlink>
          </w:p>
          <w:p>
            <w:pPr>
              <w:spacing w:before="60" w:after="40"/>
            </w:pPr>
            <w:r>
              <w:rPr>
                <w:rFonts w:ascii="Calibri" w:hAnsi="Calibri"/>
                <w:b w:val="0"/>
                <w:i w:val="0"/>
                <w:color w:val="5A5A5A"/>
                <w:sz w:val="18"/>
              </w:rPr>
              <w:t>#sexdifference  #oestrogen  #menopause  #visceralfat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affluent &amp; rising middle class</w:t>
            </w:r>
          </w:p>
        </w:tc>
        <w:tc>
          <w:tcPr>
            <w:tcW w:type="dxa" w:w="4276"/>
            <w:vAlign w:val="top"/>
          </w:tcPr>
          <w:p>
            <w:pPr>
              <w:spacing w:after="60" w:line="259" w:lineRule="auto"/>
            </w:pPr>
            <w:r>
              <w:rPr>
                <w:rFonts w:ascii="Calibri" w:hAnsi="Calibri"/>
                <w:b w:val="0"/>
                <w:i w:val="0"/>
                <w:color w:val="212121"/>
                <w:sz w:val="19"/>
              </w:rPr>
              <w:t>Nutrition transition - energy-dense processed diets, motorised transport and sedentary white-collar work - concentrates metabolic risk in urban middle- and upper-income groups.</w:t>
            </w:r>
          </w:p>
          <w:p>
            <w:pPr>
              <w:spacing w:after="40" w:before="60" w:line="259" w:lineRule="auto"/>
            </w:pPr>
            <w:r>
              <w:rPr>
                <w:rFonts w:ascii="Calibri" w:hAnsi="Calibri"/>
                <w:b w:val="0"/>
                <w:i w:val="0"/>
                <w:color w:val="212121"/>
                <w:sz w:val="19"/>
              </w:rPr>
              <w:t>Clinic/hospital cohorts screened for metabolic dysfunction reported MASLD in about 68.2%, far above community estimates (~38.6%), reflecting metabolic clustering.</w:t>
            </w:r>
          </w:p>
          <w:p>
            <w:pPr>
              <w:spacing w:after="40" w:line="252" w:lineRule="auto"/>
            </w:pPr>
            <w:hyperlink r:id="rId11">
              <w:r>
                <w:rPr>
                  <w:rFonts w:ascii="Calibri" w:hAnsi="Calibri" w:cs="Calibri"/>
                  <w:sz w:val="18"/>
                  <w:color w:val="1155CC"/>
                  <w:u w:val="single"/>
                </w:rPr>
                <w:t xml:space="preserve">link.springer.com - MAP study letter (Diabetes Therapy)</w:t>
              </w:r>
            </w:hyperlink>
          </w:p>
          <w:p>
            <w:pPr>
              <w:spacing w:before="60" w:after="40"/>
            </w:pPr>
            <w:r>
              <w:rPr>
                <w:rFonts w:ascii="Calibri" w:hAnsi="Calibri"/>
                <w:b w:val="0"/>
                <w:i w:val="0"/>
                <w:color w:val="5A5A5A"/>
                <w:sz w:val="18"/>
              </w:rPr>
              <w:t>#nutritiontransition  #urbanisation  #processedfood  #affluence</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Asian / Indian ('thin-fat' phenotype)</w:t>
            </w:r>
          </w:p>
        </w:tc>
        <w:tc>
          <w:tcPr>
            <w:tcW w:type="dxa" w:w="4276"/>
            <w:vAlign w:val="top"/>
          </w:tcPr>
          <w:p>
            <w:pPr>
              <w:spacing w:after="60" w:line="259" w:lineRule="auto"/>
            </w:pPr>
            <w:r>
              <w:rPr>
                <w:rFonts w:ascii="Calibri" w:hAnsi="Calibri"/>
                <w:b w:val="0"/>
                <w:i w:val="0"/>
                <w:color w:val="212121"/>
                <w:sz w:val="19"/>
              </w:rPr>
              <w:t>South Asians carry more visceral and hepatic fat with less subcutaneous and muscle mass at any given BMI, so insulin resistance and NAFLD develop at lower body weight than in Western populations - hence Asian BMI cut-offs (&gt;=23).</w:t>
            </w:r>
          </w:p>
          <w:p>
            <w:pPr>
              <w:spacing w:after="40" w:before="60" w:line="259" w:lineRule="auto"/>
            </w:pPr>
            <w:r>
              <w:rPr>
                <w:rFonts w:ascii="Calibri" w:hAnsi="Calibri"/>
                <w:b w:val="0"/>
                <w:i w:val="0"/>
                <w:color w:val="212121"/>
                <w:sz w:val="19"/>
              </w:rPr>
              <w:t>MASLD/NAFLD is diagnosed in Indians at a BMI as low as 23 kg/m2 (Asian cut-off) rather than 25 kg/m2, reflecting the thin-fat phenotype.</w:t>
            </w:r>
          </w:p>
          <w:p>
            <w:pPr>
              <w:spacing w:after="40" w:line="252" w:lineRule="auto"/>
            </w:pPr>
            <w:hyperlink r:id="rId12">
              <w:r>
                <w:rPr>
                  <w:rFonts w:ascii="Calibri" w:hAnsi="Calibri" w:cs="Calibri"/>
                  <w:sz w:val="18"/>
                  <w:color w:val="1155CC"/>
                  <w:u w:val="single"/>
                </w:rPr>
                <w:t xml:space="preserve">aasld.org - new MASLD nomenclature</w:t>
              </w:r>
            </w:hyperlink>
          </w:p>
          <w:p>
            <w:pPr>
              <w:spacing w:before="60" w:after="40"/>
            </w:pPr>
            <w:r>
              <w:rPr>
                <w:rFonts w:ascii="Calibri" w:hAnsi="Calibri"/>
                <w:b w:val="0"/>
                <w:i w:val="0"/>
                <w:color w:val="5A5A5A"/>
                <w:sz w:val="18"/>
              </w:rPr>
              <w:t>#thinfat  #SouthAsian  #visceralfat  #leanNAFLD  #PNPLA3</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Region of residence</w:t>
            </w:r>
          </w:p>
        </w:tc>
        <w:tc>
          <w:tcPr>
            <w:tcW w:type="dxa" w:w="2160"/>
            <w:vAlign w:val="top"/>
          </w:tcPr>
          <w:p>
            <w:pPr>
              <w:spacing w:after="40" w:before="0" w:line="259" w:lineRule="auto"/>
            </w:pPr>
            <w:r>
              <w:rPr>
                <w:rFonts w:ascii="Calibri" w:hAnsi="Calibri"/>
                <w:b w:val="0"/>
                <w:i w:val="0"/>
                <w:color w:val="212121"/>
                <w:sz w:val="19"/>
              </w:rPr>
              <w:t>Urban residents</w:t>
            </w:r>
          </w:p>
        </w:tc>
        <w:tc>
          <w:tcPr>
            <w:tcW w:type="dxa" w:w="4276"/>
            <w:vAlign w:val="top"/>
          </w:tcPr>
          <w:p>
            <w:pPr>
              <w:spacing w:after="60" w:line="259" w:lineRule="auto"/>
            </w:pPr>
            <w:r>
              <w:rPr>
                <w:rFonts w:ascii="Calibri" w:hAnsi="Calibri"/>
                <w:b w:val="0"/>
                <w:i w:val="0"/>
                <w:color w:val="212121"/>
                <w:sz w:val="19"/>
              </w:rPr>
              <w:t>Urban living combines calorie-dense diets, physical inactivity and higher diabetes/obesity rates, driving both a higher prevalence and more advanced fibrosis.</w:t>
            </w:r>
          </w:p>
          <w:p>
            <w:pPr>
              <w:spacing w:after="40" w:before="60" w:line="259" w:lineRule="auto"/>
            </w:pPr>
            <w:r>
              <w:rPr>
                <w:rFonts w:ascii="Calibri" w:hAnsi="Calibri"/>
                <w:b w:val="0"/>
                <w:i w:val="0"/>
                <w:color w:val="212121"/>
                <w:sz w:val="19"/>
              </w:rPr>
              <w:t>In a North-Indian study, NAFLD prevalence was 65.7% in urban versus 61.1% in rural adults, with significant fibrosis far commoner in the urban group (16.5% vs 5.2%).</w:t>
            </w:r>
          </w:p>
          <w:p>
            <w:pPr>
              <w:spacing w:after="40" w:line="252" w:lineRule="auto"/>
            </w:pPr>
            <w:hyperlink r:id="rId13">
              <w:r>
                <w:rPr>
                  <w:rFonts w:ascii="Calibri" w:hAnsi="Calibri" w:cs="Calibri"/>
                  <w:sz w:val="18"/>
                  <w:color w:val="1155CC"/>
                  <w:u w:val="single"/>
                </w:rPr>
                <w:t xml:space="preserve">journals.plos.org - North India rural-urban NAFLD</w:t>
              </w:r>
            </w:hyperlink>
          </w:p>
          <w:p>
            <w:pPr>
              <w:spacing w:before="60" w:after="40"/>
            </w:pPr>
            <w:r>
              <w:rPr>
                <w:rFonts w:ascii="Calibri" w:hAnsi="Calibri"/>
                <w:b w:val="0"/>
                <w:i w:val="0"/>
                <w:color w:val="5A5A5A"/>
                <w:sz w:val="18"/>
              </w:rPr>
              <w:t>#urban  #fibrosis  #sedentary  #diettransition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Rural population (emerging burden)</w:t>
            </w:r>
          </w:p>
        </w:tc>
        <w:tc>
          <w:tcPr>
            <w:tcW w:type="dxa" w:w="4276"/>
            <w:vAlign w:val="top"/>
          </w:tcPr>
          <w:p>
            <w:pPr>
              <w:spacing w:after="60" w:line="259" w:lineRule="auto"/>
            </w:pPr>
            <w:r>
              <w:rPr>
                <w:rFonts w:ascii="Calibri" w:hAnsi="Calibri"/>
                <w:b w:val="0"/>
                <w:i w:val="0"/>
                <w:color w:val="212121"/>
                <w:sz w:val="19"/>
              </w:rPr>
              <w:t>Once considered urban, NAFLD is now common in rural India as processed foods, refined carbohydrates and inactivity spread, though advanced fibrosis remains less frequent than in cities.</w:t>
            </w:r>
          </w:p>
          <w:p>
            <w:pPr>
              <w:spacing w:after="40" w:before="60" w:line="259" w:lineRule="auto"/>
            </w:pPr>
            <w:r>
              <w:rPr>
                <w:rFonts w:ascii="Calibri" w:hAnsi="Calibri"/>
                <w:b w:val="0"/>
                <w:i w:val="0"/>
                <w:color w:val="212121"/>
                <w:sz w:val="19"/>
              </w:rPr>
              <w:t>Rural North-Indian adults showed 61.1% NAFLD prevalence, with diabetes (OR 2.11) and central obesity (OR 2.29) as leading determinants.</w:t>
            </w:r>
          </w:p>
          <w:p>
            <w:pPr>
              <w:spacing w:after="40" w:line="252" w:lineRule="auto"/>
            </w:pPr>
            <w:hyperlink r:id="rId13">
              <w:r>
                <w:rPr>
                  <w:rFonts w:ascii="Calibri" w:hAnsi="Calibri" w:cs="Calibri"/>
                  <w:sz w:val="18"/>
                  <w:color w:val="1155CC"/>
                  <w:u w:val="single"/>
                </w:rPr>
                <w:t xml:space="preserve">journals.plos.org - North India rural-urban NAFLD</w:t>
              </w:r>
            </w:hyperlink>
          </w:p>
          <w:p>
            <w:pPr>
              <w:spacing w:before="60" w:after="40"/>
            </w:pPr>
            <w:r>
              <w:rPr>
                <w:rFonts w:ascii="Calibri" w:hAnsi="Calibri"/>
                <w:b w:val="0"/>
                <w:i w:val="0"/>
                <w:color w:val="5A5A5A"/>
                <w:sz w:val="18"/>
              </w:rPr>
              <w:t>#rural  #emergingburden  #centralobesity  #diabetes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IT/office workers, homemakers, elderly</w:t>
            </w:r>
          </w:p>
        </w:tc>
        <w:tc>
          <w:tcPr>
            <w:tcW w:type="dxa" w:w="4276"/>
            <w:vAlign w:val="top"/>
          </w:tcPr>
          <w:p>
            <w:pPr>
              <w:spacing w:after="60" w:line="259" w:lineRule="auto"/>
            </w:pPr>
            <w:r>
              <w:rPr>
                <w:rFonts w:ascii="Calibri" w:hAnsi="Calibri"/>
                <w:b w:val="0"/>
                <w:i w:val="0"/>
                <w:color w:val="212121"/>
                <w:sz w:val="19"/>
              </w:rPr>
              <w:t>Physical inactivity reduces muscle glucose uptake and mitochondrial fat oxidation, worsening insulin resistance and hepatic fat storage independent of body weight.</w:t>
            </w:r>
          </w:p>
          <w:p>
            <w:pPr>
              <w:spacing w:after="40" w:before="60" w:line="259" w:lineRule="auto"/>
            </w:pPr>
            <w:r>
              <w:rPr>
                <w:rFonts w:ascii="Calibri" w:hAnsi="Calibri"/>
                <w:b w:val="0"/>
                <w:i w:val="0"/>
                <w:color w:val="212121"/>
                <w:sz w:val="19"/>
              </w:rPr>
              <w:t>Insulin resistance was one of the strongest correlates of NAFLD in urban Indians (OR 2.30), and it is directly aggravated by sedentary behaviour.</w:t>
            </w:r>
          </w:p>
          <w:p>
            <w:pPr>
              <w:spacing w:after="40" w:line="252" w:lineRule="auto"/>
            </w:pPr>
            <w:hyperlink r:id="rId13">
              <w:r>
                <w:rPr>
                  <w:rFonts w:ascii="Calibri" w:hAnsi="Calibri" w:cs="Calibri"/>
                  <w:sz w:val="18"/>
                  <w:color w:val="1155CC"/>
                  <w:u w:val="single"/>
                </w:rPr>
                <w:t xml:space="preserve">journals.plos.org - North India rural-urban NAFLD</w:t>
              </w:r>
            </w:hyperlink>
          </w:p>
          <w:p>
            <w:pPr>
              <w:spacing w:before="60" w:after="40"/>
            </w:pPr>
            <w:r>
              <w:rPr>
                <w:rFonts w:ascii="Calibri" w:hAnsi="Calibri"/>
                <w:b w:val="0"/>
                <w:i w:val="0"/>
                <w:color w:val="5A5A5A"/>
                <w:sz w:val="18"/>
              </w:rPr>
              <w:t>#sedentary  #insulinresistance  #screentime  #deskjob</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 smoking promotes systemic insulin resistance, oxidative stress and endothelial dysfunction, and is associated with more severe steatohepatitis and accelerated fibrosis in NAFLD.</w:t>
            </w:r>
          </w:p>
          <w:p>
            <w:pPr>
              <w:spacing w:before="60" w:after="40"/>
            </w:pPr>
            <w:r>
              <w:rPr>
                <w:rFonts w:ascii="Calibri" w:hAnsi="Calibri"/>
                <w:b w:val="0"/>
                <w:i w:val="0"/>
                <w:color w:val="5A5A5A"/>
                <w:sz w:val="18"/>
              </w:rPr>
              <w:t>#smoking  #oxidativestress  #fibrosis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Moderate drinkers (MetALD overlap)</w:t>
            </w:r>
          </w:p>
        </w:tc>
        <w:tc>
          <w:tcPr>
            <w:tcW w:type="dxa" w:w="4276"/>
            <w:vAlign w:val="top"/>
          </w:tcPr>
          <w:p>
            <w:pPr>
              <w:spacing w:after="60" w:line="259" w:lineRule="auto"/>
            </w:pPr>
            <w:r>
              <w:rPr>
                <w:rFonts w:ascii="Calibri" w:hAnsi="Calibri"/>
                <w:b w:val="0"/>
                <w:i w:val="0"/>
                <w:color w:val="212121"/>
                <w:sz w:val="19"/>
              </w:rPr>
              <w:t>NAFLD by definition excludes heavy alcohol, but even sub-threshold or moderate drinking synergises with metabolic steatosis to worsen injury; the 2023 scheme labels this overlap MetALD.</w:t>
            </w:r>
          </w:p>
          <w:p>
            <w:pPr>
              <w:spacing w:after="40" w:before="60" w:line="259" w:lineRule="auto"/>
            </w:pPr>
            <w:r>
              <w:rPr>
                <w:rFonts w:ascii="Calibri" w:hAnsi="Calibri"/>
                <w:b w:val="0"/>
                <w:i w:val="0"/>
                <w:color w:val="212121"/>
                <w:sz w:val="19"/>
              </w:rPr>
              <w:t>Alcohol above 140 g/week (women) or 210 g/week (men) reclassifies metabolic steatosis as MetALD rather than pure MASLD.</w:t>
            </w:r>
          </w:p>
          <w:p>
            <w:pPr>
              <w:spacing w:after="40" w:line="252" w:lineRule="auto"/>
            </w:pPr>
            <w:hyperlink r:id="rId12">
              <w:r>
                <w:rPr>
                  <w:rFonts w:ascii="Calibri" w:hAnsi="Calibri" w:cs="Calibri"/>
                  <w:sz w:val="18"/>
                  <w:color w:val="1155CC"/>
                  <w:u w:val="single"/>
                </w:rPr>
                <w:t xml:space="preserve">aasld.org - new MASLD nomenclature</w:t>
              </w:r>
            </w:hyperlink>
          </w:p>
          <w:p>
            <w:pPr>
              <w:spacing w:before="60" w:after="40"/>
            </w:pPr>
            <w:r>
              <w:rPr>
                <w:rFonts w:ascii="Calibri" w:hAnsi="Calibri"/>
                <w:b w:val="0"/>
                <w:i w:val="0"/>
                <w:color w:val="5A5A5A"/>
                <w:sz w:val="18"/>
              </w:rPr>
              <w:t>#alcohol  #MetALD  #dualaetiology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 BMI 23-24.9)</w:t>
            </w:r>
          </w:p>
        </w:tc>
        <w:tc>
          <w:tcPr>
            <w:tcW w:type="dxa" w:w="4276"/>
            <w:vAlign w:val="top"/>
          </w:tcPr>
          <w:p>
            <w:pPr>
              <w:spacing w:after="60" w:line="259" w:lineRule="auto"/>
            </w:pPr>
            <w:r>
              <w:rPr>
                <w:rFonts w:ascii="Calibri" w:hAnsi="Calibri"/>
                <w:b w:val="0"/>
                <w:i w:val="0"/>
                <w:color w:val="212121"/>
                <w:sz w:val="19"/>
              </w:rPr>
              <w:t>Even modest excess weight, especially central, raises free-fatty-acid delivery and de novo lipogenesis; in South Asians the risk begins at a lower BMI than in other populations.</w:t>
            </w:r>
          </w:p>
          <w:p>
            <w:pPr>
              <w:spacing w:after="40" w:before="60" w:line="259" w:lineRule="auto"/>
            </w:pPr>
            <w:r>
              <w:rPr>
                <w:rFonts w:ascii="Calibri" w:hAnsi="Calibri"/>
                <w:b w:val="0"/>
                <w:i w:val="0"/>
                <w:color w:val="212121"/>
                <w:sz w:val="19"/>
              </w:rPr>
              <w:t>Central obesity was an independent determinant of NAFLD in both urban (OR 1.79) and rural (OR 2.29) North-Indian adults.</w:t>
            </w:r>
          </w:p>
          <w:p>
            <w:pPr>
              <w:spacing w:after="40" w:line="252" w:lineRule="auto"/>
            </w:pPr>
            <w:hyperlink r:id="rId13">
              <w:r>
                <w:rPr>
                  <w:rFonts w:ascii="Calibri" w:hAnsi="Calibri" w:cs="Calibri"/>
                  <w:sz w:val="18"/>
                  <w:color w:val="1155CC"/>
                  <w:u w:val="single"/>
                </w:rPr>
                <w:t xml:space="preserve">journals.plos.org - North India rural-urban NAFLD</w:t>
              </w:r>
            </w:hyperlink>
          </w:p>
          <w:p>
            <w:pPr>
              <w:spacing w:before="60" w:after="40"/>
            </w:pPr>
            <w:r>
              <w:rPr>
                <w:rFonts w:ascii="Calibri" w:hAnsi="Calibri"/>
                <w:b w:val="0"/>
                <w:i w:val="0"/>
                <w:color w:val="5A5A5A"/>
                <w:sz w:val="18"/>
              </w:rPr>
              <w:t>#overweight  #centralobesity  #waistcircumference  #AsianBMI</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(Asian BMI &gt;=25)</w:t>
            </w:r>
          </w:p>
        </w:tc>
        <w:tc>
          <w:tcPr>
            <w:tcW w:type="dxa" w:w="4276"/>
            <w:vAlign w:val="top"/>
          </w:tcPr>
          <w:p>
            <w:pPr>
              <w:spacing w:after="60" w:line="259" w:lineRule="auto"/>
            </w:pPr>
            <w:r>
              <w:rPr>
                <w:rFonts w:ascii="Calibri" w:hAnsi="Calibri"/>
                <w:b w:val="0"/>
                <w:i w:val="0"/>
                <w:color w:val="212121"/>
                <w:sz w:val="19"/>
              </w:rPr>
              <w:t>Obesity is the strongest modifiable risk factor - visceral adipose tissue drives insulin resistance, adipokine imbalance and hepatic lipotoxicity, promoting steatohepatitis and fibrosis.</w:t>
            </w:r>
          </w:p>
          <w:p>
            <w:pPr>
              <w:spacing w:after="40" w:before="60" w:line="259" w:lineRule="auto"/>
            </w:pPr>
            <w:r>
              <w:rPr>
                <w:rFonts w:ascii="Calibri" w:hAnsi="Calibri"/>
                <w:b w:val="0"/>
                <w:i w:val="0"/>
                <w:color w:val="212121"/>
                <w:sz w:val="19"/>
              </w:rPr>
              <w:t>In an Indian multicentre cohort, obese individuals made up the largest NAFLD phenotype (about 35-37%), far exceeding the lean subgroup (~4-7%).</w:t>
            </w:r>
          </w:p>
          <w:p>
            <w:pPr>
              <w:spacing w:after="40" w:line="252" w:lineRule="auto"/>
            </w:pPr>
            <w:hyperlink r:id="rId14">
              <w:r>
                <w:rPr>
                  <w:rFonts w:ascii="Calibri" w:hAnsi="Calibri" w:cs="Calibri"/>
                  <w:sz w:val="18"/>
                  <w:color w:val="1155CC"/>
                  <w:u w:val="single"/>
                </w:rPr>
                <w:t xml:space="preserve">pmc.ncbi.nlm.nih.gov/PMC12571367 - India multicentre NAFLD</w:t>
              </w:r>
            </w:hyperlink>
          </w:p>
          <w:p>
            <w:pPr>
              <w:spacing w:before="60" w:after="40"/>
            </w:pPr>
            <w:r>
              <w:rPr>
                <w:rFonts w:ascii="Calibri" w:hAnsi="Calibri"/>
                <w:b w:val="0"/>
                <w:i w:val="0"/>
                <w:color w:val="5A5A5A"/>
                <w:sz w:val="18"/>
              </w:rPr>
              <w:t>#obesity  #visceralfat  #lipotoxicity  #steatohepatitis</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Merge w:val="restart"/>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fructose &amp; sugar-sweetened-beverage consumers</w:t>
            </w:r>
          </w:p>
        </w:tc>
        <w:tc>
          <w:tcPr>
            <w:tcW w:type="dxa" w:w="4276"/>
            <w:vAlign w:val="top"/>
          </w:tcPr>
          <w:p>
            <w:pPr>
              <w:spacing w:after="60" w:line="259" w:lineRule="auto"/>
            </w:pPr>
            <w:r>
              <w:rPr>
                <w:rFonts w:ascii="Calibri" w:hAnsi="Calibri"/>
                <w:b w:val="0"/>
                <w:i w:val="0"/>
                <w:color w:val="212121"/>
                <w:sz w:val="19"/>
              </w:rPr>
              <w:t>Fructose is metabolised in the liver and potently stimulates de novo lipogenesis while promoting insulin resistance and uric-acid generation, directly increasing hepatic fat and inflammation.</w:t>
            </w:r>
          </w:p>
          <w:p>
            <w:pPr>
              <w:spacing w:before="60" w:after="40"/>
            </w:pPr>
            <w:r>
              <w:rPr>
                <w:rFonts w:ascii="Calibri" w:hAnsi="Calibri"/>
                <w:b w:val="0"/>
                <w:i w:val="0"/>
                <w:color w:val="5A5A5A"/>
                <w:sz w:val="18"/>
              </w:rPr>
              <w:t>#fructose  #SSB  #denovolipogenesis  #softdrinks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Refined-carbohydrate, fried &amp; ultra-processed food eaters</w:t>
            </w:r>
          </w:p>
        </w:tc>
        <w:tc>
          <w:tcPr>
            <w:tcW w:type="dxa" w:w="4276"/>
            <w:vAlign w:val="top"/>
          </w:tcPr>
          <w:p>
            <w:pPr>
              <w:spacing w:after="60" w:line="259" w:lineRule="auto"/>
            </w:pPr>
            <w:r>
              <w:rPr>
                <w:rFonts w:ascii="Calibri" w:hAnsi="Calibri"/>
                <w:b w:val="0"/>
                <w:i w:val="0"/>
                <w:color w:val="212121"/>
                <w:sz w:val="19"/>
              </w:rPr>
              <w:t>Diets high in white rice, maida, deep-fried snacks, bakery items and ultra-processed foods deliver a high glycaemic and saturated-fat load, driving steatosis; typical high-carbohydrate Indian diets compound this.</w:t>
            </w:r>
          </w:p>
          <w:p>
            <w:pPr>
              <w:spacing w:before="60" w:after="40"/>
            </w:pPr>
            <w:r>
              <w:rPr>
                <w:rFonts w:ascii="Calibri" w:hAnsi="Calibri"/>
                <w:b w:val="0"/>
                <w:i w:val="0"/>
                <w:color w:val="5A5A5A"/>
                <w:sz w:val="18"/>
              </w:rPr>
              <w:t>#refinedcarbs  #friedfood  #ultraprocessed  #highGI  #maida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NAFLD, T2DM or obesity</w:t>
            </w:r>
          </w:p>
        </w:tc>
        <w:tc>
          <w:tcPr>
            <w:tcW w:type="dxa" w:w="4276"/>
            <w:vAlign w:val="top"/>
          </w:tcPr>
          <w:p>
            <w:pPr>
              <w:spacing w:after="60" w:line="259" w:lineRule="auto"/>
            </w:pPr>
            <w:r>
              <w:rPr>
                <w:rFonts w:ascii="Calibri" w:hAnsi="Calibri"/>
                <w:b w:val="0"/>
                <w:i w:val="0"/>
                <w:color w:val="212121"/>
                <w:sz w:val="19"/>
              </w:rPr>
              <w:t>NAFLD clusters in families through shared genetic susceptibility and common dietary/lifestyle environment; a family history of diabetes or fatty liver markedly raises risk.</w:t>
            </w:r>
          </w:p>
          <w:p>
            <w:pPr>
              <w:spacing w:before="60" w:after="40"/>
            </w:pPr>
            <w:r>
              <w:rPr>
                <w:rFonts w:ascii="Calibri" w:hAnsi="Calibri"/>
                <w:b w:val="0"/>
                <w:i w:val="0"/>
                <w:color w:val="5A5A5A"/>
                <w:sz w:val="18"/>
              </w:rPr>
              <w:t>#familyhistory  #heritability  #sharedenvironment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Genetic variant</w:t>
            </w:r>
          </w:p>
        </w:tc>
        <w:tc>
          <w:tcPr>
            <w:tcW w:type="dxa" w:w="2160"/>
            <w:vAlign w:val="top"/>
          </w:tcPr>
          <w:p>
            <w:pPr>
              <w:spacing w:after="40" w:before="0" w:line="259" w:lineRule="auto"/>
            </w:pPr>
            <w:r>
              <w:rPr>
                <w:rFonts w:ascii="Calibri" w:hAnsi="Calibri"/>
                <w:b w:val="0"/>
                <w:i w:val="0"/>
                <w:color w:val="212121"/>
                <w:sz w:val="19"/>
              </w:rPr>
              <w:t>PNPLA3 (I148M) / TM6SF2 / MBOAT7 carriers</w:t>
            </w:r>
          </w:p>
        </w:tc>
        <w:tc>
          <w:tcPr>
            <w:tcW w:type="dxa" w:w="4276"/>
            <w:vAlign w:val="top"/>
          </w:tcPr>
          <w:p>
            <w:pPr>
              <w:spacing w:after="60" w:line="259" w:lineRule="auto"/>
            </w:pPr>
            <w:r>
              <w:rPr>
                <w:rFonts w:ascii="Calibri" w:hAnsi="Calibri"/>
                <w:b w:val="0"/>
                <w:i w:val="0"/>
                <w:color w:val="212121"/>
                <w:sz w:val="19"/>
              </w:rPr>
              <w:t>These variants impair hepatic lipid mobilisation and increase fat retention and fibrogenesis; the PNPLA3 risk allele is common in Indians and is a key driver of lean NAFLD and progression to NASH/cirrhosis.</w:t>
            </w:r>
          </w:p>
          <w:p>
            <w:pPr>
              <w:spacing w:before="60" w:after="40"/>
            </w:pPr>
            <w:r>
              <w:rPr>
                <w:rFonts w:ascii="Calibri" w:hAnsi="Calibri"/>
                <w:b w:val="0"/>
                <w:i w:val="0"/>
                <w:color w:val="5A5A5A"/>
                <w:sz w:val="18"/>
              </w:rPr>
              <w:t>#PNPLA3  #TM6SF2  #MBOAT7  #leanNAFLD  #fibrosisgene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Type 2 diabetes mellitus</w:t>
            </w:r>
          </w:p>
        </w:tc>
        <w:tc>
          <w:tcPr>
            <w:tcW w:type="dxa" w:w="2160"/>
            <w:vAlign w:val="top"/>
          </w:tcPr>
          <w:p>
            <w:pPr>
              <w:spacing w:after="40" w:before="0" w:line="259" w:lineRule="auto"/>
            </w:pPr>
            <w:r>
              <w:rPr>
                <w:rFonts w:ascii="Calibri" w:hAnsi="Calibri"/>
                <w:b w:val="0"/>
                <w:i w:val="0"/>
                <w:color w:val="212121"/>
                <w:sz w:val="19"/>
              </w:rPr>
              <w:t>Patients with type 2 diabetes</w:t>
            </w:r>
          </w:p>
        </w:tc>
        <w:tc>
          <w:tcPr>
            <w:tcW w:type="dxa" w:w="4276"/>
            <w:vAlign w:val="top"/>
          </w:tcPr>
          <w:p>
            <w:pPr>
              <w:spacing w:after="60" w:line="259" w:lineRule="auto"/>
            </w:pPr>
            <w:r>
              <w:rPr>
                <w:rFonts w:ascii="Calibri" w:hAnsi="Calibri"/>
                <w:b w:val="0"/>
                <w:i w:val="0"/>
                <w:color w:val="212121"/>
                <w:sz w:val="19"/>
              </w:rPr>
              <w:t>Insulin resistance is shared; diabetes both predisposes to NAFLD and accelerates its progression to NASH, advanced fibrosis and hepatocellular carcinoma.</w:t>
            </w:r>
          </w:p>
          <w:p>
            <w:pPr>
              <w:spacing w:after="40" w:before="60" w:line="259" w:lineRule="auto"/>
            </w:pPr>
            <w:r>
              <w:rPr>
                <w:rFonts w:ascii="Calibri" w:hAnsi="Calibri"/>
                <w:b w:val="0"/>
                <w:i w:val="0"/>
                <w:color w:val="212121"/>
                <w:sz w:val="19"/>
              </w:rPr>
              <w:t>About 56.5% of Indian type 2 diabetics have NAFLD (SPRINT study), rising to 72.4% in some northern states.</w:t>
            </w:r>
          </w:p>
          <w:p>
            <w:pPr>
              <w:spacing w:after="40" w:line="252" w:lineRule="auto"/>
            </w:pPr>
            <w:hyperlink r:id="rId10">
              <w:r>
                <w:rPr>
                  <w:rFonts w:ascii="Calibri" w:hAnsi="Calibri" w:cs="Calibri"/>
                  <w:sz w:val="18"/>
                  <w:color w:val="1155CC"/>
                  <w:u w:val="single"/>
                </w:rPr>
                <w:t xml:space="preserve">pubmed.ncbi.nlm.nih.gov/24772746 (SPRINT)</w:t>
              </w:r>
            </w:hyperlink>
          </w:p>
          <w:p>
            <w:pPr>
              <w:spacing w:before="60" w:after="40"/>
            </w:pPr>
            <w:r>
              <w:rPr>
                <w:rFonts w:ascii="Calibri" w:hAnsi="Calibri"/>
                <w:b w:val="0"/>
                <w:i w:val="0"/>
                <w:color w:val="5A5A5A"/>
                <w:sz w:val="18"/>
              </w:rPr>
              <w:t>#type2diabetes  #insulinresistance  #NASH  #fibrosis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Metabolic syndrome</w:t>
            </w:r>
          </w:p>
        </w:tc>
        <w:tc>
          <w:tcPr>
            <w:tcW w:type="dxa" w:w="2160"/>
            <w:vAlign w:val="top"/>
          </w:tcPr>
          <w:p>
            <w:pPr>
              <w:spacing w:after="40" w:before="0" w:line="259" w:lineRule="auto"/>
            </w:pPr>
            <w:r>
              <w:rPr>
                <w:rFonts w:ascii="Calibri" w:hAnsi="Calibri"/>
                <w:b w:val="0"/>
                <w:i w:val="0"/>
                <w:color w:val="212121"/>
                <w:sz w:val="19"/>
              </w:rPr>
              <w:t>Patients with metabolic syndrome</w:t>
            </w:r>
          </w:p>
        </w:tc>
        <w:tc>
          <w:tcPr>
            <w:tcW w:type="dxa" w:w="4276"/>
            <w:vAlign w:val="top"/>
          </w:tcPr>
          <w:p>
            <w:pPr>
              <w:spacing w:after="60" w:line="259" w:lineRule="auto"/>
            </w:pPr>
            <w:r>
              <w:rPr>
                <w:rFonts w:ascii="Calibri" w:hAnsi="Calibri"/>
                <w:b w:val="0"/>
                <w:i w:val="0"/>
                <w:color w:val="212121"/>
                <w:sz w:val="19"/>
              </w:rPr>
              <w:t>NAFLD is the hepatic manifestation of metabolic syndrome; central obesity, dysglycaemia, hypertension and atherogenic dyslipidaemia coexist and amplify hepatic fat and cardiovascular risk.</w:t>
            </w:r>
          </w:p>
          <w:p>
            <w:pPr>
              <w:spacing w:after="40" w:before="60" w:line="259" w:lineRule="auto"/>
            </w:pPr>
            <w:r>
              <w:rPr>
                <w:rFonts w:ascii="Calibri" w:hAnsi="Calibri"/>
                <w:b w:val="0"/>
                <w:i w:val="0"/>
                <w:color w:val="212121"/>
                <w:sz w:val="19"/>
              </w:rPr>
              <w:t>Raised triglycerides emerged as an independent correlate of NAFLD (OR 1.30) in the combined North-Indian analysis.</w:t>
            </w:r>
          </w:p>
          <w:p>
            <w:pPr>
              <w:spacing w:after="40" w:line="252" w:lineRule="auto"/>
            </w:pPr>
            <w:hyperlink r:id="rId13">
              <w:r>
                <w:rPr>
                  <w:rFonts w:ascii="Calibri" w:hAnsi="Calibri" w:cs="Calibri"/>
                  <w:sz w:val="18"/>
                  <w:color w:val="1155CC"/>
                  <w:u w:val="single"/>
                </w:rPr>
                <w:t xml:space="preserve">journals.plos.org - North India rural-urban NAFLD</w:t>
              </w:r>
            </w:hyperlink>
          </w:p>
          <w:p>
            <w:pPr>
              <w:spacing w:before="60" w:after="40"/>
            </w:pPr>
            <w:r>
              <w:rPr>
                <w:rFonts w:ascii="Calibri" w:hAnsi="Calibri"/>
                <w:b w:val="0"/>
                <w:i w:val="0"/>
                <w:color w:val="5A5A5A"/>
                <w:sz w:val="18"/>
              </w:rPr>
              <w:t>#metabolicsyndrome  #dyslipidaemia  #hypertension  #hepaticmanifestation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PCOS</w:t>
            </w:r>
          </w:p>
        </w:tc>
        <w:tc>
          <w:tcPr>
            <w:tcW w:type="dxa" w:w="2160"/>
            <w:vAlign w:val="top"/>
          </w:tcPr>
          <w:p>
            <w:pPr>
              <w:spacing w:after="40" w:before="0" w:line="259" w:lineRule="auto"/>
            </w:pPr>
            <w:r>
              <w:rPr>
                <w:rFonts w:ascii="Calibri" w:hAnsi="Calibri"/>
                <w:b w:val="0"/>
                <w:i w:val="0"/>
                <w:color w:val="212121"/>
                <w:sz w:val="19"/>
              </w:rPr>
              <w:t>Women with polycystic ovary syndrome</w:t>
            </w:r>
          </w:p>
        </w:tc>
        <w:tc>
          <w:tcPr>
            <w:tcW w:type="dxa" w:w="4276"/>
            <w:vAlign w:val="top"/>
          </w:tcPr>
          <w:p>
            <w:pPr>
              <w:spacing w:after="60" w:line="259" w:lineRule="auto"/>
            </w:pPr>
            <w:r>
              <w:rPr>
                <w:rFonts w:ascii="Calibri" w:hAnsi="Calibri"/>
                <w:b w:val="0"/>
                <w:i w:val="0"/>
                <w:color w:val="212121"/>
                <w:sz w:val="19"/>
              </w:rPr>
              <w:t>Hyperandrogenism and insulin resistance in PCOS markedly increase the risk of hepatic steatosis, often at younger ages and lower BMI.</w:t>
            </w:r>
          </w:p>
          <w:p>
            <w:pPr>
              <w:spacing w:before="60" w:after="40"/>
            </w:pPr>
            <w:r>
              <w:rPr>
                <w:rFonts w:ascii="Calibri" w:hAnsi="Calibri"/>
                <w:b w:val="0"/>
                <w:i w:val="0"/>
                <w:color w:val="5A5A5A"/>
                <w:sz w:val="18"/>
              </w:rPr>
              <w:t>#PCOS  #hyperandrogenism  #insulinresistance  #youngwomen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Obstructive sleep apnoea</w:t>
            </w:r>
          </w:p>
        </w:tc>
        <w:tc>
          <w:tcPr>
            <w:tcW w:type="dxa" w:w="2160"/>
            <w:vAlign w:val="top"/>
          </w:tcPr>
          <w:p>
            <w:pPr>
              <w:spacing w:after="40" w:before="0" w:line="259" w:lineRule="auto"/>
            </w:pPr>
            <w:r>
              <w:rPr>
                <w:rFonts w:ascii="Calibri" w:hAnsi="Calibri"/>
                <w:b w:val="0"/>
                <w:i w:val="0"/>
                <w:color w:val="212121"/>
                <w:sz w:val="19"/>
              </w:rPr>
              <w:t>Patients with OSA / chronic intermittent hypoxia</w:t>
            </w:r>
          </w:p>
        </w:tc>
        <w:tc>
          <w:tcPr>
            <w:tcW w:type="dxa" w:w="4276"/>
            <w:vAlign w:val="top"/>
          </w:tcPr>
          <w:p>
            <w:pPr>
              <w:spacing w:after="60" w:line="259" w:lineRule="auto"/>
            </w:pPr>
            <w:r>
              <w:rPr>
                <w:rFonts w:ascii="Calibri" w:hAnsi="Calibri"/>
                <w:b w:val="0"/>
                <w:i w:val="0"/>
                <w:color w:val="212121"/>
                <w:sz w:val="19"/>
              </w:rPr>
              <w:t>Intermittent nocturnal hypoxia and sympathetic activation in OSA promote hepatic inflammation, insulin resistance and fibrosis independent of obesity.</w:t>
            </w:r>
          </w:p>
          <w:p>
            <w:pPr>
              <w:spacing w:before="60" w:after="40"/>
            </w:pPr>
            <w:r>
              <w:rPr>
                <w:rFonts w:ascii="Calibri" w:hAnsi="Calibri"/>
                <w:b w:val="0"/>
                <w:i w:val="0"/>
                <w:color w:val="5A5A5A"/>
                <w:sz w:val="18"/>
              </w:rPr>
              <w:t>#OSA  #intermittenthypoxia  #fibrosis  #sleep</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aerobic and resistance exercise reduces liver fat and improves insulin sensitivity even without weight loss; physical inactivity is a leading, modifiable determinant of NAFLD and fibrosis.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 is central: excess calories, fructose/sugar-sweetened beverages, refined carbohydrates and saturated fat drive hepatic de novo lipogenesis, whereas Mediterranean-style, high-fibre diets reduce steatosis.</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Short sleep, poor sleep quality and obstructive sleep apnoea are associated with higher NAFLD prevalence and fibrosis through insulin resistance and intermittent hypoxia.</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Cigarette smoking is linked to greater NAFLD severity and accelerated fibrosis via oxidative stress and worsened insulin resistance.</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Although NAFLD excludes heavy drinking, even moderate alcohol synergises with metabolic steatosis (MetALD) and worsens fibrosis and HCC risk; abstinence is advised in significant fibrosis.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and chronic stress are bidirectionally associated with NAFLD through inflammatory pathways, cortisol and unhealthy eating/inactivity behaviours.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and replacing sugary drinks with water reduces fructose load, but a direct independent effect on liver fat is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coffee consumption is associated with lower NAFLD prevalence and reduced fibrosis, an effect attributed to caffeine and polyphenols rather than sugary caffeinated drinks.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Not a direct driver; oral and gut health (via the gut-liver axis and periodontal inflammation) may modestly influence hepatic inflammation.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(Asian cut-offs)</w:t>
            </w:r>
          </w:p>
        </w:tc>
        <w:tc>
          <w:tcPr>
            <w:tcW w:type="dxa" w:w="1655"/>
            <w:vAlign w:val="top"/>
          </w:tcPr>
          <w:p>
            <w:pPr>
              <w:spacing w:after="40" w:before="0" w:line="259" w:lineRule="auto"/>
            </w:pPr>
            <w:r>
              <w:rPr>
                <w:rFonts w:ascii="Calibri" w:hAnsi="Calibri"/>
                <w:b w:val="0"/>
                <w:i w:val="0"/>
                <w:color w:val="212121"/>
                <w:sz w:val="19"/>
              </w:rPr>
              <w:t>Adults, South Asians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&gt;=23 (overweight); &gt;=25 (obese)</w:t>
            </w:r>
          </w:p>
        </w:tc>
        <w:tc>
          <w:tcPr>
            <w:tcW w:type="dxa" w:w="1468"/>
            <w:vAlign w:val="top"/>
          </w:tcPr>
          <w:p>
            <w:pPr>
              <w:spacing w:after="60" w:line="259" w:lineRule="auto"/>
            </w:pPr>
            <w:r>
              <w:rPr>
                <w:rFonts w:ascii="Calibri" w:hAnsi="Calibri"/>
                <w:b w:val="0"/>
                <w:i w:val="0"/>
                <w:color w:val="212121"/>
                <w:sz w:val="19"/>
              </w:rPr>
              <w:t>South Asians develop NAFLD at lower BMI; obesity is the strongest modifiable risk factor.</w:t>
            </w:r>
          </w:p>
          <w:p>
            <w:pPr>
              <w:spacing w:after="40" w:line="252" w:lineRule="auto"/>
            </w:pPr>
            <w:hyperlink r:id="rId12">
              <w:r>
                <w:rPr>
                  <w:rFonts w:ascii="Calibri" w:hAnsi="Calibri" w:cs="Calibri"/>
                  <w:sz w:val="18"/>
                  <w:color w:val="1155CC"/>
                  <w:u w:val="single"/>
                </w:rPr>
                <w:t xml:space="preserve">https://www.aasld.org/new-masld-nomenclature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central obesity</w:t>
            </w:r>
          </w:p>
        </w:tc>
        <w:tc>
          <w:tcPr>
            <w:tcW w:type="dxa" w:w="1512"/>
            <w:vAlign w:val="top"/>
          </w:tcPr>
          <w:p>
            <w:pPr>
              <w:spacing w:after="40" w:before="0" w:line="259" w:lineRule="auto"/>
            </w:pPr>
            <w:r>
              <w:rPr>
                <w:rFonts w:ascii="Calibri" w:hAnsi="Calibri"/>
                <w:b w:val="0"/>
                <w:i w:val="0"/>
                <w:color w:val="212121"/>
                <w:sz w:val="19"/>
              </w:rPr>
              <w:t>M &lt;90 cm; F &lt;80 cm</w:t>
            </w:r>
          </w:p>
        </w:tc>
        <w:tc>
          <w:tcPr>
            <w:tcW w:type="dxa" w:w="1512"/>
            <w:vAlign w:val="top"/>
          </w:tcPr>
          <w:p>
            <w:pPr>
              <w:spacing w:after="40" w:before="0" w:line="259" w:lineRule="auto"/>
            </w:pPr>
            <w:r>
              <w:rPr>
                <w:rFonts w:ascii="Calibri" w:hAnsi="Calibri"/>
                <w:b w:val="0"/>
                <w:i w:val="0"/>
                <w:color w:val="212121"/>
                <w:sz w:val="19"/>
              </w:rPr>
              <w:t>M &gt;=90 cm; F &gt;=80 cm</w:t>
            </w:r>
          </w:p>
        </w:tc>
        <w:tc>
          <w:tcPr>
            <w:tcW w:type="dxa" w:w="1468"/>
            <w:vAlign w:val="top"/>
          </w:tcPr>
          <w:p>
            <w:pPr>
              <w:spacing w:after="60" w:line="259" w:lineRule="auto"/>
            </w:pPr>
            <w:r>
              <w:rPr>
                <w:rFonts w:ascii="Calibri" w:hAnsi="Calibri"/>
                <w:b w:val="0"/>
                <w:i w:val="0"/>
                <w:color w:val="212121"/>
                <w:sz w:val="19"/>
              </w:rPr>
              <w:t>Central adiposity is an independent NAFLD determinant (OR up to 2.29 in rural India).</w:t>
            </w:r>
          </w:p>
          <w:p>
            <w:pPr>
              <w:spacing w:after="40" w:line="252" w:lineRule="auto"/>
            </w:pPr>
            <w:hyperlink r:id="rId13">
              <w:r>
                <w:rPr>
                  <w:rFonts w:ascii="Calibri" w:hAnsi="Calibri" w:cs="Calibri"/>
                  <w:sz w:val="18"/>
                  <w:color w:val="1155CC"/>
                  <w:u w:val="single"/>
                </w:rPr>
                <w:t xml:space="preserve">https://journals.plos.org/plosone/article?id=10.1371%2Fjournal.pone.0263768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Waist-hip ratio</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M &lt;0.90; F &lt;0.85</w:t>
            </w:r>
          </w:p>
        </w:tc>
        <w:tc>
          <w:tcPr>
            <w:tcW w:type="dxa" w:w="1512"/>
            <w:vAlign w:val="top"/>
          </w:tcPr>
          <w:p>
            <w:pPr>
              <w:spacing w:after="40" w:before="0" w:line="259" w:lineRule="auto"/>
            </w:pPr>
            <w:r>
              <w:rPr>
                <w:rFonts w:ascii="Calibri" w:hAnsi="Calibri"/>
                <w:b w:val="0"/>
                <w:i w:val="0"/>
                <w:color w:val="212121"/>
                <w:sz w:val="19"/>
              </w:rPr>
              <w:t>M &gt;=0.90; F &gt;=0.85</w:t>
            </w:r>
          </w:p>
        </w:tc>
        <w:tc>
          <w:tcPr>
            <w:tcW w:type="dxa" w:w="1468"/>
            <w:vAlign w:val="top"/>
          </w:tcPr>
          <w:p>
            <w:pPr>
              <w:spacing w:after="40" w:before="0" w:line="259" w:lineRule="auto"/>
            </w:pPr>
            <w:r>
              <w:rPr>
                <w:rFonts w:ascii="Calibri" w:hAnsi="Calibri"/>
                <w:b w:val="0"/>
                <w:i w:val="0"/>
                <w:color w:val="212121"/>
                <w:sz w:val="19"/>
              </w:rPr>
              <w:t>Marker of visceral fat and hepatic insulin resistance.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Moderate-vigorous activity (min/week)</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&gt;=150-300 min/week + resistance 2-3x/week</w:t>
            </w:r>
          </w:p>
        </w:tc>
        <w:tc>
          <w:tcPr>
            <w:tcW w:type="dxa" w:w="1512"/>
            <w:vAlign w:val="top"/>
          </w:tcPr>
          <w:p>
            <w:pPr>
              <w:spacing w:after="40" w:before="0" w:line="259" w:lineRule="auto"/>
            </w:pPr>
            <w:r>
              <w:rPr>
                <w:rFonts w:ascii="Calibri" w:hAnsi="Calibri"/>
                <w:b w:val="0"/>
                <w:i w:val="0"/>
                <w:color w:val="212121"/>
                <w:sz w:val="19"/>
              </w:rPr>
              <w:t>&lt;150 min/week</w:t>
            </w:r>
          </w:p>
        </w:tc>
        <w:tc>
          <w:tcPr>
            <w:tcW w:type="dxa" w:w="1468"/>
            <w:vAlign w:val="top"/>
          </w:tcPr>
          <w:p>
            <w:pPr>
              <w:spacing w:after="40" w:before="0" w:line="259" w:lineRule="auto"/>
            </w:pPr>
            <w:r>
              <w:rPr>
                <w:rFonts w:ascii="Calibri" w:hAnsi="Calibri"/>
                <w:b w:val="0"/>
                <w:i w:val="0"/>
                <w:color w:val="212121"/>
                <w:sz w:val="19"/>
              </w:rPr>
              <w:t>Exercise lowers liver fat independent of weight loss.</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Sugar-sweetened beverage intake</w:t>
            </w:r>
          </w:p>
        </w:tc>
        <w:tc>
          <w:tcPr>
            <w:tcW w:type="dxa" w:w="1655"/>
            <w:vAlign w:val="top"/>
          </w:tcPr>
          <w:p>
            <w:pPr>
              <w:spacing w:after="40" w:before="0" w:line="259" w:lineRule="auto"/>
            </w:pPr>
            <w:r>
              <w:rPr>
                <w:rFonts w:ascii="Calibri" w:hAnsi="Calibri"/>
                <w:b w:val="0"/>
                <w:i w:val="0"/>
                <w:color w:val="212121"/>
                <w:sz w:val="19"/>
              </w:rPr>
              <w:t>Children, adults</w:t>
            </w:r>
          </w:p>
        </w:tc>
        <w:tc>
          <w:tcPr>
            <w:tcW w:type="dxa" w:w="1512"/>
            <w:vAlign w:val="top"/>
          </w:tcPr>
          <w:p>
            <w:pPr>
              <w:spacing w:after="40" w:before="0" w:line="259" w:lineRule="auto"/>
            </w:pPr>
            <w:r>
              <w:rPr>
                <w:rFonts w:ascii="Calibri" w:hAnsi="Calibri"/>
                <w:b w:val="0"/>
                <w:i w:val="0"/>
                <w:color w:val="212121"/>
                <w:sz w:val="19"/>
              </w:rPr>
              <w:t>~0 servings/day</w:t>
            </w:r>
          </w:p>
        </w:tc>
        <w:tc>
          <w:tcPr>
            <w:tcW w:type="dxa" w:w="1512"/>
            <w:vAlign w:val="top"/>
          </w:tcPr>
          <w:p>
            <w:pPr>
              <w:spacing w:after="40" w:before="0" w:line="259" w:lineRule="auto"/>
            </w:pPr>
            <w:r>
              <w:rPr>
                <w:rFonts w:ascii="Calibri" w:hAnsi="Calibri"/>
                <w:b w:val="0"/>
                <w:i w:val="0"/>
                <w:color w:val="212121"/>
                <w:sz w:val="19"/>
              </w:rPr>
              <w:t>&gt;=1 serving/day</w:t>
            </w:r>
          </w:p>
        </w:tc>
        <w:tc>
          <w:tcPr>
            <w:tcW w:type="dxa" w:w="1468"/>
            <w:vAlign w:val="top"/>
          </w:tcPr>
          <w:p>
            <w:pPr>
              <w:spacing w:after="40" w:before="0" w:line="259" w:lineRule="auto"/>
            </w:pPr>
            <w:r>
              <w:rPr>
                <w:rFonts w:ascii="Calibri" w:hAnsi="Calibri"/>
                <w:b w:val="0"/>
                <w:i w:val="0"/>
                <w:color w:val="212121"/>
                <w:sz w:val="19"/>
              </w:rPr>
              <w:t>Fructose drives hepatic de novo lipogenesis and steatosis.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Dietary weight loss target</w:t>
            </w:r>
          </w:p>
        </w:tc>
        <w:tc>
          <w:tcPr>
            <w:tcW w:type="dxa" w:w="1655"/>
            <w:vAlign w:val="top"/>
          </w:tcPr>
          <w:p>
            <w:pPr>
              <w:spacing w:after="40" w:before="0" w:line="259" w:lineRule="auto"/>
            </w:pPr>
            <w:r>
              <w:rPr>
                <w:rFonts w:ascii="Calibri" w:hAnsi="Calibri"/>
                <w:b w:val="0"/>
                <w:i w:val="0"/>
                <w:color w:val="212121"/>
                <w:sz w:val="19"/>
              </w:rPr>
              <w:t>Overweight/obese NAFLD</w:t>
            </w:r>
          </w:p>
        </w:tc>
        <w:tc>
          <w:tcPr>
            <w:tcW w:type="dxa" w:w="1512"/>
            <w:vAlign w:val="top"/>
          </w:tcPr>
          <w:p>
            <w:pPr>
              <w:spacing w:after="40" w:before="0" w:line="259" w:lineRule="auto"/>
            </w:pPr>
            <w:r>
              <w:rPr>
                <w:rFonts w:ascii="Calibri" w:hAnsi="Calibri"/>
                <w:b w:val="0"/>
                <w:i w:val="0"/>
                <w:color w:val="212121"/>
                <w:sz w:val="19"/>
              </w:rPr>
              <w:t>7-10% of body weight</w:t>
            </w:r>
          </w:p>
        </w:tc>
        <w:tc>
          <w:tcPr>
            <w:tcW w:type="dxa" w:w="1512"/>
            <w:vAlign w:val="top"/>
          </w:tcPr>
          <w:p>
            <w:pPr>
              <w:spacing w:after="40" w:before="0" w:line="259" w:lineRule="auto"/>
            </w:pPr>
            <w:r>
              <w:rPr>
                <w:rFonts w:ascii="Calibri" w:hAnsi="Calibri"/>
                <w:b w:val="0"/>
                <w:i w:val="0"/>
                <w:color w:val="212121"/>
                <w:sz w:val="19"/>
              </w:rPr>
              <w:t>&lt;5% loss (inadequate)</w:t>
            </w:r>
          </w:p>
        </w:tc>
        <w:tc>
          <w:tcPr>
            <w:tcW w:type="dxa" w:w="1468"/>
            <w:vAlign w:val="top"/>
          </w:tcPr>
          <w:p>
            <w:pPr>
              <w:spacing w:after="60" w:line="259" w:lineRule="auto"/>
            </w:pPr>
            <w:r>
              <w:rPr>
                <w:rFonts w:ascii="Calibri" w:hAnsi="Calibri"/>
                <w:b w:val="0"/>
                <w:i w:val="0"/>
                <w:color w:val="212121"/>
                <w:sz w:val="19"/>
              </w:rPr>
              <w:t>&gt;=10% loss resolves NASH in ~90% and regresses fibrosis in ~45%.</w:t>
            </w:r>
          </w:p>
          <w:p>
            <w:pPr>
              <w:spacing w:after="40" w:line="252" w:lineRule="auto"/>
            </w:pPr>
            <w:hyperlink r:id="rId15">
              <w:r>
                <w:rPr>
                  <w:rFonts w:ascii="Calibri" w:hAnsi="Calibri" w:cs="Calibri"/>
                  <w:sz w:val="18"/>
                  <w:color w:val="1155CC"/>
                  <w:u w:val="single"/>
                </w:rPr>
                <w:t xml:space="preserve">https://pubmed.ncbi.nlm.nih.gov/25865049/</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&lt;6 h/night or untreated OSA</w:t>
            </w:r>
          </w:p>
        </w:tc>
        <w:tc>
          <w:tcPr>
            <w:tcW w:type="dxa" w:w="1468"/>
            <w:vAlign w:val="top"/>
          </w:tcPr>
          <w:p>
            <w:pPr>
              <w:spacing w:after="40" w:before="0" w:line="259" w:lineRule="auto"/>
            </w:pPr>
            <w:r>
              <w:rPr>
                <w:rFonts w:ascii="Calibri" w:hAnsi="Calibri"/>
                <w:b w:val="0"/>
                <w:i w:val="0"/>
                <w:color w:val="212121"/>
                <w:sz w:val="19"/>
              </w:rPr>
              <w:t>Short sleep/OSA worsen insulin resistance and steatosis.</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Adults with steatosis</w:t>
            </w:r>
          </w:p>
        </w:tc>
        <w:tc>
          <w:tcPr>
            <w:tcW w:type="dxa" w:w="1512"/>
            <w:vAlign w:val="top"/>
          </w:tcPr>
          <w:p>
            <w:pPr>
              <w:spacing w:after="40" w:before="0" w:line="259" w:lineRule="auto"/>
            </w:pPr>
            <w:r>
              <w:rPr>
                <w:rFonts w:ascii="Calibri" w:hAnsi="Calibri"/>
                <w:b w:val="0"/>
                <w:i w:val="0"/>
                <w:color w:val="212121"/>
                <w:sz w:val="19"/>
              </w:rPr>
              <w:t>Nil / minimal</w:t>
            </w:r>
          </w:p>
        </w:tc>
        <w:tc>
          <w:tcPr>
            <w:tcW w:type="dxa" w:w="1512"/>
            <w:vAlign w:val="top"/>
          </w:tcPr>
          <w:p>
            <w:pPr>
              <w:spacing w:after="40" w:before="0" w:line="259" w:lineRule="auto"/>
            </w:pPr>
            <w:r>
              <w:rPr>
                <w:rFonts w:ascii="Calibri" w:hAnsi="Calibri"/>
                <w:b w:val="0"/>
                <w:i w:val="0"/>
                <w:color w:val="212121"/>
                <w:sz w:val="19"/>
              </w:rPr>
              <w:t>&gt;140 g/week (F) or &gt;210 g/week (M) = MetALD</w:t>
            </w:r>
          </w:p>
        </w:tc>
        <w:tc>
          <w:tcPr>
            <w:tcW w:type="dxa" w:w="1468"/>
            <w:vAlign w:val="top"/>
          </w:tcPr>
          <w:p>
            <w:pPr>
              <w:spacing w:after="60" w:line="259" w:lineRule="auto"/>
            </w:pPr>
            <w:r>
              <w:rPr>
                <w:rFonts w:ascii="Calibri" w:hAnsi="Calibri"/>
                <w:b w:val="0"/>
                <w:i w:val="0"/>
                <w:color w:val="212121"/>
                <w:sz w:val="19"/>
              </w:rPr>
              <w:t>Even moderate alcohol worsens fibrosis and HCC risk.</w:t>
            </w:r>
          </w:p>
          <w:p>
            <w:pPr>
              <w:spacing w:after="40" w:line="252" w:lineRule="auto"/>
            </w:pPr>
            <w:hyperlink r:id="rId12">
              <w:r>
                <w:rPr>
                  <w:rFonts w:ascii="Calibri" w:hAnsi="Calibri" w:cs="Calibri"/>
                  <w:sz w:val="18"/>
                  <w:color w:val="1155CC"/>
                  <w:u w:val="single"/>
                </w:rPr>
                <w:t xml:space="preserve">https://www.aasld.org/new-masld-nomenclature</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elderly</w:t>
            </w:r>
          </w:p>
        </w:tc>
        <w:tc>
          <w:tcPr>
            <w:tcW w:type="dxa" w:w="1512"/>
            <w:vAlign w:val="top"/>
          </w:tcPr>
          <w:p>
            <w:pPr>
              <w:spacing w:after="40" w:before="0" w:line="259" w:lineRule="auto"/>
            </w:pPr>
            <w:r>
              <w:rPr>
                <w:rFonts w:ascii="Calibri" w:hAnsi="Calibri"/>
                <w:b w:val="0"/>
                <w:i w:val="0"/>
                <w:color w:val="212121"/>
                <w:sz w:val="19"/>
              </w:rPr>
              <w:t>0/day</w:t>
            </w:r>
          </w:p>
        </w:tc>
        <w:tc>
          <w:tcPr>
            <w:tcW w:type="dxa" w:w="1512"/>
            <w:vAlign w:val="top"/>
          </w:tcPr>
          <w:p>
            <w:pPr>
              <w:spacing w:after="40" w:before="0" w:line="259" w:lineRule="auto"/>
            </w:pPr>
            <w:r>
              <w:rPr>
                <w:rFonts w:ascii="Calibri" w:hAnsi="Calibri"/>
                <w:b w:val="0"/>
                <w:i w:val="0"/>
                <w:color w:val="212121"/>
                <w:sz w:val="19"/>
              </w:rPr>
              <w:t>&gt;=1/day</w:t>
            </w:r>
          </w:p>
        </w:tc>
        <w:tc>
          <w:tcPr>
            <w:tcW w:type="dxa" w:w="1468"/>
            <w:vAlign w:val="top"/>
          </w:tcPr>
          <w:p>
            <w:pPr>
              <w:spacing w:after="40" w:before="0" w:line="259" w:lineRule="auto"/>
            </w:pPr>
            <w:r>
              <w:rPr>
                <w:rFonts w:ascii="Calibri" w:hAnsi="Calibri"/>
                <w:b w:val="0"/>
                <w:i w:val="0"/>
                <w:color w:val="212121"/>
                <w:sz w:val="19"/>
              </w:rPr>
              <w:t>Smoking accelerates fibrosis and cardiovascular risk.</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Fasting glucose / HbA1c</w:t>
            </w:r>
          </w:p>
        </w:tc>
        <w:tc>
          <w:tcPr>
            <w:tcW w:type="dxa" w:w="1655"/>
            <w:vAlign w:val="top"/>
          </w:tcPr>
          <w:p>
            <w:pPr>
              <w:spacing w:after="40" w:before="0" w:line="259" w:lineRule="auto"/>
            </w:pPr>
            <w:r>
              <w:rPr>
                <w:rFonts w:ascii="Calibri" w:hAnsi="Calibri"/>
                <w:b w:val="0"/>
                <w:i w:val="0"/>
                <w:color w:val="212121"/>
                <w:sz w:val="19"/>
              </w:rPr>
              <w:t>Adults at metabolic risk</w:t>
            </w:r>
          </w:p>
        </w:tc>
        <w:tc>
          <w:tcPr>
            <w:tcW w:type="dxa" w:w="1512"/>
            <w:vAlign w:val="top"/>
          </w:tcPr>
          <w:p>
            <w:pPr>
              <w:spacing w:after="40" w:before="0" w:line="259" w:lineRule="auto"/>
            </w:pPr>
            <w:r>
              <w:rPr>
                <w:rFonts w:ascii="Calibri" w:hAnsi="Calibri"/>
                <w:b w:val="0"/>
                <w:i w:val="0"/>
                <w:color w:val="212121"/>
                <w:sz w:val="19"/>
              </w:rPr>
              <w:t>FPG &lt;100 mg/dL; HbA1c &lt;5.7%</w:t>
            </w:r>
          </w:p>
        </w:tc>
        <w:tc>
          <w:tcPr>
            <w:tcW w:type="dxa" w:w="1512"/>
            <w:vAlign w:val="top"/>
          </w:tcPr>
          <w:p>
            <w:pPr>
              <w:spacing w:after="40" w:before="0" w:line="259" w:lineRule="auto"/>
            </w:pPr>
            <w:r>
              <w:rPr>
                <w:rFonts w:ascii="Calibri" w:hAnsi="Calibri"/>
                <w:b w:val="0"/>
                <w:i w:val="0"/>
                <w:color w:val="212121"/>
                <w:sz w:val="19"/>
              </w:rPr>
              <w:t>FPG &gt;=100 mg/dL or HbA1c &gt;=5.7% or T2DM</w:t>
            </w:r>
          </w:p>
        </w:tc>
        <w:tc>
          <w:tcPr>
            <w:tcW w:type="dxa" w:w="1468"/>
            <w:vAlign w:val="top"/>
          </w:tcPr>
          <w:p>
            <w:pPr>
              <w:spacing w:after="60" w:line="259" w:lineRule="auto"/>
            </w:pPr>
            <w:r>
              <w:rPr>
                <w:rFonts w:ascii="Calibri" w:hAnsi="Calibri"/>
                <w:b w:val="0"/>
                <w:i w:val="0"/>
                <w:color w:val="212121"/>
                <w:sz w:val="19"/>
              </w:rPr>
              <w:t>Dysglycaemia is a MASLD-defining cardiometabolic criterion.</w:t>
            </w:r>
          </w:p>
          <w:p>
            <w:pPr>
              <w:spacing w:after="40" w:line="252" w:lineRule="auto"/>
            </w:pPr>
            <w:hyperlink r:id="rId12">
              <w:r>
                <w:rPr>
                  <w:rFonts w:ascii="Calibri" w:hAnsi="Calibri" w:cs="Calibri"/>
                  <w:sz w:val="18"/>
                  <w:color w:val="1155CC"/>
                  <w:u w:val="single"/>
                </w:rPr>
                <w:t xml:space="preserve">https://www.aasld.org/new-masld-nomenclature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Fasting triglycerides / HDL</w:t>
            </w:r>
          </w:p>
        </w:tc>
        <w:tc>
          <w:tcPr>
            <w:tcW w:type="dxa" w:w="1655"/>
            <w:vAlign w:val="top"/>
          </w:tcPr>
          <w:p>
            <w:pPr>
              <w:spacing w:after="40" w:before="0" w:line="259" w:lineRule="auto"/>
            </w:pPr>
            <w:r>
              <w:rPr>
                <w:rFonts w:ascii="Calibri" w:hAnsi="Calibri"/>
                <w:b w:val="0"/>
                <w:i w:val="0"/>
                <w:color w:val="212121"/>
                <w:sz w:val="19"/>
              </w:rPr>
              <w:t>Adults at metabolic risk</w:t>
            </w:r>
          </w:p>
        </w:tc>
        <w:tc>
          <w:tcPr>
            <w:tcW w:type="dxa" w:w="1512"/>
            <w:vAlign w:val="top"/>
          </w:tcPr>
          <w:p>
            <w:pPr>
              <w:spacing w:after="40" w:before="0" w:line="259" w:lineRule="auto"/>
            </w:pPr>
            <w:r>
              <w:rPr>
                <w:rFonts w:ascii="Calibri" w:hAnsi="Calibri"/>
                <w:b w:val="0"/>
                <w:i w:val="0"/>
                <w:color w:val="212121"/>
                <w:sz w:val="19"/>
              </w:rPr>
              <w:t>TG &lt;150 mg/dL; HDL &gt;40(M)/&gt;50(F)</w:t>
            </w:r>
          </w:p>
        </w:tc>
        <w:tc>
          <w:tcPr>
            <w:tcW w:type="dxa" w:w="1512"/>
            <w:vAlign w:val="top"/>
          </w:tcPr>
          <w:p>
            <w:pPr>
              <w:spacing w:after="40" w:before="0" w:line="259" w:lineRule="auto"/>
            </w:pPr>
            <w:r>
              <w:rPr>
                <w:rFonts w:ascii="Calibri" w:hAnsi="Calibri"/>
                <w:b w:val="0"/>
                <w:i w:val="0"/>
                <w:color w:val="212121"/>
                <w:sz w:val="19"/>
              </w:rPr>
              <w:t>TG &gt;=150 or HDL &lt;=40(M)/&lt;=50(F)</w:t>
            </w:r>
          </w:p>
        </w:tc>
        <w:tc>
          <w:tcPr>
            <w:tcW w:type="dxa" w:w="1468"/>
            <w:vAlign w:val="top"/>
          </w:tcPr>
          <w:p>
            <w:pPr>
              <w:spacing w:after="60" w:line="259" w:lineRule="auto"/>
            </w:pPr>
            <w:r>
              <w:rPr>
                <w:rFonts w:ascii="Calibri" w:hAnsi="Calibri"/>
                <w:b w:val="0"/>
                <w:i w:val="0"/>
                <w:color w:val="212121"/>
                <w:sz w:val="19"/>
              </w:rPr>
              <w:t>Atherogenic dyslipidaemia is a MASLD-defining criterion.</w:t>
            </w:r>
          </w:p>
          <w:p>
            <w:pPr>
              <w:spacing w:after="40" w:line="252" w:lineRule="auto"/>
            </w:pPr>
            <w:hyperlink r:id="rId12">
              <w:r>
                <w:rPr>
                  <w:rFonts w:ascii="Calibri" w:hAnsi="Calibri" w:cs="Calibri"/>
                  <w:sz w:val="18"/>
                  <w:color w:val="1155CC"/>
                  <w:u w:val="single"/>
                </w:rPr>
                <w:t xml:space="preserve">https://www.aasld.org/new-masld-nomenclature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FIB-4 index (fibrosis risk)</w:t>
            </w:r>
          </w:p>
        </w:tc>
        <w:tc>
          <w:tcPr>
            <w:tcW w:type="dxa" w:w="1655"/>
            <w:vAlign w:val="top"/>
          </w:tcPr>
          <w:p>
            <w:pPr>
              <w:spacing w:after="40" w:before="0" w:line="259" w:lineRule="auto"/>
            </w:pPr>
            <w:r>
              <w:rPr>
                <w:rFonts w:ascii="Calibri" w:hAnsi="Calibri"/>
                <w:b w:val="0"/>
                <w:i w:val="0"/>
                <w:color w:val="212121"/>
                <w:sz w:val="19"/>
              </w:rPr>
              <w:t>NAFLD adults</w:t>
            </w:r>
          </w:p>
        </w:tc>
        <w:tc>
          <w:tcPr>
            <w:tcW w:type="dxa" w:w="1512"/>
            <w:vAlign w:val="top"/>
          </w:tcPr>
          <w:p>
            <w:pPr>
              <w:spacing w:after="40" w:before="0" w:line="259" w:lineRule="auto"/>
            </w:pPr>
            <w:r>
              <w:rPr>
                <w:rFonts w:ascii="Calibri" w:hAnsi="Calibri"/>
                <w:b w:val="0"/>
                <w:i w:val="0"/>
                <w:color w:val="212121"/>
                <w:sz w:val="19"/>
              </w:rPr>
              <w:t>&lt;1.3 (low risk)</w:t>
            </w:r>
          </w:p>
        </w:tc>
        <w:tc>
          <w:tcPr>
            <w:tcW w:type="dxa" w:w="1512"/>
            <w:vAlign w:val="top"/>
          </w:tcPr>
          <w:p>
            <w:pPr>
              <w:spacing w:after="40" w:before="0" w:line="259" w:lineRule="auto"/>
            </w:pPr>
            <w:r>
              <w:rPr>
                <w:rFonts w:ascii="Calibri" w:hAnsi="Calibri"/>
                <w:b w:val="0"/>
                <w:i w:val="0"/>
                <w:color w:val="212121"/>
                <w:sz w:val="19"/>
              </w:rPr>
              <w:t>&gt;=1.3 (indeterminate); &gt;=2.67 (high)</w:t>
            </w:r>
          </w:p>
        </w:tc>
        <w:tc>
          <w:tcPr>
            <w:tcW w:type="dxa" w:w="1468"/>
            <w:vAlign w:val="top"/>
          </w:tcPr>
          <w:p>
            <w:pPr>
              <w:spacing w:after="60" w:line="259" w:lineRule="auto"/>
            </w:pPr>
            <w:r>
              <w:rPr>
                <w:rFonts w:ascii="Calibri" w:hAnsi="Calibri"/>
                <w:b w:val="0"/>
                <w:i w:val="0"/>
                <w:color w:val="212121"/>
                <w:sz w:val="19"/>
              </w:rPr>
              <w:t>First-line non-invasive fibrosis triage before elastography/biopsy.</w:t>
            </w:r>
          </w:p>
          <w:p>
            <w:pPr>
              <w:spacing w:after="40" w:line="252" w:lineRule="auto"/>
            </w:pPr>
            <w:hyperlink r:id="rId16">
              <w:r>
                <w:rPr>
                  <w:rFonts w:ascii="Calibri" w:hAnsi="Calibri" w:cs="Calibri"/>
                  <w:sz w:val="18"/>
                  <w:color w:val="1155CC"/>
                  <w:u w:val="single"/>
                </w:rPr>
                <w:t xml:space="preserve">https://www.ncbi.nlm.nih.gov/books/NBK541033/</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Alanine aminotransferase (ALT)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~7-40 U/L</w:t>
            </w:r>
          </w:p>
        </w:tc>
        <w:tc>
          <w:tcPr>
            <w:tcW w:type="dxa" w:w="950"/>
            <w:vAlign w:val="top"/>
          </w:tcPr>
          <w:p>
            <w:pPr>
              <w:spacing w:after="40" w:before="0" w:line="259" w:lineRule="auto"/>
            </w:pPr>
            <w:r>
              <w:rPr>
                <w:rFonts w:ascii="Calibri" w:hAnsi="Calibri"/>
                <w:b w:val="0"/>
                <w:i w:val="0"/>
                <w:color w:val="212121"/>
                <w:sz w:val="16"/>
              </w:rPr>
              <w:t>Persistently elevated (often mild, 1.5-3x)</w:t>
            </w:r>
          </w:p>
        </w:tc>
        <w:tc>
          <w:tcPr>
            <w:tcW w:type="dxa" w:w="1036"/>
            <w:vAlign w:val="top"/>
          </w:tcPr>
          <w:p>
            <w:pPr>
              <w:spacing w:after="40" w:before="0" w:line="259" w:lineRule="auto"/>
            </w:pPr>
            <w:r>
              <w:rPr>
                <w:rFonts w:ascii="Calibri" w:hAnsi="Calibri"/>
                <w:b w:val="0"/>
                <w:i w:val="0"/>
                <w:color w:val="212121"/>
                <w:sz w:val="16"/>
              </w:rPr>
              <w:t>Marker of hepatocellular injury; may be normal despite significant NAFLD/fibrosis</w:t>
            </w:r>
          </w:p>
        </w:tc>
        <w:tc>
          <w:tcPr>
            <w:tcW w:type="dxa" w:w="1036"/>
            <w:vAlign w:val="top"/>
          </w:tcPr>
          <w:p>
            <w:pPr>
              <w:spacing w:after="40" w:before="0" w:line="259" w:lineRule="auto"/>
            </w:pPr>
            <w:r>
              <w:rPr>
                <w:rFonts w:ascii="Calibri" w:hAnsi="Calibri"/>
                <w:b w:val="0"/>
                <w:i w:val="0"/>
                <w:color w:val="212121"/>
                <w:sz w:val="16"/>
              </w:rPr>
              <w:t>Diabetics, obese, metabolic syndrome, incidental fatty liver</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Normal ALT does not exclude NASH or advanced fibrosis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AST and AST/ALT ratio</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AST ~8-40 U/L; ratio &lt;1</w:t>
            </w:r>
          </w:p>
        </w:tc>
        <w:tc>
          <w:tcPr>
            <w:tcW w:type="dxa" w:w="950"/>
            <w:vAlign w:val="top"/>
          </w:tcPr>
          <w:p>
            <w:pPr>
              <w:spacing w:after="40" w:before="0" w:line="259" w:lineRule="auto"/>
            </w:pPr>
            <w:r>
              <w:rPr>
                <w:rFonts w:ascii="Calibri" w:hAnsi="Calibri"/>
                <w:b w:val="0"/>
                <w:i w:val="0"/>
                <w:color w:val="212121"/>
                <w:sz w:val="16"/>
              </w:rPr>
              <w:t>AST/ALT ratio &gt;1 suggests advanced fibrosis</w:t>
            </w:r>
          </w:p>
        </w:tc>
        <w:tc>
          <w:tcPr>
            <w:tcW w:type="dxa" w:w="1036"/>
            <w:vAlign w:val="top"/>
          </w:tcPr>
          <w:p>
            <w:pPr>
              <w:spacing w:after="40" w:before="0" w:line="259" w:lineRule="auto"/>
            </w:pPr>
            <w:r>
              <w:rPr>
                <w:rFonts w:ascii="Calibri" w:hAnsi="Calibri"/>
                <w:b w:val="0"/>
                <w:i w:val="0"/>
                <w:color w:val="212121"/>
                <w:sz w:val="16"/>
              </w:rPr>
              <w:t>Rising ratio indicates fibrosis/cirrhosis; feeds FIB-4</w:t>
            </w:r>
          </w:p>
        </w:tc>
        <w:tc>
          <w:tcPr>
            <w:tcW w:type="dxa" w:w="1036"/>
            <w:vAlign w:val="top"/>
          </w:tcPr>
          <w:p>
            <w:pPr>
              <w:spacing w:after="40" w:before="0" w:line="259" w:lineRule="auto"/>
            </w:pPr>
            <w:r>
              <w:rPr>
                <w:rFonts w:ascii="Calibri" w:hAnsi="Calibri"/>
                <w:b w:val="0"/>
                <w:i w:val="0"/>
                <w:color w:val="212121"/>
                <w:sz w:val="16"/>
              </w:rPr>
              <w:t>Long-standing NAFLD, diabetics, elderly</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Ratio &gt;1 warrants fibrosis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Gamma-glutamyl transferase (GGT)</w:t>
            </w:r>
          </w:p>
        </w:tc>
        <w:tc>
          <w:tcPr>
            <w:tcW w:type="dxa" w:w="892"/>
            <w:vAlign w:val="top"/>
          </w:tcPr>
          <w:p>
            <w:pPr>
              <w:spacing w:after="40" w:before="0" w:line="259" w:lineRule="auto"/>
            </w:pPr>
            <w:r>
              <w:rPr>
                <w:rFonts w:ascii="Calibri" w:hAnsi="Calibri"/>
                <w:b w:val="0"/>
                <w:i w:val="0"/>
                <w:color w:val="212121"/>
                <w:sz w:val="16"/>
              </w:rPr>
              <w:t>Liver Function Test</w:t>
            </w:r>
          </w:p>
        </w:tc>
        <w:tc>
          <w:tcPr>
            <w:tcW w:type="dxa" w:w="950"/>
            <w:vAlign w:val="top"/>
          </w:tcPr>
          <w:p>
            <w:pPr>
              <w:spacing w:after="40" w:before="0" w:line="259" w:lineRule="auto"/>
            </w:pPr>
            <w:r>
              <w:rPr>
                <w:rFonts w:ascii="Calibri" w:hAnsi="Calibri"/>
                <w:b w:val="0"/>
                <w:i w:val="0"/>
                <w:color w:val="212121"/>
                <w:sz w:val="16"/>
              </w:rPr>
              <w:t>M &lt;55, F &lt;38 U/L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Non-specific; supports steatohepatitis and flags alcohol contribution</w:t>
            </w:r>
          </w:p>
        </w:tc>
        <w:tc>
          <w:tcPr>
            <w:tcW w:type="dxa" w:w="1036"/>
            <w:vAlign w:val="top"/>
          </w:tcPr>
          <w:p>
            <w:pPr>
              <w:spacing w:after="40" w:before="0" w:line="259" w:lineRule="auto"/>
            </w:pPr>
            <w:r>
              <w:rPr>
                <w:rFonts w:ascii="Calibri" w:hAnsi="Calibri"/>
                <w:b w:val="0"/>
                <w:i w:val="0"/>
                <w:color w:val="212121"/>
                <w:sz w:val="16"/>
              </w:rPr>
              <w:t>NAFLD with metabolic syndrome, MetALD</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Interpret with alcohol history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panel</w:t>
            </w:r>
          </w:p>
        </w:tc>
        <w:tc>
          <w:tcPr>
            <w:tcW w:type="dxa" w:w="950"/>
            <w:vAlign w:val="top"/>
          </w:tcPr>
          <w:p>
            <w:pPr>
              <w:spacing w:after="40" w:before="0" w:line="259" w:lineRule="auto"/>
            </w:pPr>
            <w:r>
              <w:rPr>
                <w:rFonts w:ascii="Calibri" w:hAnsi="Calibri"/>
                <w:b w:val="0"/>
                <w:i w:val="0"/>
                <w:color w:val="212121"/>
                <w:sz w:val="16"/>
              </w:rPr>
              <w:t>FPG &lt;100 mg/dL; HbA1c &lt;5.7%</w:t>
            </w:r>
          </w:p>
        </w:tc>
        <w:tc>
          <w:tcPr>
            <w:tcW w:type="dxa" w:w="950"/>
            <w:vAlign w:val="top"/>
          </w:tcPr>
          <w:p>
            <w:pPr>
              <w:spacing w:after="40" w:before="0" w:line="259" w:lineRule="auto"/>
            </w:pPr>
            <w:r>
              <w:rPr>
                <w:rFonts w:ascii="Calibri" w:hAnsi="Calibri"/>
                <w:b w:val="0"/>
                <w:i w:val="0"/>
                <w:color w:val="212121"/>
                <w:sz w:val="16"/>
              </w:rPr>
              <w:t>FPG &gt;=100 or HbA1c &gt;=5.7% or T2DM</w:t>
            </w:r>
          </w:p>
        </w:tc>
        <w:tc>
          <w:tcPr>
            <w:tcW w:type="dxa" w:w="1036"/>
            <w:vAlign w:val="top"/>
          </w:tcPr>
          <w:p>
            <w:pPr>
              <w:spacing w:after="40" w:before="0" w:line="259" w:lineRule="auto"/>
            </w:pPr>
            <w:r>
              <w:rPr>
                <w:rFonts w:ascii="Calibri" w:hAnsi="Calibri"/>
                <w:b w:val="0"/>
                <w:i w:val="0"/>
                <w:color w:val="212121"/>
                <w:sz w:val="16"/>
              </w:rPr>
              <w:t>Confirms a cardiometabolic (MASLD-defining) criterion and prognostic driver</w:t>
            </w:r>
          </w:p>
        </w:tc>
        <w:tc>
          <w:tcPr>
            <w:tcW w:type="dxa" w:w="1036"/>
            <w:vAlign w:val="top"/>
          </w:tcPr>
          <w:p>
            <w:pPr>
              <w:spacing w:after="40" w:before="0" w:line="259" w:lineRule="auto"/>
            </w:pPr>
            <w:r>
              <w:rPr>
                <w:rFonts w:ascii="Calibri" w:hAnsi="Calibri"/>
                <w:b w:val="0"/>
                <w:i w:val="0"/>
                <w:color w:val="212121"/>
                <w:sz w:val="16"/>
              </w:rPr>
              <w:t>All suspected NAFLD/MASLD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 (MASLD criterion)</w:t>
            </w:r>
          </w:p>
        </w:tc>
        <w:tc>
          <w:tcPr>
            <w:tcW w:type="dxa" w:w="720"/>
            <w:vAlign w:val="top"/>
          </w:tcPr>
          <w:p>
            <w:pPr>
              <w:spacing w:after="40" w:before="0" w:line="259" w:lineRule="auto"/>
            </w:pPr>
            <w:r>
              <w:rPr>
                <w:rFonts w:ascii="Calibri" w:hAnsi="Calibri"/>
                <w:b w:val="0"/>
                <w:i w:val="0"/>
                <w:color w:val="212121"/>
                <w:sz w:val="16"/>
              </w:rPr>
              <w:t>Screen all NAFLD for diabetes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Lipid profile (TG, HDL)</w:t>
            </w:r>
          </w:p>
        </w:tc>
        <w:tc>
          <w:tcPr>
            <w:tcW w:type="dxa" w:w="892"/>
            <w:vAlign w:val="top"/>
          </w:tcPr>
          <w:p>
            <w:pPr>
              <w:spacing w:after="40" w:before="0" w:line="259" w:lineRule="auto"/>
            </w:pPr>
            <w:r>
              <w:rPr>
                <w:rFonts w:ascii="Calibri" w:hAnsi="Calibri"/>
                <w:b w:val="0"/>
                <w:i w:val="0"/>
                <w:color w:val="212121"/>
                <w:sz w:val="16"/>
              </w:rPr>
              <w:t>Fasting lipids</w:t>
            </w:r>
          </w:p>
        </w:tc>
        <w:tc>
          <w:tcPr>
            <w:tcW w:type="dxa" w:w="950"/>
            <w:vAlign w:val="top"/>
          </w:tcPr>
          <w:p>
            <w:pPr>
              <w:spacing w:after="40" w:before="0" w:line="259" w:lineRule="auto"/>
            </w:pPr>
            <w:r>
              <w:rPr>
                <w:rFonts w:ascii="Calibri" w:hAnsi="Calibri"/>
                <w:b w:val="0"/>
                <w:i w:val="0"/>
                <w:color w:val="212121"/>
                <w:sz w:val="16"/>
              </w:rPr>
              <w:t>TG &lt;150; HDL &gt;40(M)/&gt;50(F) mg/dL</w:t>
            </w:r>
          </w:p>
        </w:tc>
        <w:tc>
          <w:tcPr>
            <w:tcW w:type="dxa" w:w="950"/>
            <w:vAlign w:val="top"/>
          </w:tcPr>
          <w:p>
            <w:pPr>
              <w:spacing w:after="40" w:before="0" w:line="259" w:lineRule="auto"/>
            </w:pPr>
            <w:r>
              <w:rPr>
                <w:rFonts w:ascii="Calibri" w:hAnsi="Calibri"/>
                <w:b w:val="0"/>
                <w:i w:val="0"/>
                <w:color w:val="212121"/>
                <w:sz w:val="16"/>
              </w:rPr>
              <w:t>TG &gt;=150 or low HDL</w:t>
            </w:r>
          </w:p>
        </w:tc>
        <w:tc>
          <w:tcPr>
            <w:tcW w:type="dxa" w:w="1036"/>
            <w:vAlign w:val="top"/>
          </w:tcPr>
          <w:p>
            <w:pPr>
              <w:spacing w:after="40" w:before="0" w:line="259" w:lineRule="auto"/>
            </w:pPr>
            <w:r>
              <w:rPr>
                <w:rFonts w:ascii="Calibri" w:hAnsi="Calibri"/>
                <w:b w:val="0"/>
                <w:i w:val="0"/>
                <w:color w:val="212121"/>
                <w:sz w:val="16"/>
              </w:rPr>
              <w:t>Atherogenic dyslipidaemia - MASLD criterion and cardiovascular risk marker</w:t>
            </w:r>
          </w:p>
        </w:tc>
        <w:tc>
          <w:tcPr>
            <w:tcW w:type="dxa" w:w="1036"/>
            <w:vAlign w:val="top"/>
          </w:tcPr>
          <w:p>
            <w:pPr>
              <w:spacing w:after="40" w:before="0" w:line="259" w:lineRule="auto"/>
            </w:pPr>
            <w:r>
              <w:rPr>
                <w:rFonts w:ascii="Calibri" w:hAnsi="Calibri"/>
                <w:b w:val="0"/>
                <w:i w:val="0"/>
                <w:color w:val="212121"/>
                <w:sz w:val="16"/>
              </w:rPr>
              <w:t>NAFLD, metabolic syndrome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Diagnostic (MASLD criterion)</w:t>
            </w:r>
          </w:p>
        </w:tc>
        <w:tc>
          <w:tcPr>
            <w:tcW w:type="dxa" w:w="720"/>
            <w:vAlign w:val="top"/>
          </w:tcPr>
          <w:p>
            <w:pPr>
              <w:spacing w:after="40" w:before="0" w:line="259" w:lineRule="auto"/>
            </w:pPr>
            <w:r>
              <w:rPr>
                <w:rFonts w:ascii="Calibri" w:hAnsi="Calibri"/>
                <w:b w:val="0"/>
                <w:i w:val="0"/>
                <w:color w:val="212121"/>
                <w:sz w:val="16"/>
              </w:rPr>
              <w:t>CVD is the leading cause of death in NAFLD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Platelet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&gt;=150,000/uL</w:t>
            </w:r>
          </w:p>
        </w:tc>
        <w:tc>
          <w:tcPr>
            <w:tcW w:type="dxa" w:w="950"/>
            <w:vAlign w:val="top"/>
          </w:tcPr>
          <w:p>
            <w:pPr>
              <w:spacing w:after="40" w:before="0" w:line="259" w:lineRule="auto"/>
            </w:pPr>
            <w:r>
              <w:rPr>
                <w:rFonts w:ascii="Calibri" w:hAnsi="Calibri"/>
                <w:b w:val="0"/>
                <w:i w:val="0"/>
                <w:color w:val="212121"/>
                <w:sz w:val="16"/>
              </w:rPr>
              <w:t>&lt;150,000/uL (thrombocytopenia)</w:t>
            </w:r>
          </w:p>
        </w:tc>
        <w:tc>
          <w:tcPr>
            <w:tcW w:type="dxa" w:w="1036"/>
            <w:vAlign w:val="top"/>
          </w:tcPr>
          <w:p>
            <w:pPr>
              <w:spacing w:after="40" w:before="0" w:line="259" w:lineRule="auto"/>
            </w:pPr>
            <w:r>
              <w:rPr>
                <w:rFonts w:ascii="Calibri" w:hAnsi="Calibri"/>
                <w:b w:val="0"/>
                <w:i w:val="0"/>
                <w:color w:val="212121"/>
                <w:sz w:val="16"/>
              </w:rPr>
              <w:t>Falling platelets suggest portal hypertension/advanced fibrosis; feeds FIB-4</w:t>
            </w:r>
          </w:p>
        </w:tc>
        <w:tc>
          <w:tcPr>
            <w:tcW w:type="dxa" w:w="1036"/>
            <w:vAlign w:val="top"/>
          </w:tcPr>
          <w:p>
            <w:pPr>
              <w:spacing w:after="40" w:before="0" w:line="259" w:lineRule="auto"/>
            </w:pPr>
            <w:r>
              <w:rPr>
                <w:rFonts w:ascii="Calibri" w:hAnsi="Calibri"/>
                <w:b w:val="0"/>
                <w:i w:val="0"/>
                <w:color w:val="212121"/>
                <w:sz w:val="16"/>
              </w:rPr>
              <w:t>Advanced NAFLD, cirrhosis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Component of FIB-4 and NFS scores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Hepatic steatosis (bright liver)</w:t>
            </w:r>
          </w:p>
        </w:tc>
        <w:tc>
          <w:tcPr>
            <w:tcW w:type="dxa" w:w="892"/>
            <w:vAlign w:val="top"/>
          </w:tcPr>
          <w:p>
            <w:pPr>
              <w:spacing w:after="40" w:before="0" w:line="259" w:lineRule="auto"/>
            </w:pPr>
            <w:r>
              <w:rPr>
                <w:rFonts w:ascii="Calibri" w:hAnsi="Calibri"/>
                <w:b w:val="0"/>
                <w:i w:val="0"/>
                <w:color w:val="212121"/>
                <w:sz w:val="16"/>
              </w:rPr>
              <w:t>Abdominal ultrasound</w:t>
            </w:r>
          </w:p>
        </w:tc>
        <w:tc>
          <w:tcPr>
            <w:tcW w:type="dxa" w:w="950"/>
            <w:vAlign w:val="top"/>
          </w:tcPr>
          <w:p>
            <w:pPr>
              <w:spacing w:after="40" w:before="0" w:line="259" w:lineRule="auto"/>
            </w:pPr>
            <w:r>
              <w:rPr>
                <w:rFonts w:ascii="Calibri" w:hAnsi="Calibri"/>
                <w:b w:val="0"/>
                <w:i w:val="0"/>
                <w:color w:val="212121"/>
                <w:sz w:val="16"/>
              </w:rPr>
              <w:t>Normal hepatic echotexture</w:t>
            </w:r>
          </w:p>
        </w:tc>
        <w:tc>
          <w:tcPr>
            <w:tcW w:type="dxa" w:w="950"/>
            <w:vAlign w:val="top"/>
          </w:tcPr>
          <w:p>
            <w:pPr>
              <w:spacing w:after="40" w:before="0" w:line="259" w:lineRule="auto"/>
            </w:pPr>
            <w:r>
              <w:rPr>
                <w:rFonts w:ascii="Calibri" w:hAnsi="Calibri"/>
                <w:b w:val="0"/>
                <w:i w:val="0"/>
                <w:color w:val="212121"/>
                <w:sz w:val="16"/>
              </w:rPr>
              <w:t>Increased echogenicity (grade 1-3)</w:t>
            </w:r>
          </w:p>
        </w:tc>
        <w:tc>
          <w:tcPr>
            <w:tcW w:type="dxa" w:w="1036"/>
            <w:vAlign w:val="top"/>
          </w:tcPr>
          <w:p>
            <w:pPr>
              <w:spacing w:after="40" w:before="0" w:line="259" w:lineRule="auto"/>
            </w:pPr>
            <w:r>
              <w:rPr>
                <w:rFonts w:ascii="Calibri" w:hAnsi="Calibri"/>
                <w:b w:val="0"/>
                <w:i w:val="0"/>
                <w:color w:val="212121"/>
                <w:sz w:val="16"/>
              </w:rPr>
              <w:t>First-line, detects moderate-severe steatosis (&gt;~20-30% fat); low sensitivity for mild</w:t>
            </w:r>
          </w:p>
        </w:tc>
        <w:tc>
          <w:tcPr>
            <w:tcW w:type="dxa" w:w="1036"/>
            <w:vAlign w:val="top"/>
          </w:tcPr>
          <w:p>
            <w:pPr>
              <w:spacing w:after="40" w:before="0" w:line="259" w:lineRule="auto"/>
            </w:pPr>
            <w:r>
              <w:rPr>
                <w:rFonts w:ascii="Calibri" w:hAnsi="Calibri"/>
                <w:b w:val="0"/>
                <w:i w:val="0"/>
                <w:color w:val="212121"/>
                <w:sz w:val="16"/>
              </w:rPr>
              <w:t>All suspected NAFLD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First-line imaging</w:t>
            </w:r>
          </w:p>
        </w:tc>
        <w:tc>
          <w:tcPr>
            <w:tcW w:type="dxa" w:w="720"/>
            <w:vAlign w:val="top"/>
          </w:tcPr>
          <w:p>
            <w:pPr>
              <w:spacing w:after="40" w:before="0" w:line="259" w:lineRule="auto"/>
            </w:pPr>
            <w:r>
              <w:rPr>
                <w:rFonts w:ascii="Calibri" w:hAnsi="Calibri"/>
                <w:b w:val="0"/>
                <w:i w:val="0"/>
                <w:color w:val="212121"/>
                <w:sz w:val="16"/>
              </w:rPr>
              <w:t>Cannot stage fibrosis or diagnose NASH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(elastography)</w:t>
            </w:r>
          </w:p>
        </w:tc>
        <w:tc>
          <w:tcPr>
            <w:tcW w:type="dxa" w:w="1036"/>
            <w:vAlign w:val="top"/>
          </w:tcPr>
          <w:p>
            <w:pPr>
              <w:spacing w:after="40" w:before="0" w:line="259" w:lineRule="auto"/>
            </w:pPr>
            <w:r>
              <w:rPr>
                <w:rFonts w:ascii="Calibri" w:hAnsi="Calibri"/>
                <w:b w:val="0"/>
                <w:i w:val="0"/>
                <w:color w:val="212121"/>
                <w:sz w:val="16"/>
              </w:rPr>
              <w:t>CAP + liver stiffness (kPa)</w:t>
            </w:r>
          </w:p>
        </w:tc>
        <w:tc>
          <w:tcPr>
            <w:tcW w:type="dxa" w:w="892"/>
            <w:vAlign w:val="top"/>
          </w:tcPr>
          <w:p>
            <w:pPr>
              <w:spacing w:after="40" w:before="0" w:line="259" w:lineRule="auto"/>
            </w:pPr>
            <w:r>
              <w:rPr>
                <w:rFonts w:ascii="Calibri" w:hAnsi="Calibri"/>
                <w:b w:val="0"/>
                <w:i w:val="0"/>
                <w:color w:val="212121"/>
                <w:sz w:val="16"/>
              </w:rPr>
              <w:t>Transient elastography (FibroScan)</w:t>
            </w:r>
          </w:p>
        </w:tc>
        <w:tc>
          <w:tcPr>
            <w:tcW w:type="dxa" w:w="950"/>
            <w:vAlign w:val="top"/>
          </w:tcPr>
          <w:p>
            <w:pPr>
              <w:spacing w:after="40" w:before="0" w:line="259" w:lineRule="auto"/>
            </w:pPr>
            <w:r>
              <w:rPr>
                <w:rFonts w:ascii="Calibri" w:hAnsi="Calibri"/>
                <w:b w:val="0"/>
                <w:i w:val="0"/>
                <w:color w:val="212121"/>
                <w:sz w:val="16"/>
              </w:rPr>
              <w:t>LSM &lt;8 kPa (low fibrosis)</w:t>
            </w:r>
          </w:p>
        </w:tc>
        <w:tc>
          <w:tcPr>
            <w:tcW w:type="dxa" w:w="950"/>
            <w:vAlign w:val="top"/>
          </w:tcPr>
          <w:p>
            <w:pPr>
              <w:spacing w:after="40" w:before="0" w:line="259" w:lineRule="auto"/>
            </w:pPr>
            <w:r>
              <w:rPr>
                <w:rFonts w:ascii="Calibri" w:hAnsi="Calibri"/>
                <w:b w:val="0"/>
                <w:i w:val="0"/>
                <w:color w:val="212121"/>
                <w:sz w:val="16"/>
              </w:rPr>
              <w:t>LSM &gt;8-12 kPa suggests significant/advanced fibrosis</w:t>
            </w:r>
          </w:p>
        </w:tc>
        <w:tc>
          <w:tcPr>
            <w:tcW w:type="dxa" w:w="1036"/>
            <w:vAlign w:val="top"/>
          </w:tcPr>
          <w:p>
            <w:pPr>
              <w:spacing w:after="40" w:before="0" w:line="259" w:lineRule="auto"/>
            </w:pPr>
            <w:r>
              <w:rPr>
                <w:rFonts w:ascii="Calibri" w:hAnsi="Calibri"/>
                <w:b w:val="0"/>
                <w:i w:val="0"/>
                <w:color w:val="212121"/>
                <w:sz w:val="16"/>
              </w:rPr>
              <w:t>CAP quantifies steatosis; liver stiffness risk-stratifies fibrosis non-invasively</w:t>
            </w:r>
          </w:p>
        </w:tc>
        <w:tc>
          <w:tcPr>
            <w:tcW w:type="dxa" w:w="1036"/>
            <w:vAlign w:val="top"/>
          </w:tcPr>
          <w:p>
            <w:pPr>
              <w:spacing w:after="40" w:before="0" w:line="259" w:lineRule="auto"/>
            </w:pPr>
            <w:r>
              <w:rPr>
                <w:rFonts w:ascii="Calibri" w:hAnsi="Calibri"/>
                <w:b w:val="0"/>
                <w:i w:val="0"/>
                <w:color w:val="212121"/>
                <w:sz w:val="16"/>
              </w:rPr>
              <w:t>NAFLD with raised FIB-4, diabetics</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Fibrosis staging</w:t>
            </w:r>
          </w:p>
        </w:tc>
        <w:tc>
          <w:tcPr>
            <w:tcW w:type="dxa" w:w="720"/>
            <w:vAlign w:val="top"/>
          </w:tcPr>
          <w:p>
            <w:pPr>
              <w:spacing w:after="40" w:before="0" w:line="259" w:lineRule="auto"/>
            </w:pPr>
            <w:r>
              <w:rPr>
                <w:rFonts w:ascii="Calibri" w:hAnsi="Calibri"/>
                <w:b w:val="0"/>
                <w:i w:val="0"/>
                <w:color w:val="212121"/>
                <w:sz w:val="16"/>
              </w:rPr>
              <w:t>Preferred non-invasive fibrosis tool</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 (MRI)</w:t>
            </w:r>
          </w:p>
        </w:tc>
        <w:tc>
          <w:tcPr>
            <w:tcW w:type="dxa" w:w="1036"/>
            <w:vAlign w:val="top"/>
          </w:tcPr>
          <w:p>
            <w:pPr>
              <w:spacing w:after="40" w:before="0" w:line="259" w:lineRule="auto"/>
            </w:pPr>
            <w:r>
              <w:rPr>
                <w:rFonts w:ascii="Calibri" w:hAnsi="Calibri"/>
                <w:b w:val="0"/>
                <w:i w:val="0"/>
                <w:color w:val="212121"/>
                <w:sz w:val="16"/>
              </w:rPr>
              <w:t>MRI proton-density fat fraction</w:t>
            </w:r>
          </w:p>
        </w:tc>
        <w:tc>
          <w:tcPr>
            <w:tcW w:type="dxa" w:w="892"/>
            <w:vAlign w:val="top"/>
          </w:tcPr>
          <w:p>
            <w:pPr>
              <w:spacing w:after="40" w:before="0" w:line="259" w:lineRule="auto"/>
            </w:pPr>
            <w:r>
              <w:rPr>
                <w:rFonts w:ascii="Calibri" w:hAnsi="Calibri"/>
                <w:b w:val="0"/>
                <w:i w:val="0"/>
                <w:color w:val="212121"/>
                <w:sz w:val="16"/>
              </w:rPr>
              <w:t>MRI-PDFF</w:t>
            </w:r>
          </w:p>
        </w:tc>
        <w:tc>
          <w:tcPr>
            <w:tcW w:type="dxa" w:w="950"/>
            <w:vAlign w:val="top"/>
          </w:tcPr>
          <w:p>
            <w:pPr>
              <w:spacing w:after="40" w:before="0" w:line="259" w:lineRule="auto"/>
            </w:pPr>
            <w:r>
              <w:rPr>
                <w:rFonts w:ascii="Calibri" w:hAnsi="Calibri"/>
                <w:b w:val="0"/>
                <w:i w:val="0"/>
                <w:color w:val="212121"/>
                <w:sz w:val="16"/>
              </w:rPr>
              <w:t>&lt;5% fat fraction</w:t>
            </w:r>
          </w:p>
        </w:tc>
        <w:tc>
          <w:tcPr>
            <w:tcW w:type="dxa" w:w="950"/>
            <w:vAlign w:val="top"/>
          </w:tcPr>
          <w:p>
            <w:pPr>
              <w:spacing w:after="40" w:before="0" w:line="259" w:lineRule="auto"/>
            </w:pPr>
            <w:r>
              <w:rPr>
                <w:rFonts w:ascii="Calibri" w:hAnsi="Calibri"/>
                <w:b w:val="0"/>
                <w:i w:val="0"/>
                <w:color w:val="212121"/>
                <w:sz w:val="16"/>
              </w:rPr>
              <w:t>&gt;=5% (steatosis); higher = more fat</w:t>
            </w:r>
          </w:p>
        </w:tc>
        <w:tc>
          <w:tcPr>
            <w:tcW w:type="dxa" w:w="1036"/>
            <w:vAlign w:val="top"/>
          </w:tcPr>
          <w:p>
            <w:pPr>
              <w:spacing w:after="40" w:before="0" w:line="259" w:lineRule="auto"/>
            </w:pPr>
            <w:r>
              <w:rPr>
                <w:rFonts w:ascii="Calibri" w:hAnsi="Calibri"/>
                <w:b w:val="0"/>
                <w:i w:val="0"/>
                <w:color w:val="212121"/>
                <w:sz w:val="16"/>
              </w:rPr>
              <w:t>Most accurate, weight-independent quantification of liver fat; used in trials</w:t>
            </w:r>
          </w:p>
        </w:tc>
        <w:tc>
          <w:tcPr>
            <w:tcW w:type="dxa" w:w="1036"/>
            <w:vAlign w:val="top"/>
          </w:tcPr>
          <w:p>
            <w:pPr>
              <w:spacing w:after="40" w:before="0" w:line="259" w:lineRule="auto"/>
            </w:pPr>
            <w:r>
              <w:rPr>
                <w:rFonts w:ascii="Calibri" w:hAnsi="Calibri"/>
                <w:b w:val="0"/>
                <w:i w:val="0"/>
                <w:color w:val="212121"/>
                <w:sz w:val="16"/>
              </w:rPr>
              <w:t>Diagnostic uncertainty, research/monitoring</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Reference standard (fat)</w:t>
            </w:r>
          </w:p>
        </w:tc>
        <w:tc>
          <w:tcPr>
            <w:tcW w:type="dxa" w:w="720"/>
            <w:vAlign w:val="top"/>
          </w:tcPr>
          <w:p>
            <w:pPr>
              <w:spacing w:after="40" w:before="0" w:line="259" w:lineRule="auto"/>
            </w:pPr>
            <w:r>
              <w:rPr>
                <w:rFonts w:ascii="Calibri" w:hAnsi="Calibri"/>
                <w:b w:val="0"/>
                <w:i w:val="0"/>
                <w:color w:val="212121"/>
                <w:sz w:val="16"/>
              </w:rPr>
              <w:t>MR elastography adds fibrosis staging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Histopathology</w:t>
            </w:r>
          </w:p>
        </w:tc>
        <w:tc>
          <w:tcPr>
            <w:tcW w:type="dxa" w:w="1036"/>
            <w:vAlign w:val="top"/>
          </w:tcPr>
          <w:p>
            <w:pPr>
              <w:spacing w:after="40" w:before="0" w:line="259" w:lineRule="auto"/>
            </w:pPr>
            <w:r>
              <w:rPr>
                <w:rFonts w:ascii="Calibri" w:hAnsi="Calibri"/>
                <w:b w:val="0"/>
                <w:i w:val="0"/>
                <w:color w:val="212121"/>
                <w:sz w:val="16"/>
              </w:rPr>
              <w:t>Steatosis, ballooning, inflammation, fibrosis stage</w:t>
            </w:r>
          </w:p>
        </w:tc>
        <w:tc>
          <w:tcPr>
            <w:tcW w:type="dxa" w:w="892"/>
            <w:vAlign w:val="top"/>
          </w:tcPr>
          <w:p>
            <w:pPr>
              <w:spacing w:after="40" w:before="0" w:line="259" w:lineRule="auto"/>
            </w:pPr>
            <w:r>
              <w:rPr>
                <w:rFonts w:ascii="Calibri" w:hAnsi="Calibri"/>
                <w:b w:val="0"/>
                <w:i w:val="0"/>
                <w:color w:val="212121"/>
                <w:sz w:val="16"/>
              </w:rPr>
              <w:t>Liver biopsy</w:t>
            </w:r>
          </w:p>
        </w:tc>
        <w:tc>
          <w:tcPr>
            <w:tcW w:type="dxa" w:w="950"/>
            <w:vAlign w:val="top"/>
          </w:tcPr>
          <w:p>
            <w:pPr>
              <w:spacing w:after="40" w:before="0" w:line="259" w:lineRule="auto"/>
            </w:pPr>
            <w:r>
              <w:rPr>
                <w:rFonts w:ascii="Calibri" w:hAnsi="Calibri"/>
                <w:b w:val="0"/>
                <w:i w:val="0"/>
                <w:color w:val="212121"/>
                <w:sz w:val="16"/>
              </w:rPr>
              <w:t>Normal architecture</w:t>
            </w:r>
          </w:p>
        </w:tc>
        <w:tc>
          <w:tcPr>
            <w:tcW w:type="dxa" w:w="950"/>
            <w:vAlign w:val="top"/>
          </w:tcPr>
          <w:p>
            <w:pPr>
              <w:spacing w:after="40" w:before="0" w:line="259" w:lineRule="auto"/>
            </w:pPr>
            <w:r>
              <w:rPr>
                <w:rFonts w:ascii="Calibri" w:hAnsi="Calibri"/>
                <w:b w:val="0"/>
                <w:i w:val="0"/>
                <w:color w:val="212121"/>
                <w:sz w:val="16"/>
              </w:rPr>
              <w:t>NASH (steatosis + ballooning + inflammation) +/- fibrosis F0-F4</w:t>
            </w:r>
          </w:p>
        </w:tc>
        <w:tc>
          <w:tcPr>
            <w:tcW w:type="dxa" w:w="1036"/>
            <w:vAlign w:val="top"/>
          </w:tcPr>
          <w:p>
            <w:pPr>
              <w:spacing w:after="40" w:before="0" w:line="259" w:lineRule="auto"/>
            </w:pPr>
            <w:r>
              <w:rPr>
                <w:rFonts w:ascii="Calibri" w:hAnsi="Calibri"/>
                <w:b w:val="0"/>
                <w:i w:val="0"/>
                <w:color w:val="212121"/>
                <w:sz w:val="16"/>
              </w:rPr>
              <w:t>Gold standard to confirm steatohepatitis and stage fibrosis</w:t>
            </w:r>
          </w:p>
        </w:tc>
        <w:tc>
          <w:tcPr>
            <w:tcW w:type="dxa" w:w="1036"/>
            <w:vAlign w:val="top"/>
          </w:tcPr>
          <w:p>
            <w:pPr>
              <w:spacing w:after="40" w:before="0" w:line="259" w:lineRule="auto"/>
            </w:pPr>
            <w:r>
              <w:rPr>
                <w:rFonts w:ascii="Calibri" w:hAnsi="Calibri"/>
                <w:b w:val="0"/>
                <w:i w:val="0"/>
                <w:color w:val="212121"/>
                <w:sz w:val="16"/>
              </w:rPr>
              <w:t>Diagnostic uncertainty, suspected advanced fibrosis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Reserved for selected cases due to invasiveness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Alcohol quantification</w:t>
            </w:r>
          </w:p>
        </w:tc>
        <w:tc>
          <w:tcPr>
            <w:tcW w:type="dxa" w:w="979"/>
            <w:vAlign w:val="top"/>
          </w:tcPr>
          <w:p>
            <w:pPr>
              <w:spacing w:after="40" w:before="0" w:line="259" w:lineRule="auto"/>
            </w:pPr>
            <w:r>
              <w:rPr>
                <w:rFonts w:ascii="Calibri" w:hAnsi="Calibri"/>
                <w:b w:val="0"/>
                <w:i w:val="0"/>
                <w:color w:val="212121"/>
                <w:sz w:val="16"/>
              </w:rPr>
              <w:t>Weekly alcohol intake</w:t>
            </w:r>
          </w:p>
        </w:tc>
        <w:tc>
          <w:tcPr>
            <w:tcW w:type="dxa" w:w="950"/>
            <w:vAlign w:val="top"/>
          </w:tcPr>
          <w:p>
            <w:pPr>
              <w:spacing w:after="40" w:before="0" w:line="259" w:lineRule="auto"/>
            </w:pPr>
            <w:r>
              <w:rPr>
                <w:rFonts w:ascii="Calibri" w:hAnsi="Calibri"/>
                <w:b w:val="0"/>
                <w:i w:val="0"/>
                <w:color w:val="212121"/>
                <w:sz w:val="16"/>
              </w:rPr>
              <w:t>Nil / &lt;20 g-day (F), &lt;30 g-day (M)</w:t>
            </w:r>
          </w:p>
        </w:tc>
        <w:tc>
          <w:tcPr>
            <w:tcW w:type="dxa" w:w="950"/>
            <w:vAlign w:val="top"/>
          </w:tcPr>
          <w:p>
            <w:pPr>
              <w:spacing w:after="40" w:before="0" w:line="259" w:lineRule="auto"/>
            </w:pPr>
            <w:r>
              <w:rPr>
                <w:rFonts w:ascii="Calibri" w:hAnsi="Calibri"/>
                <w:b w:val="0"/>
                <w:i w:val="0"/>
                <w:color w:val="212121"/>
                <w:sz w:val="16"/>
              </w:rPr>
              <w:t>&gt;140 g/wk (F) or &gt;210 g/wk (M) = MetALD</w:t>
            </w:r>
          </w:p>
        </w:tc>
        <w:tc>
          <w:tcPr>
            <w:tcW w:type="dxa" w:w="1036"/>
            <w:vAlign w:val="top"/>
          </w:tcPr>
          <w:p>
            <w:pPr>
              <w:spacing w:after="40" w:before="0" w:line="259" w:lineRule="auto"/>
            </w:pPr>
            <w:r>
              <w:rPr>
                <w:rFonts w:ascii="Calibri" w:hAnsi="Calibri"/>
                <w:b w:val="0"/>
                <w:i w:val="0"/>
                <w:color w:val="212121"/>
                <w:sz w:val="16"/>
              </w:rPr>
              <w:t>Distinguishes MASLD from MetALD/ALD and guides management</w:t>
            </w:r>
          </w:p>
        </w:tc>
        <w:tc>
          <w:tcPr>
            <w:tcW w:type="dxa" w:w="1036"/>
            <w:vAlign w:val="top"/>
          </w:tcPr>
          <w:p>
            <w:pPr>
              <w:spacing w:after="40" w:before="0" w:line="259" w:lineRule="auto"/>
            </w:pPr>
            <w:r>
              <w:rPr>
                <w:rFonts w:ascii="Calibri" w:hAnsi="Calibri"/>
                <w:b w:val="0"/>
                <w:i w:val="0"/>
                <w:color w:val="212121"/>
                <w:sz w:val="16"/>
              </w:rPr>
              <w:t>All suspected fatty liver</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Honest, quantified history essential</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Cardiometabolic risk review</w:t>
            </w:r>
          </w:p>
        </w:tc>
        <w:tc>
          <w:tcPr>
            <w:tcW w:type="dxa" w:w="979"/>
            <w:vAlign w:val="top"/>
          </w:tcPr>
          <w:p>
            <w:pPr>
              <w:spacing w:after="40" w:before="0" w:line="259" w:lineRule="auto"/>
            </w:pPr>
            <w:r>
              <w:rPr>
                <w:rFonts w:ascii="Calibri" w:hAnsi="Calibri"/>
                <w:b w:val="0"/>
                <w:i w:val="0"/>
                <w:color w:val="212121"/>
                <w:sz w:val="16"/>
              </w:rPr>
              <w:t>Diabetes, obesity, hypertension, dyslipidaemia, PCOS, OSA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&gt;=1 cardiometabolic factor</w:t>
            </w:r>
          </w:p>
        </w:tc>
        <w:tc>
          <w:tcPr>
            <w:tcW w:type="dxa" w:w="1036"/>
            <w:vAlign w:val="top"/>
          </w:tcPr>
          <w:p>
            <w:pPr>
              <w:spacing w:after="40" w:before="0" w:line="259" w:lineRule="auto"/>
            </w:pPr>
            <w:r>
              <w:rPr>
                <w:rFonts w:ascii="Calibri" w:hAnsi="Calibri"/>
                <w:b w:val="0"/>
                <w:i w:val="0"/>
                <w:color w:val="212121"/>
                <w:sz w:val="16"/>
              </w:rPr>
              <w:t>At least one factor confirms the MASLD label and stratifies risk</w:t>
            </w:r>
          </w:p>
        </w:tc>
        <w:tc>
          <w:tcPr>
            <w:tcW w:type="dxa" w:w="1036"/>
            <w:vAlign w:val="top"/>
          </w:tcPr>
          <w:p>
            <w:pPr>
              <w:spacing w:after="40" w:before="0" w:line="259" w:lineRule="auto"/>
            </w:pPr>
            <w:r>
              <w:rPr>
                <w:rFonts w:ascii="Calibri" w:hAnsi="Calibri"/>
                <w:b w:val="0"/>
                <w:i w:val="0"/>
                <w:color w:val="212121"/>
                <w:sz w:val="16"/>
              </w:rPr>
              <w:t>All suspected NAFLD/MASLD</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Diagnostic (MASLD criterion)</w:t>
            </w:r>
          </w:p>
        </w:tc>
        <w:tc>
          <w:tcPr>
            <w:tcW w:type="dxa" w:w="720"/>
            <w:vAlign w:val="top"/>
          </w:tcPr>
          <w:p>
            <w:pPr>
              <w:spacing w:after="40" w:before="0" w:line="259" w:lineRule="auto"/>
            </w:pPr>
            <w:r>
              <w:rPr>
                <w:rFonts w:ascii="Calibri" w:hAnsi="Calibri"/>
                <w:b w:val="0"/>
                <w:i w:val="0"/>
                <w:color w:val="212121"/>
                <w:sz w:val="16"/>
              </w:rPr>
              <w:t>Also screen for family history of T2DM/liver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Drug &amp; medication history</w:t>
            </w:r>
          </w:p>
        </w:tc>
        <w:tc>
          <w:tcPr>
            <w:tcW w:type="dxa" w:w="979"/>
            <w:vAlign w:val="top"/>
          </w:tcPr>
          <w:p>
            <w:pPr>
              <w:spacing w:after="40" w:before="0" w:line="259" w:lineRule="auto"/>
            </w:pPr>
            <w:r>
              <w:rPr>
                <w:rFonts w:ascii="Calibri" w:hAnsi="Calibri"/>
                <w:b w:val="0"/>
                <w:i w:val="0"/>
                <w:color w:val="212121"/>
                <w:sz w:val="16"/>
              </w:rPr>
              <w:t>Steatogenic drugs (steroids, tamoxifen, amiodarone, methotrexate, valproate)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Use of a steatogenic agent</w:t>
            </w:r>
          </w:p>
        </w:tc>
        <w:tc>
          <w:tcPr>
            <w:tcW w:type="dxa" w:w="1036"/>
            <w:vAlign w:val="top"/>
          </w:tcPr>
          <w:p>
            <w:pPr>
              <w:spacing w:after="40" w:before="0" w:line="259" w:lineRule="auto"/>
            </w:pPr>
            <w:r>
              <w:rPr>
                <w:rFonts w:ascii="Calibri" w:hAnsi="Calibri"/>
                <w:b w:val="0"/>
                <w:i w:val="0"/>
                <w:color w:val="212121"/>
                <w:sz w:val="16"/>
              </w:rPr>
              <w:t>Identifies secondary steatosis to exclude before labelling primary NAFLD</w:t>
            </w:r>
          </w:p>
        </w:tc>
        <w:tc>
          <w:tcPr>
            <w:tcW w:type="dxa" w:w="1036"/>
            <w:vAlign w:val="top"/>
          </w:tcPr>
          <w:p>
            <w:pPr>
              <w:spacing w:after="40" w:before="0" w:line="259" w:lineRule="auto"/>
            </w:pPr>
            <w:r>
              <w:rPr>
                <w:rFonts w:ascii="Calibri" w:hAnsi="Calibri"/>
                <w:b w:val="0"/>
                <w:i w:val="0"/>
                <w:color w:val="212121"/>
                <w:sz w:val="16"/>
              </w:rPr>
              <w:t>Patients on chronic drug therapy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Exclusionary</w:t>
            </w:r>
          </w:p>
        </w:tc>
        <w:tc>
          <w:tcPr>
            <w:tcW w:type="dxa" w:w="720"/>
            <w:vAlign w:val="top"/>
          </w:tcPr>
          <w:p>
            <w:pPr>
              <w:spacing w:after="40" w:before="0" w:line="259" w:lineRule="auto"/>
            </w:pPr>
            <w:r>
              <w:rPr>
                <w:rFonts w:ascii="Calibri" w:hAnsi="Calibri"/>
                <w:b w:val="0"/>
                <w:i w:val="0"/>
                <w:color w:val="212121"/>
                <w:sz w:val="16"/>
              </w:rPr>
              <w:t>Also exclude rapid weight loss, TPN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Symptom review</w:t>
            </w:r>
          </w:p>
        </w:tc>
        <w:tc>
          <w:tcPr>
            <w:tcW w:type="dxa" w:w="950"/>
            <w:vAlign w:val="top"/>
          </w:tcPr>
          <w:p>
            <w:pPr>
              <w:spacing w:after="40" w:before="0" w:line="259" w:lineRule="auto"/>
            </w:pPr>
            <w:r>
              <w:rPr>
                <w:rFonts w:ascii="Calibri" w:hAnsi="Calibri"/>
                <w:b w:val="0"/>
                <w:i w:val="0"/>
                <w:color w:val="212121"/>
                <w:sz w:val="16"/>
              </w:rPr>
              <w:t>Constitutional symptoms</w:t>
            </w:r>
          </w:p>
        </w:tc>
        <w:tc>
          <w:tcPr>
            <w:tcW w:type="dxa" w:w="979"/>
            <w:vAlign w:val="top"/>
          </w:tcPr>
          <w:p>
            <w:pPr>
              <w:spacing w:after="40" w:before="0" w:line="259" w:lineRule="auto"/>
            </w:pPr>
            <w:r>
              <w:rPr>
                <w:rFonts w:ascii="Calibri" w:hAnsi="Calibri"/>
                <w:b w:val="0"/>
                <w:i w:val="0"/>
                <w:color w:val="212121"/>
                <w:sz w:val="16"/>
              </w:rPr>
              <w:t>Fatigue, malaise, right-upper-quadrant discomfort</w:t>
            </w:r>
          </w:p>
        </w:tc>
        <w:tc>
          <w:tcPr>
            <w:tcW w:type="dxa" w:w="950"/>
            <w:vAlign w:val="top"/>
          </w:tcPr>
          <w:p>
            <w:pPr>
              <w:spacing w:after="40" w:before="0" w:line="259" w:lineRule="auto"/>
            </w:pPr>
            <w:r>
              <w:rPr>
                <w:rFonts w:ascii="Calibri" w:hAnsi="Calibri"/>
                <w:b w:val="0"/>
                <w:i w:val="0"/>
                <w:color w:val="212121"/>
                <w:sz w:val="16"/>
              </w:rPr>
              <w:t>Asymptomatic</w:t>
            </w:r>
          </w:p>
        </w:tc>
        <w:tc>
          <w:tcPr>
            <w:tcW w:type="dxa" w:w="950"/>
            <w:vAlign w:val="top"/>
          </w:tcPr>
          <w:p>
            <w:pPr>
              <w:spacing w:after="40" w:before="0" w:line="259" w:lineRule="auto"/>
            </w:pPr>
            <w:r>
              <w:rPr>
                <w:rFonts w:ascii="Calibri" w:hAnsi="Calibri"/>
                <w:b w:val="0"/>
                <w:i w:val="0"/>
                <w:color w:val="212121"/>
                <w:sz w:val="16"/>
              </w:rPr>
              <w:t>Fatigue or RUQ ache present</w:t>
            </w:r>
          </w:p>
        </w:tc>
        <w:tc>
          <w:tcPr>
            <w:tcW w:type="dxa" w:w="1036"/>
            <w:vAlign w:val="top"/>
          </w:tcPr>
          <w:p>
            <w:pPr>
              <w:spacing w:after="40" w:before="0" w:line="259" w:lineRule="auto"/>
            </w:pPr>
            <w:r>
              <w:rPr>
                <w:rFonts w:ascii="Calibri" w:hAnsi="Calibri"/>
                <w:b w:val="0"/>
                <w:i w:val="0"/>
                <w:color w:val="212121"/>
                <w:sz w:val="16"/>
              </w:rPr>
              <w:t>Often the only clues; most patients are asymptomatic</w:t>
            </w:r>
          </w:p>
        </w:tc>
        <w:tc>
          <w:tcPr>
            <w:tcW w:type="dxa" w:w="1036"/>
            <w:vAlign w:val="top"/>
          </w:tcPr>
          <w:p>
            <w:pPr>
              <w:spacing w:after="40" w:before="0" w:line="259" w:lineRule="auto"/>
            </w:pPr>
            <w:r>
              <w:rPr>
                <w:rFonts w:ascii="Calibri" w:hAnsi="Calibri"/>
                <w:b w:val="0"/>
                <w:i w:val="0"/>
                <w:color w:val="212121"/>
                <w:sz w:val="16"/>
              </w:rPr>
              <w:t>Incidental fatty liver, metabolic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Absence of symptoms does not exclude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Anthropometry</w:t>
            </w:r>
          </w:p>
        </w:tc>
        <w:tc>
          <w:tcPr>
            <w:tcW w:type="dxa" w:w="979"/>
            <w:vAlign w:val="top"/>
          </w:tcPr>
          <w:p>
            <w:pPr>
              <w:spacing w:after="40" w:before="0" w:line="259" w:lineRule="auto"/>
            </w:pPr>
            <w:r>
              <w:rPr>
                <w:rFonts w:ascii="Calibri" w:hAnsi="Calibri"/>
                <w:b w:val="0"/>
                <w:i w:val="0"/>
                <w:color w:val="212121"/>
                <w:sz w:val="16"/>
              </w:rPr>
              <w:t>BMI and waist circumference</w:t>
            </w:r>
          </w:p>
        </w:tc>
        <w:tc>
          <w:tcPr>
            <w:tcW w:type="dxa" w:w="950"/>
            <w:vAlign w:val="top"/>
          </w:tcPr>
          <w:p>
            <w:pPr>
              <w:spacing w:after="40" w:before="0" w:line="259" w:lineRule="auto"/>
            </w:pPr>
            <w:r>
              <w:rPr>
                <w:rFonts w:ascii="Calibri" w:hAnsi="Calibri"/>
                <w:b w:val="0"/>
                <w:i w:val="0"/>
                <w:color w:val="212121"/>
                <w:sz w:val="16"/>
              </w:rPr>
              <w:t>BMI &lt;23; waist &lt;90(M)/&lt;80(F) cm</w:t>
            </w:r>
          </w:p>
        </w:tc>
        <w:tc>
          <w:tcPr>
            <w:tcW w:type="dxa" w:w="950"/>
            <w:vAlign w:val="top"/>
          </w:tcPr>
          <w:p>
            <w:pPr>
              <w:spacing w:after="40" w:before="0" w:line="259" w:lineRule="auto"/>
            </w:pPr>
            <w:r>
              <w:rPr>
                <w:rFonts w:ascii="Calibri" w:hAnsi="Calibri"/>
                <w:b w:val="0"/>
                <w:i w:val="0"/>
                <w:color w:val="212121"/>
                <w:sz w:val="16"/>
              </w:rPr>
              <w:t>BMI &gt;=23 or central obesity</w:t>
            </w:r>
          </w:p>
        </w:tc>
        <w:tc>
          <w:tcPr>
            <w:tcW w:type="dxa" w:w="1036"/>
            <w:vAlign w:val="top"/>
          </w:tcPr>
          <w:p>
            <w:pPr>
              <w:spacing w:after="40" w:before="0" w:line="259" w:lineRule="auto"/>
            </w:pPr>
            <w:r>
              <w:rPr>
                <w:rFonts w:ascii="Calibri" w:hAnsi="Calibri"/>
                <w:b w:val="0"/>
                <w:i w:val="0"/>
                <w:color w:val="212121"/>
                <w:sz w:val="16"/>
              </w:rPr>
              <w:t>Confirms adiposity-related metabolic risk (Asian cut-offs)</w:t>
            </w:r>
          </w:p>
        </w:tc>
        <w:tc>
          <w:tcPr>
            <w:tcW w:type="dxa" w:w="1036"/>
            <w:vAlign w:val="top"/>
          </w:tcPr>
          <w:p>
            <w:pPr>
              <w:spacing w:after="40" w:before="0" w:line="259" w:lineRule="auto"/>
            </w:pPr>
            <w:r>
              <w:rPr>
                <w:rFonts w:ascii="Calibri" w:hAnsi="Calibri"/>
                <w:b w:val="0"/>
                <w:i w:val="0"/>
                <w:color w:val="212121"/>
                <w:sz w:val="16"/>
              </w:rPr>
              <w:t>All suspected NAFLD</w:t>
            </w:r>
          </w:p>
        </w:tc>
        <w:tc>
          <w:tcPr>
            <w:tcW w:type="dxa" w:w="720"/>
            <w:vAlign w:val="top"/>
          </w:tcPr>
          <w:p>
            <w:pPr>
              <w:spacing w:after="40" w:before="0" w:line="259" w:lineRule="auto"/>
            </w:pPr>
            <w:r>
              <w:rPr>
                <w:rFonts w:ascii="Calibri" w:hAnsi="Calibri"/>
                <w:b w:val="0"/>
                <w:i w:val="0"/>
                <w:color w:val="212121"/>
                <w:sz w:val="16"/>
              </w:rPr>
              <w:t>Physical activity; 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Lean NAFLD exists - normal BMI does not exclude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Abdominal examination</w:t>
            </w:r>
          </w:p>
        </w:tc>
        <w:tc>
          <w:tcPr>
            <w:tcW w:type="dxa" w:w="979"/>
            <w:vAlign w:val="top"/>
          </w:tcPr>
          <w:p>
            <w:pPr>
              <w:spacing w:after="40" w:before="0" w:line="259" w:lineRule="auto"/>
            </w:pPr>
            <w:r>
              <w:rPr>
                <w:rFonts w:ascii="Calibri" w:hAnsi="Calibri"/>
                <w:b w:val="0"/>
                <w:i w:val="0"/>
                <w:color w:val="212121"/>
                <w:sz w:val="16"/>
              </w:rPr>
              <w:t>Hepatomegaly</w:t>
            </w:r>
          </w:p>
        </w:tc>
        <w:tc>
          <w:tcPr>
            <w:tcW w:type="dxa" w:w="950"/>
            <w:vAlign w:val="top"/>
          </w:tcPr>
          <w:p>
            <w:pPr>
              <w:spacing w:after="40" w:before="0" w:line="259" w:lineRule="auto"/>
            </w:pPr>
            <w:r>
              <w:rPr>
                <w:rFonts w:ascii="Calibri" w:hAnsi="Calibri"/>
                <w:b w:val="0"/>
                <w:i w:val="0"/>
                <w:color w:val="212121"/>
                <w:sz w:val="16"/>
              </w:rPr>
              <w:t>Non-palpable / normal span</w:t>
            </w:r>
          </w:p>
        </w:tc>
        <w:tc>
          <w:tcPr>
            <w:tcW w:type="dxa" w:w="950"/>
            <w:vAlign w:val="top"/>
          </w:tcPr>
          <w:p>
            <w:pPr>
              <w:spacing w:after="40" w:before="0" w:line="259" w:lineRule="auto"/>
            </w:pPr>
            <w:r>
              <w:rPr>
                <w:rFonts w:ascii="Calibri" w:hAnsi="Calibri"/>
                <w:b w:val="0"/>
                <w:i w:val="0"/>
                <w:color w:val="212121"/>
                <w:sz w:val="16"/>
              </w:rPr>
              <w:t>Smooth, mild-moderate hepatomegaly</w:t>
            </w:r>
          </w:p>
        </w:tc>
        <w:tc>
          <w:tcPr>
            <w:tcW w:type="dxa" w:w="1036"/>
            <w:vAlign w:val="top"/>
          </w:tcPr>
          <w:p>
            <w:pPr>
              <w:spacing w:after="40" w:before="0" w:line="259" w:lineRule="auto"/>
            </w:pPr>
            <w:r>
              <w:rPr>
                <w:rFonts w:ascii="Calibri" w:hAnsi="Calibri"/>
                <w:b w:val="0"/>
                <w:i w:val="0"/>
                <w:color w:val="212121"/>
                <w:sz w:val="16"/>
              </w:rPr>
              <w:t>Commonest physical sign; firm/irregular liver or splenomegaly suggests cirrhosis</w:t>
            </w:r>
          </w:p>
        </w:tc>
        <w:tc>
          <w:tcPr>
            <w:tcW w:type="dxa" w:w="1036"/>
            <w:vAlign w:val="top"/>
          </w:tcPr>
          <w:p>
            <w:pPr>
              <w:spacing w:after="40" w:before="0" w:line="259" w:lineRule="auto"/>
            </w:pPr>
            <w:r>
              <w:rPr>
                <w:rFonts w:ascii="Calibri" w:hAnsi="Calibri"/>
                <w:b w:val="0"/>
                <w:i w:val="0"/>
                <w:color w:val="212121"/>
                <w:sz w:val="16"/>
              </w:rPr>
              <w:t>Established NAFLD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Often absent in early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examination</w:t>
            </w:r>
          </w:p>
        </w:tc>
        <w:tc>
          <w:tcPr>
            <w:tcW w:type="dxa" w:w="950"/>
            <w:vAlign w:val="top"/>
          </w:tcPr>
          <w:p>
            <w:pPr>
              <w:spacing w:after="40" w:before="0" w:line="259" w:lineRule="auto"/>
            </w:pPr>
            <w:r>
              <w:rPr>
                <w:rFonts w:ascii="Calibri" w:hAnsi="Calibri"/>
                <w:b w:val="0"/>
                <w:i w:val="0"/>
                <w:color w:val="212121"/>
                <w:sz w:val="16"/>
              </w:rPr>
              <w:t>Insulin-resistance &amp; chronic-liver-disease signs</w:t>
            </w:r>
          </w:p>
        </w:tc>
        <w:tc>
          <w:tcPr>
            <w:tcW w:type="dxa" w:w="979"/>
            <w:vAlign w:val="top"/>
          </w:tcPr>
          <w:p>
            <w:pPr>
              <w:spacing w:after="40" w:before="0" w:line="259" w:lineRule="auto"/>
            </w:pPr>
            <w:r>
              <w:rPr>
                <w:rFonts w:ascii="Calibri" w:hAnsi="Calibri"/>
                <w:b w:val="0"/>
                <w:i w:val="0"/>
                <w:color w:val="212121"/>
                <w:sz w:val="16"/>
              </w:rPr>
              <w:t>Acanthosis nigricans; spider naevi, palmar erythema, ascites, jaundice</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Any sign present</w:t>
            </w:r>
          </w:p>
        </w:tc>
        <w:tc>
          <w:tcPr>
            <w:tcW w:type="dxa" w:w="1036"/>
            <w:vAlign w:val="top"/>
          </w:tcPr>
          <w:p>
            <w:pPr>
              <w:spacing w:after="40" w:before="0" w:line="259" w:lineRule="auto"/>
            </w:pPr>
            <w:r>
              <w:rPr>
                <w:rFonts w:ascii="Calibri" w:hAnsi="Calibri"/>
                <w:b w:val="0"/>
                <w:i w:val="0"/>
                <w:color w:val="212121"/>
                <w:sz w:val="16"/>
              </w:rPr>
              <w:t>Acanthosis flags insulin resistance; stigmata of chronic liver disease signal advanced/cirrhotic disease</w:t>
            </w:r>
          </w:p>
        </w:tc>
        <w:tc>
          <w:tcPr>
            <w:tcW w:type="dxa" w:w="1036"/>
            <w:vAlign w:val="top"/>
          </w:tcPr>
          <w:p>
            <w:pPr>
              <w:spacing w:after="40" w:before="0" w:line="259" w:lineRule="auto"/>
            </w:pPr>
            <w:r>
              <w:rPr>
                <w:rFonts w:ascii="Calibri" w:hAnsi="Calibri"/>
                <w:b w:val="0"/>
                <w:i w:val="0"/>
                <w:color w:val="212121"/>
                <w:sz w:val="16"/>
              </w:rPr>
              <w:t>Insulin-resistant and advanced NAFLD</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Stigmata warrant urgent hepatology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 incidental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NAFLD is silent, found on ultrasound or raised liver enzymes done for another reason.</w:t>
            </w:r>
          </w:p>
        </w:tc>
      </w:tr>
      <w:tr>
        <w:trPr>
          <w:cantSplit/>
        </w:trPr>
        <w:tc>
          <w:tcPr>
            <w:tcW w:type="dxa" w:w="2304"/>
            <w:vAlign w:val="top"/>
          </w:tcPr>
          <w:p>
            <w:pPr>
              <w:spacing w:after="40" w:before="0" w:line="259" w:lineRule="auto"/>
            </w:pPr>
            <w:r>
              <w:rPr>
                <w:rFonts w:ascii="Calibri" w:hAnsi="Calibri"/>
                <w:b/>
                <w:i w:val="0"/>
                <w:color w:val="212121"/>
                <w:sz w:val="19"/>
              </w:rPr>
              <w:t>Fatigue / tiredness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One of the most frequent presenting symptoms, often disproportionate to disease stage.</w:t>
            </w:r>
          </w:p>
        </w:tc>
      </w:tr>
      <w:tr>
        <w:trPr>
          <w:cantSplit/>
        </w:trPr>
        <w:tc>
          <w:tcPr>
            <w:tcW w:type="dxa" w:w="2304"/>
            <w:vAlign w:val="top"/>
          </w:tcPr>
          <w:p>
            <w:pPr>
              <w:spacing w:after="40" w:before="0" w:line="259" w:lineRule="auto"/>
            </w:pPr>
            <w:r>
              <w:rPr>
                <w:rFonts w:ascii="Calibri" w:hAnsi="Calibri"/>
                <w:b/>
                <w:i w:val="0"/>
                <w:color w:val="212121"/>
                <w:sz w:val="19"/>
              </w:rPr>
              <w:t>Right-upper-quadrant discomfort / dull 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Vague heaviness or aching from hepatic capsular stretch with an enlarged fatty liver.</w:t>
            </w:r>
          </w:p>
        </w:tc>
      </w:tr>
      <w:tr>
        <w:trPr>
          <w:cantSplit/>
        </w:trPr>
        <w:tc>
          <w:tcPr>
            <w:tcW w:type="dxa" w:w="2304"/>
            <w:vAlign w:val="top"/>
          </w:tcPr>
          <w:p>
            <w:pPr>
              <w:spacing w:after="40" w:before="0" w:line="259" w:lineRule="auto"/>
            </w:pPr>
            <w:r>
              <w:rPr>
                <w:rFonts w:ascii="Calibri" w:hAnsi="Calibri"/>
                <w:b/>
                <w:i w:val="0"/>
                <w:color w:val="212121"/>
                <w:sz w:val="19"/>
              </w:rPr>
              <w:t>General malaise / feeling unwell</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Non-specific reduced wellbeing linked to systemic metabolic inflammation.</w:t>
            </w:r>
          </w:p>
        </w:tc>
      </w:tr>
      <w:tr>
        <w:trPr>
          <w:cantSplit/>
        </w:trPr>
        <w:tc>
          <w:tcPr>
            <w:tcW w:type="dxa" w:w="2304"/>
            <w:vAlign w:val="top"/>
          </w:tcPr>
          <w:p>
            <w:pPr>
              <w:spacing w:after="40" w:before="0" w:line="259" w:lineRule="auto"/>
            </w:pPr>
            <w:r>
              <w:rPr>
                <w:rFonts w:ascii="Calibri" w:hAnsi="Calibri"/>
                <w:b/>
                <w:i w:val="0"/>
                <w:color w:val="212121"/>
                <w:sz w:val="19"/>
              </w:rPr>
              <w:t>Weakness / reduced exercise capacity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Associated with insulin resistance, deconditioning and obesity.</w:t>
            </w:r>
          </w:p>
        </w:tc>
      </w:tr>
      <w:tr>
        <w:trPr>
          <w:cantSplit/>
        </w:trPr>
        <w:tc>
          <w:tcPr>
            <w:tcW w:type="dxa" w:w="2304"/>
            <w:vAlign w:val="top"/>
          </w:tcPr>
          <w:p>
            <w:pPr>
              <w:spacing w:after="40" w:before="0" w:line="259" w:lineRule="auto"/>
            </w:pPr>
            <w:r>
              <w:rPr>
                <w:rFonts w:ascii="Calibri" w:hAnsi="Calibri"/>
                <w:b/>
                <w:i w:val="0"/>
                <w:color w:val="212121"/>
                <w:sz w:val="19"/>
              </w:rPr>
              <w:t>Abdominal fullness / bloating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hepatomegaly or coexisting central obesity.</w:t>
            </w:r>
          </w:p>
        </w:tc>
      </w:tr>
      <w:tr>
        <w:trPr>
          <w:cantSplit/>
        </w:trPr>
        <w:tc>
          <w:tcPr>
            <w:tcW w:type="dxa" w:w="2304"/>
            <w:vAlign w:val="top"/>
          </w:tcPr>
          <w:p>
            <w:pPr>
              <w:spacing w:after="40" w:before="0" w:line="259" w:lineRule="auto"/>
            </w:pPr>
            <w:r>
              <w:rPr>
                <w:rFonts w:ascii="Calibri" w:hAnsi="Calibri"/>
                <w:b/>
                <w:i w:val="0"/>
                <w:color w:val="212121"/>
                <w:sz w:val="19"/>
              </w:rPr>
              <w:t>Poor concentration / 'brain fog'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Reported in NAFLD, partly mediated by metabolic and sleep disturbance.</w:t>
            </w:r>
          </w:p>
        </w:tc>
      </w:tr>
      <w:tr>
        <w:trPr>
          <w:cantSplit/>
        </w:trPr>
        <w:tc>
          <w:tcPr>
            <w:tcW w:type="dxa" w:w="2304"/>
            <w:vAlign w:val="top"/>
          </w:tcPr>
          <w:p>
            <w:pPr>
              <w:spacing w:after="40" w:before="0" w:line="259" w:lineRule="auto"/>
            </w:pPr>
            <w:r>
              <w:rPr>
                <w:rFonts w:ascii="Calibri" w:hAnsi="Calibri"/>
                <w:b/>
                <w:i w:val="0"/>
                <w:color w:val="212121"/>
                <w:sz w:val="19"/>
              </w:rPr>
              <w:t>Loss of appetite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May appear as disease advances or with steatohepatitis.</w:t>
            </w:r>
          </w:p>
        </w:tc>
      </w:tr>
      <w:tr>
        <w:trPr>
          <w:cantSplit/>
        </w:trPr>
        <w:tc>
          <w:tcPr>
            <w:tcW w:type="dxa" w:w="2304"/>
            <w:vAlign w:val="top"/>
          </w:tcPr>
          <w:p>
            <w:pPr>
              <w:spacing w:after="40" w:before="0" w:line="259" w:lineRule="auto"/>
            </w:pPr>
            <w:r>
              <w:rPr>
                <w:rFonts w:ascii="Calibri" w:hAnsi="Calibri"/>
                <w:b/>
                <w:i w:val="0"/>
                <w:color w:val="212121"/>
                <w:sz w:val="19"/>
              </w:rPr>
              <w:t>Nausea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Occasional, non-specific; more with advanced disease.</w:t>
            </w:r>
          </w:p>
        </w:tc>
      </w:tr>
      <w:tr>
        <w:trPr>
          <w:cantSplit/>
        </w:trPr>
        <w:tc>
          <w:tcPr>
            <w:tcW w:type="dxa" w:w="2304"/>
            <w:vAlign w:val="top"/>
          </w:tcPr>
          <w:p>
            <w:pPr>
              <w:spacing w:after="40" w:before="0" w:line="259" w:lineRule="auto"/>
            </w:pPr>
            <w:r>
              <w:rPr>
                <w:rFonts w:ascii="Calibri" w:hAnsi="Calibri"/>
                <w:b/>
                <w:i w:val="0"/>
                <w:color w:val="212121"/>
                <w:sz w:val="19"/>
              </w:rPr>
              <w:t>Pruritus (itching)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cholestasis or advanced/cirrhotic liver disease.</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Yellow discolouration indicates decompensated cirrhosis, not simple steatosis.</w:t>
            </w:r>
          </w:p>
        </w:tc>
      </w:tr>
      <w:tr>
        <w:trPr>
          <w:cantSplit/>
        </w:trPr>
        <w:tc>
          <w:tcPr>
            <w:tcW w:type="dxa" w:w="2304"/>
            <w:vAlign w:val="top"/>
          </w:tcPr>
          <w:p>
            <w:pPr>
              <w:spacing w:after="40" w:before="0" w:line="259" w:lineRule="auto"/>
            </w:pPr>
            <w:r>
              <w:rPr>
                <w:rFonts w:ascii="Calibri" w:hAnsi="Calibri"/>
                <w:b/>
                <w:i w:val="0"/>
                <w:color w:val="212121"/>
                <w:sz w:val="19"/>
              </w:rPr>
              <w:t>Abdominal swelling (ascites) / leg oedema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Sign of portal hypertension and hepatic decompensation.</w:t>
            </w:r>
          </w:p>
        </w:tc>
      </w:tr>
      <w:tr>
        <w:trPr>
          <w:cantSplit/>
        </w:trPr>
        <w:tc>
          <w:tcPr>
            <w:tcW w:type="dxa" w:w="2304"/>
            <w:vAlign w:val="top"/>
          </w:tcPr>
          <w:p>
            <w:pPr>
              <w:spacing w:after="40" w:before="0" w:line="259" w:lineRule="auto"/>
            </w:pPr>
            <w:r>
              <w:rPr>
                <w:rFonts w:ascii="Calibri" w:hAnsi="Calibri"/>
                <w:b/>
                <w:i w:val="0"/>
                <w:color w:val="212121"/>
                <w:sz w:val="19"/>
              </w:rPr>
              <w:t>Confusion / altered behaviour</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Hepatic encephalopathy - a late feature of cirrhosis.</w:t>
            </w:r>
          </w:p>
        </w:tc>
      </w:tr>
      <w:tr>
        <w:trPr>
          <w:cantSplit/>
        </w:trPr>
        <w:tc>
          <w:tcPr>
            <w:tcW w:type="dxa" w:w="2304"/>
            <w:vAlign w:val="top"/>
          </w:tcPr>
          <w:p>
            <w:pPr>
              <w:spacing w:after="40" w:before="0" w:line="259" w:lineRule="auto"/>
            </w:pPr>
            <w:r>
              <w:rPr>
                <w:rFonts w:ascii="Calibri" w:hAnsi="Calibri"/>
                <w:b/>
                <w:i w:val="0"/>
                <w:color w:val="212121"/>
                <w:sz w:val="19"/>
              </w:rPr>
              <w:t>Easy bruising or bleeding</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Reflects impaired hepatic synthetic function in advanced disease.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Central obesity / increased waist circumference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Waist &gt;=90 cm (M)/&gt;=80 cm (F); marker of visceral adiposity underlying NAFLD.</w:t>
            </w:r>
          </w:p>
        </w:tc>
      </w:tr>
      <w:tr>
        <w:trPr>
          <w:cantSplit/>
        </w:trPr>
        <w:tc>
          <w:tcPr>
            <w:tcW w:type="dxa" w:w="3456"/>
            <w:vAlign w:val="top"/>
          </w:tcPr>
          <w:p>
            <w:pPr>
              <w:spacing w:after="40" w:before="0" w:line="259" w:lineRule="auto"/>
            </w:pPr>
            <w:r>
              <w:rPr>
                <w:rFonts w:ascii="Calibri" w:hAnsi="Calibri"/>
                <w:b/>
                <w:i w:val="0"/>
                <w:color w:val="212121"/>
                <w:sz w:val="19"/>
              </w:rPr>
              <w:t>Elevated BMI (Asian cut-offs)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BMI &gt;=23 overweight, &gt;=25 obese in South Asians; though lean NAFLD also occurs.</w:t>
            </w:r>
          </w:p>
        </w:tc>
      </w:tr>
      <w:tr>
        <w:trPr>
          <w:cantSplit/>
        </w:trPr>
        <w:tc>
          <w:tcPr>
            <w:tcW w:type="dxa" w:w="3456"/>
            <w:vAlign w:val="top"/>
          </w:tcPr>
          <w:p>
            <w:pPr>
              <w:spacing w:after="40" w:before="0" w:line="259" w:lineRule="auto"/>
            </w:pPr>
            <w:r>
              <w:rPr>
                <w:rFonts w:ascii="Calibri" w:hAnsi="Calibri"/>
                <w:b/>
                <w:i w:val="0"/>
                <w:color w:val="212121"/>
                <w:sz w:val="19"/>
              </w:rPr>
              <w:t>Hepatomegaly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mildly enlarged, non-tender liver - the commonest examination finding.</w:t>
            </w:r>
          </w:p>
        </w:tc>
      </w:tr>
      <w:tr>
        <w:trPr>
          <w:cantSplit/>
        </w:trPr>
        <w:tc>
          <w:tcPr>
            <w:tcW w:type="dxa" w:w="3456"/>
            <w:vAlign w:val="top"/>
          </w:tcPr>
          <w:p>
            <w:pPr>
              <w:spacing w:after="40" w:before="0" w:line="259" w:lineRule="auto"/>
            </w:pPr>
            <w:r>
              <w:rPr>
                <w:rFonts w:ascii="Calibri" w:hAnsi="Calibri"/>
                <w:b/>
                <w:i w:val="0"/>
                <w:color w:val="212121"/>
                <w:sz w:val="19"/>
              </w:rPr>
              <w:t>Acanthosis nigricans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Velvety hyperpigmentation of neck/axillae - a clinical marker of insulin resistance.</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Hypertension frequently coexists as part of metabolic syndrome.</w:t>
            </w:r>
          </w:p>
        </w:tc>
      </w:tr>
      <w:tr>
        <w:trPr>
          <w:cantSplit/>
        </w:trPr>
        <w:tc>
          <w:tcPr>
            <w:tcW w:type="dxa" w:w="3456"/>
            <w:vAlign w:val="top"/>
          </w:tcPr>
          <w:p>
            <w:pPr>
              <w:spacing w:after="40" w:before="0" w:line="259" w:lineRule="auto"/>
            </w:pPr>
            <w:r>
              <w:rPr>
                <w:rFonts w:ascii="Calibri" w:hAnsi="Calibri"/>
                <w:b/>
                <w:i w:val="0"/>
                <w:color w:val="212121"/>
                <w:sz w:val="19"/>
              </w:rPr>
              <w:t>Splenomegaly</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Suggests portal hypertension from advanced fibrosis/cirrhosis.</w:t>
            </w:r>
          </w:p>
        </w:tc>
      </w:tr>
      <w:tr>
        <w:trPr>
          <w:cantSplit/>
        </w:trPr>
        <w:tc>
          <w:tcPr>
            <w:tcW w:type="dxa" w:w="3456"/>
            <w:vAlign w:val="top"/>
          </w:tcPr>
          <w:p>
            <w:pPr>
              <w:spacing w:after="40" w:before="0" w:line="259" w:lineRule="auto"/>
            </w:pPr>
            <w:r>
              <w:rPr>
                <w:rFonts w:ascii="Calibri" w:hAnsi="Calibri"/>
                <w:b/>
                <w:i w:val="0"/>
                <w:color w:val="212121"/>
                <w:sz w:val="19"/>
              </w:rPr>
              <w:t>Spider angiomata (spider naevi)</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Cutaneous vascular lesions of advanced chronic liver disease.</w:t>
            </w:r>
          </w:p>
        </w:tc>
      </w:tr>
      <w:tr>
        <w:trPr>
          <w:cantSplit/>
        </w:trPr>
        <w:tc>
          <w:tcPr>
            <w:tcW w:type="dxa" w:w="3456"/>
            <w:vAlign w:val="top"/>
          </w:tcPr>
          <w:p>
            <w:pPr>
              <w:spacing w:after="40" w:before="0" w:line="259" w:lineRule="auto"/>
            </w:pPr>
            <w:r>
              <w:rPr>
                <w:rFonts w:ascii="Calibri" w:hAnsi="Calibri"/>
                <w:b/>
                <w:i w:val="0"/>
                <w:color w:val="212121"/>
                <w:sz w:val="19"/>
              </w:rPr>
              <w:t>Palmar erythema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Reddening of palms seen in cirrhosis.</w:t>
            </w:r>
          </w:p>
        </w:tc>
      </w:tr>
      <w:tr>
        <w:trPr>
          <w:cantSplit/>
        </w:trPr>
        <w:tc>
          <w:tcPr>
            <w:tcW w:type="dxa" w:w="3456"/>
            <w:vAlign w:val="top"/>
          </w:tcPr>
          <w:p>
            <w:pPr>
              <w:spacing w:after="40" w:before="0" w:line="259" w:lineRule="auto"/>
            </w:pPr>
            <w:r>
              <w:rPr>
                <w:rFonts w:ascii="Calibri" w:hAnsi="Calibri"/>
                <w:b/>
                <w:i w:val="0"/>
                <w:color w:val="212121"/>
                <w:sz w:val="19"/>
              </w:rPr>
              <w:t>Jaundice / icterus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Scleral/skin yellowing indicating hepatic decompensation.</w:t>
            </w:r>
          </w:p>
        </w:tc>
      </w:tr>
      <w:tr>
        <w:trPr>
          <w:cantSplit/>
        </w:trPr>
        <w:tc>
          <w:tcPr>
            <w:tcW w:type="dxa" w:w="3456"/>
            <w:vAlign w:val="top"/>
          </w:tcPr>
          <w:p>
            <w:pPr>
              <w:spacing w:after="40" w:before="0" w:line="259" w:lineRule="auto"/>
            </w:pPr>
            <w:r>
              <w:rPr>
                <w:rFonts w:ascii="Calibri" w:hAnsi="Calibri"/>
                <w:b/>
                <w:i w:val="0"/>
                <w:color w:val="212121"/>
                <w:sz w:val="19"/>
              </w:rPr>
              <w:t>Ascites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Shifting dullness/fluid thrill from portal hypertension and hypoalbuminaemia.</w:t>
            </w:r>
          </w:p>
        </w:tc>
      </w:tr>
      <w:tr>
        <w:trPr>
          <w:cantSplit/>
        </w:trPr>
        <w:tc>
          <w:tcPr>
            <w:tcW w:type="dxa" w:w="3456"/>
            <w:vAlign w:val="top"/>
          </w:tcPr>
          <w:p>
            <w:pPr>
              <w:spacing w:after="40" w:before="0" w:line="259" w:lineRule="auto"/>
            </w:pPr>
            <w:r>
              <w:rPr>
                <w:rFonts w:ascii="Calibri" w:hAnsi="Calibri"/>
                <w:b/>
                <w:i w:val="0"/>
                <w:color w:val="212121"/>
                <w:sz w:val="19"/>
              </w:rPr>
              <w:t>Asterixis (flapping tremor)</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Sign of hepatic encephalopathy in decompensated cirrhosis.</w:t>
            </w:r>
          </w:p>
        </w:tc>
      </w:tr>
      <w:tr>
        <w:trPr>
          <w:cantSplit/>
        </w:trPr>
        <w:tc>
          <w:tcPr>
            <w:tcW w:type="dxa" w:w="3456"/>
            <w:vAlign w:val="top"/>
          </w:tcPr>
          <w:p>
            <w:pPr>
              <w:spacing w:after="40" w:before="0" w:line="259" w:lineRule="auto"/>
            </w:pPr>
            <w:r>
              <w:rPr>
                <w:rFonts w:ascii="Calibri" w:hAnsi="Calibri"/>
                <w:b/>
                <w:i w:val="0"/>
                <w:color w:val="212121"/>
                <w:sz w:val="19"/>
              </w:rPr>
              <w:t>Gynaecomastia / testicular atrophy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Feminising signs from altered sex-hormone metabolism in cirrhosis.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Non-alcoholic steatohepatitis (NASH/MASH) - steatosis with inflammation and hepatocyte ballooning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hepatic fibrosis (F1-F3)</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Hepatocyte injury and oxidative/lipotoxic stress</w:t>
            </w:r>
          </w:p>
        </w:tc>
        <w:tc>
          <w:tcPr>
            <w:tcW w:type="dxa" w:w="2980"/>
            <w:vAlign w:val="top"/>
          </w:tcPr>
          <w:p>
            <w:pPr>
              <w:spacing w:after="40" w:before="0" w:line="259" w:lineRule="auto"/>
            </w:pPr>
            <w:r>
              <w:rPr>
                <w:rFonts w:ascii="Calibri" w:hAnsi="Calibri"/>
                <w:b w:val="0"/>
                <w:i w:val="0"/>
                <w:color w:val="212121"/>
                <w:sz w:val="19"/>
              </w:rPr>
              <w:t>Direct progression within the liver from simple steatosis to inflammatory, fibrogenic disease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Cirrhosis and portal hypertension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Hepatocellular carcinoma (can arise even without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Cardiovascular disease (the leading cause of death in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Incident type 2 diabetes and worsening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kidney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risk of extra-hepatic malignancy (e.g., colorectal)</w:t>
            </w:r>
          </w:p>
        </w:tc>
        <w:tc>
          <w:tcPr>
            <w:tcW w:type="dxa" w:w="2980"/>
            <w:vAlign w:val="top"/>
          </w:tcPr>
          <w:p>
            <w:pPr>
              <w:spacing w:after="40" w:before="0" w:line="259" w:lineRule="auto"/>
            </w:pPr>
            <w:r>
              <w:rPr>
                <w:rFonts w:ascii="Calibri" w:hAnsi="Calibri"/>
                <w:b w:val="0"/>
                <w:i w:val="0"/>
                <w:color w:val="212121"/>
                <w:sz w:val="19"/>
              </w:rPr>
              <w:t>Systemic and end-organ consequences of chronic hepatic and metabolic dysfunction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cirrhosis / end-stage liver disease requiring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Variceal (gastro-oesophageal) haemorrhage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Hepatic encephalopathy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Refractory ascites and spontaneous bacterial peritonitis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hepatocellular 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Fatal cardiovascular events</w:t>
            </w:r>
          </w:p>
        </w:tc>
        <w:tc>
          <w:tcPr>
            <w:tcW w:type="dxa" w:w="2980"/>
            <w:vAlign w:val="top"/>
          </w:tcPr>
          <w:p>
            <w:pPr>
              <w:spacing w:after="40" w:before="0" w:line="259" w:lineRule="auto"/>
            </w:pPr>
            <w:r>
              <w:rPr>
                <w:rFonts w:ascii="Calibri" w:hAnsi="Calibri"/>
                <w:b w:val="0"/>
                <w:i w:val="0"/>
                <w:color w:val="212121"/>
                <w:sz w:val="19"/>
              </w:rPr>
              <w:t>Irreversible, life-threatening outcomes of advanced disease and its systemic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Shared insulin resistance; diabetes drives NAFLD and accelerates fibrosis/HCC, while NAFLD predisposes to incident diabetes.</w:t>
            </w:r>
          </w:p>
          <w:p>
            <w:pPr>
              <w:spacing w:after="40" w:before="0" w:line="259" w:lineRule="auto"/>
            </w:pPr>
            <w:r>
              <w:rPr>
                <w:rFonts w:ascii="Calibri" w:hAnsi="Calibri"/>
                <w:b/>
                <w:i w:val="0"/>
                <w:color w:val="212121"/>
                <w:sz w:val="19"/>
              </w:rPr>
              <w:t>Up to 56.5%</w:t>
            </w:r>
          </w:p>
        </w:tc>
      </w:tr>
      <w:tr>
        <w:trPr>
          <w:cantSplit/>
        </w:trPr>
        <w:tc>
          <w:tcPr>
            <w:tcW w:type="dxa" w:w="2232"/>
            <w:vAlign w:val="top"/>
          </w:tcPr>
          <w:p>
            <w:pPr>
              <w:spacing w:after="40" w:before="0" w:line="259" w:lineRule="auto"/>
            </w:pPr>
            <w:r>
              <w:rPr>
                <w:rFonts w:ascii="Calibri" w:hAnsi="Calibri"/>
                <w:b/>
                <w:i w:val="0"/>
                <w:color w:val="212121"/>
                <w:sz w:val="19"/>
              </w:rPr>
              <w:t>Obesity (central)</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Visceral adiposity is the strongest modifiable driver of hepatic steatosis and steatohepatitis.</w:t>
            </w:r>
          </w:p>
        </w:tc>
      </w:tr>
      <w:tr>
        <w:trPr>
          <w:cantSplit/>
        </w:trPr>
        <w:tc>
          <w:tcPr>
            <w:tcW w:type="dxa" w:w="2232"/>
            <w:vAlign w:val="top"/>
          </w:tcPr>
          <w:p>
            <w:pPr>
              <w:spacing w:after="40" w:before="0" w:line="259" w:lineRule="auto"/>
            </w:pPr>
            <w:r>
              <w:rPr>
                <w:rFonts w:ascii="Calibri" w:hAnsi="Calibri"/>
                <w:b/>
                <w:i w:val="0"/>
                <w:color w:val="212121"/>
                <w:sz w:val="19"/>
              </w:rPr>
              <w:t>Metabolic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NAFLD is the hepatic manifestation; the two share aetiology and cluster together.</w:t>
            </w:r>
          </w:p>
        </w:tc>
      </w:tr>
      <w:tr>
        <w:trPr>
          <w:cantSplit/>
        </w:trPr>
        <w:tc>
          <w:tcPr>
            <w:tcW w:type="dxa" w:w="2232"/>
            <w:vAlign w:val="top"/>
          </w:tcPr>
          <w:p>
            <w:pPr>
              <w:spacing w:after="40" w:before="0" w:line="259" w:lineRule="auto"/>
            </w:pPr>
            <w:r>
              <w:rPr>
                <w:rFonts w:ascii="Calibri" w:hAnsi="Calibri"/>
                <w:b/>
                <w:i w:val="0"/>
                <w:color w:val="212121"/>
                <w:sz w:val="19"/>
              </w:rPr>
              <w:t>Atherogenic dyslipidaemia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High triglycerides and low HDL both promote and result from hepatic fat handling.</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Common metabolic soil of insulin resistance and endothelial dysfunction.</w:t>
            </w:r>
          </w:p>
        </w:tc>
      </w:tr>
      <w:tr>
        <w:trPr>
          <w:cantSplit/>
        </w:trPr>
        <w:tc>
          <w:tcPr>
            <w:tcW w:type="dxa" w:w="2232"/>
            <w:vAlign w:val="top"/>
          </w:tcPr>
          <w:p>
            <w:pPr>
              <w:spacing w:after="40" w:before="0" w:line="259" w:lineRule="auto"/>
            </w:pPr>
            <w:r>
              <w:rPr>
                <w:rFonts w:ascii="Calibri" w:hAnsi="Calibri"/>
                <w:b/>
                <w:i w:val="0"/>
                <w:color w:val="212121"/>
                <w:sz w:val="19"/>
              </w:rPr>
              <w:t>Cardiovascular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leading cause of death in NAFLD; hepatic and systemic inflammation accelerate atherosclerosis.</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Intermittent hypoxia worsens insulin resistance, hepatic inflammation and fibrosis.</w:t>
            </w:r>
          </w:p>
        </w:tc>
      </w:tr>
      <w:tr>
        <w:trPr>
          <w:cantSplit/>
        </w:trPr>
        <w:tc>
          <w:tcPr>
            <w:tcW w:type="dxa" w:w="2232"/>
            <w:vAlign w:val="top"/>
          </w:tcPr>
          <w:p>
            <w:pPr>
              <w:spacing w:after="40" w:before="0" w:line="259" w:lineRule="auto"/>
            </w:pPr>
            <w:r>
              <w:rPr>
                <w:rFonts w:ascii="Calibri" w:hAnsi="Calibri"/>
                <w:b/>
                <w:i w:val="0"/>
                <w:color w:val="212121"/>
                <w:sz w:val="19"/>
              </w:rPr>
              <w:t>Polycystic ovary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Hyperandrogenism and insulin resistance sharply raise NAFLD risk in young women.</w:t>
            </w:r>
          </w:p>
        </w:tc>
      </w:tr>
      <w:tr>
        <w:trPr>
          <w:cantSplit/>
        </w:trPr>
        <w:tc>
          <w:tcPr>
            <w:tcW w:type="dxa" w:w="2232"/>
            <w:vAlign w:val="top"/>
          </w:tcPr>
          <w:p>
            <w:pPr>
              <w:spacing w:after="40" w:before="0" w:line="259" w:lineRule="auto"/>
            </w:pPr>
            <w:r>
              <w:rPr>
                <w:rFonts w:ascii="Calibri" w:hAnsi="Calibri"/>
                <w:b/>
                <w:i w:val="0"/>
                <w:color w:val="212121"/>
                <w:sz w:val="19"/>
              </w:rPr>
              <w:t>Chronic kidney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NAFLD independently raises CKD risk through shared metabolic and inflammatory pathways.</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Reduced thyroid function is associated with increased hepatic steatosis.</w:t>
            </w:r>
          </w:p>
        </w:tc>
      </w:tr>
      <w:tr>
        <w:trPr>
          <w:cantSplit/>
        </w:trPr>
        <w:tc>
          <w:tcPr>
            <w:tcW w:type="dxa" w:w="2232"/>
            <w:vAlign w:val="top"/>
          </w:tcPr>
          <w:p>
            <w:pPr>
              <w:spacing w:after="40" w:before="0" w:line="259" w:lineRule="auto"/>
            </w:pPr>
            <w:r>
              <w:rPr>
                <w:rFonts w:ascii="Calibri" w:hAnsi="Calibri"/>
                <w:b/>
                <w:i w:val="0"/>
                <w:color w:val="212121"/>
                <w:sz w:val="19"/>
              </w:rPr>
              <w:t>Hepatocellular carcinoma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A feared end-stage outcome that can arise in NAFLD/NASH even without cirrhosis.</w:t>
            </w:r>
          </w:p>
        </w:tc>
      </w:tr>
      <w:tr>
        <w:trPr>
          <w:cantSplit/>
        </w:trPr>
        <w:tc>
          <w:tcPr>
            <w:tcW w:type="dxa" w:w="2232"/>
            <w:vAlign w:val="top"/>
          </w:tcPr>
          <w:p>
            <w:pPr>
              <w:spacing w:after="40" w:before="0" w:line="259" w:lineRule="auto"/>
            </w:pPr>
            <w:r>
              <w:rPr>
                <w:rFonts w:ascii="Calibri" w:hAnsi="Calibri"/>
                <w:b/>
                <w:i w:val="0"/>
                <w:color w:val="212121"/>
                <w:sz w:val="19"/>
              </w:rPr>
              <w:t>Colorectal adenoma/carcinoma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NAFLD is associated with higher prevalence of colonic neoplasia.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NAFLD/MASLD is the hepatic face of metabolic syndrome and is largely reversible in early stages through lifestyle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most fatty liver is silent - screening matters in anyone with diabetes, obesity, central adiposity or abnormal lipids.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South Asians accumulate liver fat at lower body weight, so 'not looking obese' does not exclude the disease (lean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liver fibrosis, not fat alone, determines outcome, and that cardiovascular disease - not liver failure - is the commonest cause of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unproven 'liver detox' supplements and unnecessary hepatotoxic drugs; act on early warning signs (persistent fatigue, RUQ discomfort) with timely testing.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diabetes/obesity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metabolic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urban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of NAFLD/T2DM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Lean individuals with central adiposity</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&gt;=150-300 minutes/week of moderate aerobic activity (brisk walking, cycling, swimming); exercise reduces liver fat even without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to build muscle and improve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Target a gradual, sustained 7-10% loss of body weight in overweight/obese patients - the single most effective intervention for NASH and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post-meal walks (10-15 minutes) to blunt glucose spikes and reduce hepatic fat storage.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prolonged sitting; break up screen-bound work with short activity every 30-60 minutes.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NAFLD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diabetics with fatty liver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biopsy-proven NASH</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Eliminate sugar-sweetened beverages, fruit juices and high-fructose foods, which directly drive hepatic fat synthesis.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refined carbohydrates (white rice, maida, bakery items) and deep-fried/ultra-processed foods; favour whole grains and millets (ragi, jowar, bajra).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Mediterranean-style pattern: plenty of vegetables, legumes, fruit, nuts, fish and olive/mustard oil, with limited red and processed meat.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 dietary fibre (25-35 g/day) and lean protein to improve satiety and glycaemic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total energy intake for gradual weight loss; avoid crash diets and rapid weight loss, which can worsen steatohepatitis.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High-fructose/soft-drink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Refined-carb &amp; fried-food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Prediabetic and diabetic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Structure a hypocaloric diet aiming for 7-10% weight loss; &gt;=10% loss resolves NASH in about 90% and regresses fibrosis in ~45% of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Distribute carbohydrate evenly, prefer low-glycaemic-index choices, and control portion sizes at each meal.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coexisting dyslipidaemia and glycaemia through diet alongside prescribed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moderate coffee consumption (unsweetened), associated with lower fibrosis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Biopsy-proven NASH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NAFLD with significant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dyslipidaemia</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7-9 hours of good-quality sleep nightly to support insulin sensitivity.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especially in obese patients with snoring or daytime somnolence.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consistent sleep-wake timing and avoid late-night heavy meals.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Obese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Snorers / suspected OSA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Metabolic syndrome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Minimise or abstain from alcohol; even moderate intake worsens fibrosis and reclassifies disease as MetALD.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Advise complete abstinence in anyone with significant fibrosis or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honestly for alcohol use, as it changes diagnosis, prognosis and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NAFLD/MetALD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fibrosis or cirrhosis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NAFLD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aggravates insulin resistance, fibrosis progression and cardiovascular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cessation support and pharmacotherapy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 with NAFLD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Diabetic/CVD-risk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metabolic syndrome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depression, anxiety and chronic stress, which are bidirectionally linked to NAFLD and undermine lifestyle change.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(yoga, mindfulness, structured routines) to support adherence to diet and exercise.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behavioural support and realistic goal-setting to sustain long-term weight management.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Emotional/stress eaters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struggling with weight goals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5677499/" TargetMode="External"/><Relationship Id="rId10" Type="http://schemas.openxmlformats.org/officeDocument/2006/relationships/hyperlink" Target="https://pubmed.ncbi.nlm.nih.gov/24772746/" TargetMode="External"/><Relationship Id="rId11" Type="http://schemas.openxmlformats.org/officeDocument/2006/relationships/hyperlink" Target="https://link.springer.com/article/10.1007/s13300-025-01808-6" TargetMode="External"/><Relationship Id="rId12" Type="http://schemas.openxmlformats.org/officeDocument/2006/relationships/hyperlink" Target="https://www.aasld.org/new-masld-nomenclature" TargetMode="External"/><Relationship Id="rId13" Type="http://schemas.openxmlformats.org/officeDocument/2006/relationships/hyperlink" Target="https://journals.plos.org/plosone/article?id=10.1371%2Fjournal.pone.0263768" TargetMode="External"/><Relationship Id="rId14" Type="http://schemas.openxmlformats.org/officeDocument/2006/relationships/hyperlink" Target="https://pmc.ncbi.nlm.nih.gov/articles/PMC12571367/" TargetMode="External"/><Relationship Id="rId15" Type="http://schemas.openxmlformats.org/officeDocument/2006/relationships/hyperlink" Target="https://pubmed.ncbi.nlm.nih.gov/25865049/" TargetMode="External"/><Relationship Id="rId16" Type="http://schemas.openxmlformats.org/officeDocument/2006/relationships/hyperlink" Target="https://www.ncbi.nlm.nih.gov/books/NBK541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