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Alcoholic Fatty Liver Disease</w:t>
      </w:r>
    </w:p>
    <w:p>
      <w:pPr>
        <w:spacing w:before="0" w:after="160"/>
      </w:pPr>
      <w:r>
        <w:rPr>
          <w:rFonts w:ascii="Calibri" w:hAnsi="Calibri"/>
          <w:b/>
          <w:i w:val="0"/>
          <w:color w:val="212121"/>
          <w:sz w:val="22"/>
        </w:rPr>
        <w:t xml:space="preserve">AKA </w:t>
      </w:r>
      <w:r>
        <w:rPr>
          <w:rFonts w:ascii="Calibri" w:hAnsi="Calibri"/>
          <w:b w:val="0"/>
          <w:i w:val="0"/>
          <w:color w:val="212121"/>
          <w:sz w:val="22"/>
        </w:rPr>
        <w:t>i.e., Alcoholic steatosis, Alcohol-related fatty liver, Alcohol-induced hepatic steatosis, the earliest and reversible stage of Alcohol-related / Alcohol-associated Liver Disease (ALD); under the 2023 steatotic-liver-disease nomenclature classified within ALD (or MetALD when metabolic dysfunction coexists)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Alcoholic fatty liver disease (AFLD) is the earliest and most common hepatic consequence of harmful alcohol use, defined by macrovesicular accumulation of triglyceride in more than 5% of hepatocytes caused by chronic excessive drinking. Ethanol metabolism raises the hepatic NADH/NAD+ ratio, promoting fatty-acid synthesis while impairing fat oxidation and VLDL export, so fat accumulates - often within weeks of heavy intake. It is usually asymptomatic and largely reversible with sustained abstinence, but if drinking continues it can progress along the ALD spectrum to alcoholic steatohepatitis, fibrosis, cirrhosis and hepatocellular carcinoma.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AFLD is extremely common in people who drink heavily: hepatic steatosis is demonstrable in about 90% of chronic heavy drinkers. In India, alcohol is the single commonest cause of liver cirrhosis, accounting for roughly 34.3% of cases, and nearly 1 in 5 (about 20%) of all liver-disease patients are current alcohol users. NFHS-5 (2019-21) found 18.7% of Indian men and 1.3% of women consume alcohol, rising above 40-52% in states such as Arunachal Pradesh, Telangana and Sikkim, with rural intake exceeding urban - making AFLD a large, rising and largely under-recognised burden that typically presents in men in their mid-40s.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Alcoholic fatty liver disease is a clinical-radiological diagnosis: it requires documentation of significant chronic alcohol intake plus imaging (or histological) evidence of hepatic steatosis, after reasonable exclusion of competing causes. Supportive criteria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Significant chronic alcohol consumption - historically at least 60 g/day in men (about 3-4 standard drinks) or 20-40 g/day in women over several years; under the 2023 nomenclature, pure alcohol-associated liver disease corresponds to &gt; 420 g ethanol/week (men) or &gt; 350 g/week (women). Standardised screening (AUDIT / AUDIT-C, CAGE) helps quantify intake.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Radiological steatosis - abdominal ultrasound showing a bright, hyperechoic ('fatty') liver with hepatorenal echo contrast and posterior beam attenuation; or CT/MRI, MR-PDFF, or controlled attenuation parameter (CAP) on transient elastography (FibroScan) for quantification.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biochemistry - AST:ALT (De Ritis) ratio &gt; 2 with transaminases usually below 300 IU/L (rarely more than 5 times the upper limit of normal), raised gamma-glutamyl transferase (GGT, typically exceeding alkaline phosphatase) and macrocytosis (raised MCV).</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other steatogenic causes - viral hepatitis (HBsAg, anti-HCV), significant metabolic dysfunction (which, if present with moderate alcohol intake, reclassifies the patient as MetALD), hepatotoxic drugs, Wilson's disease and autoimmune liver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Liver biopsy (not routinely required) - reserved for diagnostic uncertainty or fibrosis staging; shows macrovesicular steatosis and, if steatohepatitis has developed, hepatocyte ballooning, Mallory-Denk bodies and neutrophilic lobular inflammation.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Alcoholic fatty liver disease sits at the start of the alcohol-related liver disease (ALD) spectrum. Its lesions are graded and staged as follows, and framed within the 2023 steatotic-liver-disease (SLD) nomenclature:</w:t>
      </w:r>
    </w:p>
    <w:p>
      <w:pPr>
        <w:spacing w:before="0" w:after="80"/>
      </w:pPr>
      <w:r>
        <w:rPr>
          <w:rFonts w:ascii="Calibri" w:hAnsi="Calibri"/>
          <w:b w:val="0"/>
          <w:i w:val="0"/>
          <w:color w:val="212121"/>
          <w:sz w:val="21"/>
        </w:rPr>
        <w:t>(1) Simple alcoholic steatosis (alcoholic fatty liver) - bland macrovesicular triglyceride accumulation in more than 5% of hepatocytes without significant inflammation or fibrosis; typically asymptomatic and largely reversible with sustained abstinence.</w:t>
      </w:r>
    </w:p>
    <w:p>
      <w:pPr>
        <w:spacing w:before="0" w:after="80"/>
      </w:pPr>
      <w:r>
        <w:rPr>
          <w:rFonts w:ascii="Calibri" w:hAnsi="Calibri"/>
          <w:b w:val="0"/>
          <w:i w:val="0"/>
          <w:color w:val="212121"/>
          <w:sz w:val="21"/>
        </w:rPr>
        <w:t>(2) Alcoholic steatohepatitis (ASH) - steatosis accompanied by hepatocyte ballooning, Mallory-Denk bodies and neutrophilic inflammation; its severe, clinically overt form (acute alcoholic hepatitis) carries high short-term mortality and can drive rapid fibrosis.</w:t>
      </w:r>
    </w:p>
    <w:p>
      <w:pPr>
        <w:spacing w:before="0" w:after="80"/>
      </w:pPr>
      <w:r>
        <w:rPr>
          <w:rFonts w:ascii="Calibri" w:hAnsi="Calibri"/>
          <w:b w:val="0"/>
          <w:i w:val="0"/>
          <w:color w:val="212121"/>
          <w:sz w:val="21"/>
        </w:rPr>
        <w:t>(3) Alcoholic fibrosis and cirrhosis - progressive perivenular and pericellular ('chicken-wire') fibrosis advancing to bridging fibrosis and micronodular cirrhosis; largely irreversible and the substrate for portal hypertension and hepatocellular carcinoma.</w:t>
      </w:r>
    </w:p>
    <w:p>
      <w:pPr>
        <w:spacing w:before="0" w:after="80"/>
      </w:pPr>
      <w:r>
        <w:rPr>
          <w:rFonts w:ascii="Calibri" w:hAnsi="Calibri"/>
          <w:b w:val="0"/>
          <w:i w:val="0"/>
          <w:color w:val="212121"/>
          <w:sz w:val="21"/>
        </w:rPr>
        <w:t>(4) Histological grade of steatosis - mild (&lt; 33% of hepatocytes involved), moderate (33-66%) and severe (&gt; 66%).</w:t>
      </w:r>
    </w:p>
    <w:p>
      <w:pPr>
        <w:spacing w:before="0" w:after="80"/>
      </w:pPr>
      <w:r>
        <w:rPr>
          <w:rFonts w:ascii="Calibri" w:hAnsi="Calibri"/>
          <w:b w:val="0"/>
          <w:i w:val="0"/>
          <w:color w:val="212121"/>
          <w:sz w:val="21"/>
        </w:rPr>
        <w:t>(5) 2023 SLD nomenclature context - pure alcohol-driven steatosis is termed ALD (&gt; 420 g/week in men, &gt; 350 g/week in women); when steatosis coexists with cardiometabolic risk factors and moderate alcohol intake (210-420 g/week men; 140-350 g/week women) it is classified as MetALD, and with lower intake as MASLD.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Chronic excessive alcohol intake (dose and duration): The necessary cause; daily consumption of about 30-50 g of ethanol for more than 5 years can produce clinically significant liver disease, and steatosis appears in the great majority of heavy drinkers.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Altered hepatic lipid metabolism: Ethanol oxidation raises the NADH/NAD+ ratio, driving fatty-acid synthesis and lipogenic transcription (SREBP-1c) while suppressing beta-oxidation and VLDL export, so triglyceride accumulates in hepatocytes.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Acetaldehyde toxicity and oxidative stress: CYP2E1 induction generates reactive oxygen species and acetaldehyde adducts that cause lipid peroxidation, mitochondrial injury and hepatocyte damage.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Gut-derived endotoxin and Kupffer-cell activation: Alcohol increases intestinal permeability, allowing lipopolysaccharide to activate Kupffer cells and release TNF-alpha and other cytokines that promote steatohepatitis.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Malnutrition and micronutrient deficiency: Alcohol displaces food and impairs absorption, causing protein-calorie malnutrition and thiamine, folate and antioxidant deficiencies that impair hepatic recovery.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Genetic susceptibility: Variants in PNPLA3 (rs738409 I148M), TM6SF2 and MBOAT7 impair hepatic triglyceride handling and increase the risk and severity of alcohol-related steatosis and its progression.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Cofactors that amplify injury: Obesity, type 2 diabetes/metabolic syndrome, chronic hepatitis C, tobacco use, female sex and iron overload accelerate steatosis and progression to fibrosis.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(economically active men, 30-50 years)</w:t>
            </w:r>
          </w:p>
        </w:tc>
        <w:tc>
          <w:tcPr>
            <w:tcW w:type="dxa" w:w="4276"/>
            <w:vAlign w:val="top"/>
          </w:tcPr>
          <w:p>
            <w:pPr>
              <w:spacing w:after="60" w:line="259" w:lineRule="auto"/>
            </w:pPr>
            <w:r>
              <w:rPr>
                <w:rFonts w:ascii="Calibri" w:hAnsi="Calibri"/>
                <w:b w:val="0"/>
                <w:i w:val="0"/>
                <w:color w:val="212121"/>
                <w:sz w:val="19"/>
              </w:rPr>
              <w:t>AFLD peaks in economically productive adults who accumulate years of daily drinking; steatosis is the earliest lesion and can develop within weeks of sustained heavy intake.</w:t>
            </w:r>
          </w:p>
          <w:p>
            <w:pPr>
              <w:spacing w:after="40" w:before="60" w:line="259" w:lineRule="auto"/>
            </w:pPr>
            <w:r>
              <w:rPr>
                <w:rFonts w:ascii="Calibri" w:hAnsi="Calibri"/>
                <w:b w:val="0"/>
                <w:i w:val="0"/>
                <w:color w:val="212121"/>
                <w:sz w:val="19"/>
              </w:rPr>
              <w:t>In Indian tertiary-care alcohol-related liver disease cohorts the mean age is about 44-45 years, with over 90% being male.</w:t>
            </w:r>
          </w:p>
          <w:p>
            <w:pPr>
              <w:spacing w:after="40" w:line="252" w:lineRule="auto"/>
            </w:pPr>
            <w:hyperlink r:id="rId9">
              <w:r>
                <w:rPr>
                  <w:rFonts w:ascii="Calibri" w:hAnsi="Calibri" w:cs="Calibri"/>
                  <w:sz w:val="18"/>
                  <w:color w:val="1155CC"/>
                  <w:u w:val="single"/>
                </w:rPr>
                <w:t xml:space="preserve">jptcp.com - profile of alcohol-related liver disease, northwestern India</w:t>
              </w:r>
            </w:hyperlink>
          </w:p>
          <w:p>
            <w:pPr>
              <w:spacing w:before="60" w:after="40"/>
            </w:pPr>
            <w:r>
              <w:rPr>
                <w:rFonts w:ascii="Calibri" w:hAnsi="Calibri"/>
                <w:b w:val="0"/>
                <w:i w:val="0"/>
                <w:color w:val="5A5A5A"/>
                <w:sz w:val="18"/>
              </w:rPr>
              <w:t>#steatosis  #heavydrinking  #workingage  #malepredominance  #AFLD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Longer cumulative alcohol exposure combined with age-related decline in hepatic regeneration and slower ethanol clearance means older drinkers more often carry advanced fibrosis alongside steatosis and tolerate injury poorly.</w:t>
            </w:r>
          </w:p>
          <w:p>
            <w:pPr>
              <w:spacing w:after="40" w:before="60" w:line="259" w:lineRule="auto"/>
            </w:pPr>
            <w:r>
              <w:rPr>
                <w:rFonts w:ascii="Calibri" w:hAnsi="Calibri"/>
                <w:b w:val="0"/>
                <w:i w:val="0"/>
                <w:color w:val="212121"/>
                <w:sz w:val="19"/>
              </w:rPr>
              <w:t>Risk of clinically significant liver disease rises with drinking duration; intake of about 30-50 g/day sustained beyond 5 years is a recognised threshold.</w:t>
            </w:r>
          </w:p>
          <w:p>
            <w:pPr>
              <w:spacing w:after="40" w:line="252" w:lineRule="auto"/>
            </w:pPr>
            <w:hyperlink r:id="rId10">
              <w:r>
                <w:rPr>
                  <w:rFonts w:ascii="Calibri" w:hAnsi="Calibri" w:cs="Calibri"/>
                  <w:sz w:val="18"/>
                  <w:color w:val="1155CC"/>
                  <w:u w:val="single"/>
                </w:rPr>
                <w:t xml:space="preserve">tgh.amegroups.org - epidemiology of alcoholic fatty liver disease</w:t>
              </w:r>
            </w:hyperlink>
          </w:p>
          <w:p>
            <w:pPr>
              <w:spacing w:before="60" w:after="40"/>
            </w:pPr>
            <w:r>
              <w:rPr>
                <w:rFonts w:ascii="Calibri" w:hAnsi="Calibri"/>
                <w:b w:val="0"/>
                <w:i w:val="0"/>
                <w:color w:val="5A5A5A"/>
                <w:sz w:val="18"/>
              </w:rPr>
              <w:t>#ageing  #cumulativeexposure  #fibrosis  #slowmetabolism</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Far higher population drinking rates and larger cumulative intake make men the overwhelming majority of AFLD and ALD cases in India.</w:t>
            </w:r>
          </w:p>
          <w:p>
            <w:pPr>
              <w:spacing w:after="40" w:before="60" w:line="259" w:lineRule="auto"/>
            </w:pPr>
            <w:r>
              <w:rPr>
                <w:rFonts w:ascii="Calibri" w:hAnsi="Calibri"/>
                <w:b w:val="0"/>
                <w:i w:val="0"/>
                <w:color w:val="212121"/>
                <w:sz w:val="19"/>
              </w:rPr>
              <w:t>NFHS-5 found 18.7% of Indian men consume alcohol versus 1.3% of women, and Indian ALD cohorts are roughly 90% male.</w:t>
            </w:r>
          </w:p>
          <w:p>
            <w:pPr>
              <w:spacing w:after="40" w:line="252" w:lineRule="auto"/>
            </w:pPr>
            <w:hyperlink r:id="rId11">
              <w:r>
                <w:rPr>
                  <w:rFonts w:ascii="Calibri" w:hAnsi="Calibri" w:cs="Calibri"/>
                  <w:sz w:val="18"/>
                  <w:color w:val="1155CC"/>
                  <w:u w:val="single"/>
                </w:rPr>
                <w:t xml:space="preserve">groundreport.in - NFHS-5 alcohol consumption in India</w:t>
              </w:r>
            </w:hyperlink>
          </w:p>
          <w:p>
            <w:pPr>
              <w:spacing w:before="60" w:after="40"/>
            </w:pPr>
            <w:r>
              <w:rPr>
                <w:rFonts w:ascii="Calibri" w:hAnsi="Calibri"/>
                <w:b w:val="0"/>
                <w:i w:val="0"/>
                <w:color w:val="5A5A5A"/>
                <w:sz w:val="18"/>
              </w:rPr>
              <w:t>#malerisk  #alcoholuse  #NFHS5  #heavydrinking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develop steatosis and progress to advanced disease at lower doses and shorter durations owing to lower gastric alcohol dehydrogenase (so more intact ethanol reaches the liver), a smaller volume of distribution and greater oxidative sensitivity.</w:t>
            </w:r>
          </w:p>
          <w:p>
            <w:pPr>
              <w:spacing w:after="40" w:before="60" w:line="259" w:lineRule="auto"/>
            </w:pPr>
            <w:r>
              <w:rPr>
                <w:rFonts w:ascii="Calibri" w:hAnsi="Calibri"/>
                <w:b w:val="0"/>
                <w:i w:val="0"/>
                <w:color w:val="212121"/>
                <w:sz w:val="19"/>
              </w:rPr>
              <w:t>About 30 g/day in women (versus about 50 g/day in men) over 5 years can cause clinically significant liver disease; women may be at risk from only 20-30 g/day.</w:t>
            </w:r>
          </w:p>
          <w:p>
            <w:pPr>
              <w:spacing w:after="40" w:line="252" w:lineRule="auto"/>
            </w:pPr>
            <w:hyperlink r:id="rId12">
              <w:r>
                <w:rPr>
                  <w:rFonts w:ascii="Calibri" w:hAnsi="Calibri" w:cs="Calibri"/>
                  <w:sz w:val="18"/>
                  <w:color w:val="1155CC"/>
                  <w:u w:val="single"/>
                </w:rPr>
                <w:t xml:space="preserve">merckmanuals.com - alcohol-related liver disease (sex differences)</w:t>
              </w:r>
            </w:hyperlink>
          </w:p>
          <w:p>
            <w:pPr>
              <w:spacing w:before="60" w:after="40"/>
            </w:pPr>
            <w:r>
              <w:rPr>
                <w:rFonts w:ascii="Calibri" w:hAnsi="Calibri"/>
                <w:b w:val="0"/>
                <w:i w:val="0"/>
                <w:color w:val="5A5A5A"/>
                <w:sz w:val="18"/>
              </w:rPr>
              <w:t>#femalerisk  #gastricADH  #lowerthreshold  #susceptibility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manual workers and daily wage earners</w:t>
            </w:r>
          </w:p>
        </w:tc>
        <w:tc>
          <w:tcPr>
            <w:tcW w:type="dxa" w:w="4276"/>
            <w:vAlign w:val="top"/>
          </w:tcPr>
          <w:p>
            <w:pPr>
              <w:spacing w:after="60" w:line="259" w:lineRule="auto"/>
            </w:pPr>
            <w:r>
              <w:rPr>
                <w:rFonts w:ascii="Calibri" w:hAnsi="Calibri"/>
                <w:b w:val="0"/>
                <w:i w:val="0"/>
                <w:color w:val="212121"/>
                <w:sz w:val="19"/>
              </w:rPr>
              <w:t>Cheap, unregulated country liquor and locally brewed spirits carry high ethanol and contaminant loads; lower-income daily drinkers tend to present younger and progress faster.</w:t>
            </w:r>
          </w:p>
          <w:p>
            <w:pPr>
              <w:spacing w:after="40" w:before="60" w:line="259" w:lineRule="auto"/>
            </w:pPr>
            <w:r>
              <w:rPr>
                <w:rFonts w:ascii="Calibri" w:hAnsi="Calibri"/>
                <w:b w:val="0"/>
                <w:i w:val="0"/>
                <w:color w:val="212121"/>
                <w:sz w:val="19"/>
              </w:rPr>
              <w:t>In an eastern-India (Jharkhand) cohort, country-liquor and hadiya drinkers developed liver disease in about 6-8 years versus about 17 years for branded spirits.</w:t>
            </w:r>
          </w:p>
          <w:p>
            <w:pPr>
              <w:spacing w:after="40" w:line="252" w:lineRule="auto"/>
            </w:pPr>
            <w:hyperlink r:id="rId13">
              <w:r>
                <w:rPr>
                  <w:rFonts w:ascii="Calibri" w:hAnsi="Calibri" w:cs="Calibri"/>
                  <w:sz w:val="18"/>
                  <w:color w:val="1155CC"/>
                  <w:u w:val="single"/>
                </w:rPr>
                <w:t xml:space="preserve">ijcmr.com - profile of alcoholic liver disease, Jharkhand</w:t>
              </w:r>
            </w:hyperlink>
          </w:p>
          <w:p>
            <w:pPr>
              <w:spacing w:before="60" w:after="40"/>
            </w:pPr>
            <w:r>
              <w:rPr>
                <w:rFonts w:ascii="Calibri" w:hAnsi="Calibri"/>
                <w:b w:val="0"/>
                <w:i w:val="0"/>
                <w:color w:val="5A5A5A"/>
                <w:sz w:val="18"/>
              </w:rPr>
              <w:t>#countryliquor  #hadiya  #socioeconomic  #fastprogression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North-East India and high-consumption states</w:t>
            </w:r>
          </w:p>
        </w:tc>
        <w:tc>
          <w:tcPr>
            <w:tcW w:type="dxa" w:w="4276"/>
            <w:vAlign w:val="top"/>
          </w:tcPr>
          <w:p>
            <w:pPr>
              <w:spacing w:after="60" w:line="259" w:lineRule="auto"/>
            </w:pPr>
            <w:r>
              <w:rPr>
                <w:rFonts w:ascii="Calibri" w:hAnsi="Calibri"/>
                <w:b w:val="0"/>
                <w:i w:val="0"/>
                <w:color w:val="212121"/>
                <w:sz w:val="19"/>
              </w:rPr>
              <w:t>Cultural acceptance of drinking and widespread local brewing drive far higher alcohol prevalence in the North-East and parts of the South, concentrating AFLD risk.</w:t>
            </w:r>
          </w:p>
          <w:p>
            <w:pPr>
              <w:spacing w:after="40" w:before="60" w:line="259" w:lineRule="auto"/>
            </w:pPr>
            <w:r>
              <w:rPr>
                <w:rFonts w:ascii="Calibri" w:hAnsi="Calibri"/>
                <w:b w:val="0"/>
                <w:i w:val="0"/>
                <w:color w:val="212121"/>
                <w:sz w:val="19"/>
              </w:rPr>
              <w:t>NFHS-5 male alcohol use: Arunachal Pradesh 52.6%, Telangana 43.4% and Sikkim 39.9%, against a national average of 18.7%.</w:t>
            </w:r>
          </w:p>
          <w:p>
            <w:pPr>
              <w:spacing w:after="40" w:line="252" w:lineRule="auto"/>
            </w:pPr>
            <w:hyperlink r:id="rId11">
              <w:r>
                <w:rPr>
                  <w:rFonts w:ascii="Calibri" w:hAnsi="Calibri" w:cs="Calibri"/>
                  <w:sz w:val="18"/>
                  <w:color w:val="1155CC"/>
                  <w:u w:val="single"/>
                </w:rPr>
                <w:t xml:space="preserve">groundreport.in - state-wise NFHS-5 alcohol data</w:t>
              </w:r>
            </w:hyperlink>
          </w:p>
          <w:p>
            <w:pPr>
              <w:spacing w:before="60" w:after="40"/>
            </w:pPr>
            <w:r>
              <w:rPr>
                <w:rFonts w:ascii="Calibri" w:hAnsi="Calibri"/>
                <w:b w:val="0"/>
                <w:i w:val="0"/>
                <w:color w:val="5A5A5A"/>
                <w:sz w:val="18"/>
              </w:rPr>
              <w:t>#northeastindia  #arunachal  #telangana  #regionalvariation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Rural and tribal country-liquor belts</w:t>
            </w:r>
          </w:p>
        </w:tc>
        <w:tc>
          <w:tcPr>
            <w:tcW w:type="dxa" w:w="4276"/>
            <w:vAlign w:val="top"/>
          </w:tcPr>
          <w:p>
            <w:pPr>
              <w:spacing w:after="60" w:line="259" w:lineRule="auto"/>
            </w:pPr>
            <w:r>
              <w:rPr>
                <w:rFonts w:ascii="Calibri" w:hAnsi="Calibri"/>
                <w:b w:val="0"/>
                <w:i w:val="0"/>
                <w:color w:val="212121"/>
                <w:sz w:val="19"/>
              </w:rPr>
              <w:t>Rural and tribal populations consuming hadiya and country liquor sustain high daily ethanol intake with limited screening, so a large pool of undetected AFLD accumulates.</w:t>
            </w:r>
          </w:p>
          <w:p>
            <w:pPr>
              <w:spacing w:after="40" w:before="60" w:line="259" w:lineRule="auto"/>
            </w:pPr>
            <w:r>
              <w:rPr>
                <w:rFonts w:ascii="Calibri" w:hAnsi="Calibri"/>
                <w:b w:val="0"/>
                <w:i w:val="0"/>
                <w:color w:val="212121"/>
                <w:sz w:val="19"/>
              </w:rPr>
              <w:t>NFHS-5 shows rural alcohol consumption exceeds urban, and country liquor/hadiya drinkers form the bulk of several eastern-India ALD series.</w:t>
            </w:r>
          </w:p>
          <w:p>
            <w:pPr>
              <w:spacing w:after="40" w:line="252" w:lineRule="auto"/>
            </w:pPr>
            <w:hyperlink r:id="rId13">
              <w:r>
                <w:rPr>
                  <w:rFonts w:ascii="Calibri" w:hAnsi="Calibri" w:cs="Calibri"/>
                  <w:sz w:val="18"/>
                  <w:color w:val="1155CC"/>
                  <w:u w:val="single"/>
                </w:rPr>
                <w:t xml:space="preserve">ijcmr.com - alcoholic liver disease in a tribal-belt population</w:t>
              </w:r>
            </w:hyperlink>
          </w:p>
          <w:p>
            <w:pPr>
              <w:spacing w:before="60" w:after="40"/>
            </w:pPr>
            <w:r>
              <w:rPr>
                <w:rFonts w:ascii="Calibri" w:hAnsi="Calibri"/>
                <w:b w:val="0"/>
                <w:i w:val="0"/>
                <w:color w:val="5A5A5A"/>
                <w:sz w:val="18"/>
              </w:rPr>
              <w:t>#rural  #tribal  #hadiya  #underdiagnosed</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daily drinkers</w:t>
            </w:r>
          </w:p>
        </w:tc>
        <w:tc>
          <w:tcPr>
            <w:tcW w:type="dxa" w:w="4276"/>
            <w:vAlign w:val="top"/>
          </w:tcPr>
          <w:p>
            <w:pPr>
              <w:spacing w:after="60" w:line="259" w:lineRule="auto"/>
            </w:pPr>
            <w:r>
              <w:rPr>
                <w:rFonts w:ascii="Calibri" w:hAnsi="Calibri"/>
                <w:b w:val="0"/>
                <w:i w:val="0"/>
                <w:color w:val="212121"/>
                <w:sz w:val="19"/>
              </w:rPr>
              <w:t>Ethanol shifts hepatic redox balance (raised NADH/NAD+), promoting fatty-acid synthesis and blocking beta-oxidation and VLDL export, so fat accumulates rapidly and near-universally in heavy drinkers.</w:t>
            </w:r>
          </w:p>
          <w:p>
            <w:pPr>
              <w:spacing w:after="40" w:before="60" w:line="259" w:lineRule="auto"/>
            </w:pPr>
            <w:r>
              <w:rPr>
                <w:rFonts w:ascii="Calibri" w:hAnsi="Calibri"/>
                <w:b w:val="0"/>
                <w:i w:val="0"/>
                <w:color w:val="212121"/>
                <w:sz w:val="19"/>
              </w:rPr>
              <w:t>Hepatic steatosis is present in about 90% of people who drink more than 60 g/day of ethanol.</w:t>
            </w:r>
          </w:p>
          <w:p>
            <w:pPr>
              <w:spacing w:after="40" w:line="252" w:lineRule="auto"/>
            </w:pPr>
            <w:hyperlink r:id="rId14">
              <w:r>
                <w:rPr>
                  <w:rFonts w:ascii="Calibri" w:hAnsi="Calibri" w:cs="Calibri"/>
                  <w:sz w:val="18"/>
                  <w:color w:val="1155CC"/>
                  <w:u w:val="single"/>
                </w:rPr>
                <w:t xml:space="preserve">ncbi.nlm.nih.gov - StatPearls, alcohol-associated liver disease</w:t>
              </w:r>
            </w:hyperlink>
          </w:p>
          <w:p>
            <w:pPr>
              <w:spacing w:before="60" w:after="40"/>
            </w:pPr>
            <w:r>
              <w:rPr>
                <w:rFonts w:ascii="Calibri" w:hAnsi="Calibri"/>
                <w:b w:val="0"/>
                <w:i w:val="0"/>
                <w:color w:val="5A5A5A"/>
                <w:sz w:val="18"/>
              </w:rPr>
              <w:t>#heavydrinking  #steatosis  #NADH  #dosedependent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Drinking pattern</w:t>
            </w:r>
          </w:p>
        </w:tc>
        <w:tc>
          <w:tcPr>
            <w:tcW w:type="dxa" w:w="2160"/>
            <w:vAlign w:val="top"/>
          </w:tcPr>
          <w:p>
            <w:pPr>
              <w:spacing w:after="40" w:before="0" w:line="259" w:lineRule="auto"/>
            </w:pPr>
            <w:r>
              <w:rPr>
                <w:rFonts w:ascii="Calibri" w:hAnsi="Calibri"/>
                <w:b w:val="0"/>
                <w:i w:val="0"/>
                <w:color w:val="212121"/>
                <w:sz w:val="19"/>
              </w:rPr>
              <w:t>Binge and daily (non-meal) drinkers</w:t>
            </w:r>
          </w:p>
        </w:tc>
        <w:tc>
          <w:tcPr>
            <w:tcW w:type="dxa" w:w="4276"/>
            <w:vAlign w:val="top"/>
          </w:tcPr>
          <w:p>
            <w:pPr>
              <w:spacing w:after="60" w:line="259" w:lineRule="auto"/>
            </w:pPr>
            <w:r>
              <w:rPr>
                <w:rFonts w:ascii="Calibri" w:hAnsi="Calibri"/>
                <w:b w:val="0"/>
                <w:i w:val="0"/>
                <w:color w:val="212121"/>
                <w:sz w:val="19"/>
              </w:rPr>
              <w:t>Binge episodes, daily rather than intermittent drinking, and drinking outside meals increase steatosis and progression risk independent of total volume.</w:t>
            </w:r>
          </w:p>
          <w:p>
            <w:pPr>
              <w:spacing w:after="40" w:before="60" w:line="259" w:lineRule="auto"/>
            </w:pPr>
            <w:r>
              <w:rPr>
                <w:rFonts w:ascii="Calibri" w:hAnsi="Calibri"/>
                <w:b w:val="0"/>
                <w:i w:val="0"/>
                <w:color w:val="212121"/>
                <w:sz w:val="19"/>
              </w:rPr>
              <w:t>Daily drinking predominates in Indian ALD cohorts - about 64% drank daily in a northwestern-India series.</w:t>
            </w:r>
          </w:p>
          <w:p>
            <w:pPr>
              <w:spacing w:after="40" w:line="252" w:lineRule="auto"/>
            </w:pPr>
            <w:hyperlink r:id="rId9">
              <w:r>
                <w:rPr>
                  <w:rFonts w:ascii="Calibri" w:hAnsi="Calibri" w:cs="Calibri"/>
                  <w:sz w:val="18"/>
                  <w:color w:val="1155CC"/>
                  <w:u w:val="single"/>
                </w:rPr>
                <w:t xml:space="preserve">jptcp.com - drinking pattern in Indian ALD</w:t>
              </w:r>
            </w:hyperlink>
          </w:p>
          <w:p>
            <w:pPr>
              <w:spacing w:before="60" w:after="40"/>
            </w:pPr>
            <w:r>
              <w:rPr>
                <w:rFonts w:ascii="Calibri" w:hAnsi="Calibri"/>
                <w:b w:val="0"/>
                <w:i w:val="0"/>
                <w:color w:val="5A5A5A"/>
                <w:sz w:val="18"/>
              </w:rPr>
              <w:t>#bingedrinking  #dailydrinking  #pattern  #emptystomach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who also drink</w:t>
            </w:r>
          </w:p>
        </w:tc>
        <w:tc>
          <w:tcPr>
            <w:tcW w:type="dxa" w:w="4276"/>
            <w:vAlign w:val="top"/>
          </w:tcPr>
          <w:p>
            <w:pPr>
              <w:spacing w:after="60" w:line="259" w:lineRule="auto"/>
            </w:pPr>
            <w:r>
              <w:rPr>
                <w:rFonts w:ascii="Calibri" w:hAnsi="Calibri"/>
                <w:b w:val="0"/>
                <w:i w:val="0"/>
                <w:color w:val="212121"/>
                <w:sz w:val="19"/>
              </w:rPr>
              <w:t>Tobacco adds oxidative stress and vascular injury that accelerate fibrosis progression in alcohol-related liver disease, compounding hepatocellular damage.</w:t>
            </w:r>
          </w:p>
          <w:p>
            <w:pPr>
              <w:spacing w:after="40" w:before="60" w:line="259" w:lineRule="auto"/>
            </w:pPr>
            <w:r>
              <w:rPr>
                <w:rFonts w:ascii="Calibri" w:hAnsi="Calibri"/>
                <w:b w:val="0"/>
                <w:i w:val="0"/>
                <w:color w:val="212121"/>
                <w:sz w:val="19"/>
              </w:rPr>
              <w:t>Concurrent smoking is a recognised cofactor that accelerates progression of alcohol-related liver injury.</w:t>
            </w:r>
          </w:p>
          <w:p>
            <w:pPr>
              <w:spacing w:before="60" w:after="40"/>
            </w:pPr>
            <w:r>
              <w:rPr>
                <w:rFonts w:ascii="Calibri" w:hAnsi="Calibri"/>
                <w:b w:val="0"/>
                <w:i w:val="0"/>
                <w:color w:val="5A5A5A"/>
                <w:sz w:val="18"/>
              </w:rPr>
              <w:t>#smoking  #tobacco  #oxidativestress  #fibrosis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Overweight</w:t>
            </w:r>
          </w:p>
        </w:tc>
        <w:tc>
          <w:tcPr>
            <w:tcW w:type="dxa" w:w="2160"/>
            <w:vAlign w:val="top"/>
          </w:tcPr>
          <w:p>
            <w:pPr>
              <w:spacing w:after="40" w:before="0" w:line="259" w:lineRule="auto"/>
            </w:pPr>
            <w:r>
              <w:rPr>
                <w:rFonts w:ascii="Calibri" w:hAnsi="Calibri"/>
                <w:b w:val="0"/>
                <w:i w:val="0"/>
                <w:color w:val="212121"/>
                <w:sz w:val="19"/>
              </w:rPr>
              <w:t>Inactive, overweight drinkers (two-hit)</w:t>
            </w:r>
          </w:p>
        </w:tc>
        <w:tc>
          <w:tcPr>
            <w:tcW w:type="dxa" w:w="4276"/>
            <w:vAlign w:val="top"/>
          </w:tcPr>
          <w:p>
            <w:pPr>
              <w:spacing w:after="60" w:line="259" w:lineRule="auto"/>
            </w:pPr>
            <w:r>
              <w:rPr>
                <w:rFonts w:ascii="Calibri" w:hAnsi="Calibri"/>
                <w:b w:val="0"/>
                <w:i w:val="0"/>
                <w:color w:val="212121"/>
                <w:sz w:val="19"/>
              </w:rPr>
              <w:t>Obesity and physical inactivity add metabolic (insulin-resistance) steatosis on top of alcohol-driven fat, synergistically worsening liver fat and accelerating progression - the MetALD overlap.</w:t>
            </w:r>
          </w:p>
          <w:p>
            <w:pPr>
              <w:spacing w:after="40" w:before="60" w:line="259" w:lineRule="auto"/>
            </w:pPr>
            <w:r>
              <w:rPr>
                <w:rFonts w:ascii="Calibri" w:hAnsi="Calibri"/>
                <w:b w:val="0"/>
                <w:i w:val="0"/>
                <w:color w:val="212121"/>
                <w:sz w:val="19"/>
              </w:rPr>
              <w:t>Obesity is an established cofactor that worsens steatosis and speeds progression in alcohol-related liver disease.</w:t>
            </w:r>
          </w:p>
          <w:p>
            <w:pPr>
              <w:spacing w:after="40" w:line="252" w:lineRule="auto"/>
            </w:pPr>
            <w:hyperlink r:id="rId12">
              <w:r>
                <w:rPr>
                  <w:rFonts w:ascii="Calibri" w:hAnsi="Calibri" w:cs="Calibri"/>
                  <w:sz w:val="18"/>
                  <w:color w:val="1155CC"/>
                  <w:u w:val="single"/>
                </w:rPr>
                <w:t xml:space="preserve">merckmanuals.com - obesity as a cofactor in ALD</w:t>
              </w:r>
            </w:hyperlink>
          </w:p>
          <w:p>
            <w:pPr>
              <w:spacing w:before="60" w:after="40"/>
            </w:pPr>
            <w:r>
              <w:rPr>
                <w:rFonts w:ascii="Calibri" w:hAnsi="Calibri"/>
                <w:b w:val="0"/>
                <w:i w:val="0"/>
                <w:color w:val="5A5A5A"/>
                <w:sz w:val="18"/>
              </w:rPr>
              <w:t>#obesity  #sedentary  #MetALD  #twohit  #insulinresistance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w:t>
            </w:r>
          </w:p>
        </w:tc>
        <w:tc>
          <w:tcPr>
            <w:tcW w:type="dxa" w:w="2160"/>
            <w:vAlign w:val="top"/>
          </w:tcPr>
          <w:p>
            <w:pPr>
              <w:spacing w:after="40" w:before="0" w:line="259" w:lineRule="auto"/>
            </w:pPr>
            <w:r>
              <w:rPr>
                <w:rFonts w:ascii="Calibri" w:hAnsi="Calibri"/>
                <w:b w:val="0"/>
                <w:i w:val="0"/>
                <w:color w:val="212121"/>
                <w:sz w:val="19"/>
              </w:rPr>
              <w:t>Under-nourished heavy drinkers</w:t>
            </w:r>
          </w:p>
        </w:tc>
        <w:tc>
          <w:tcPr>
            <w:tcW w:type="dxa" w:w="4276"/>
            <w:vAlign w:val="top"/>
          </w:tcPr>
          <w:p>
            <w:pPr>
              <w:spacing w:after="60" w:line="259" w:lineRule="auto"/>
            </w:pPr>
            <w:r>
              <w:rPr>
                <w:rFonts w:ascii="Calibri" w:hAnsi="Calibri"/>
                <w:b w:val="0"/>
                <w:i w:val="0"/>
                <w:color w:val="212121"/>
                <w:sz w:val="19"/>
              </w:rPr>
              <w:t>Alcohol displaces food and impairs nutrient absorption; protein-calorie malnutrition and thiamine/folate deficiency reduce antioxidant defences and impair hepatic recovery.</w:t>
            </w:r>
          </w:p>
          <w:p>
            <w:pPr>
              <w:spacing w:after="40" w:before="60" w:line="259" w:lineRule="auto"/>
            </w:pPr>
            <w:r>
              <w:rPr>
                <w:rFonts w:ascii="Calibri" w:hAnsi="Calibri"/>
                <w:b w:val="0"/>
                <w:i w:val="0"/>
                <w:color w:val="212121"/>
                <w:sz w:val="19"/>
              </w:rPr>
              <w:t>Malnutrition and micronutrient deficiency are near-universal in advanced alcohol-related liver disease and worsen outcomes.</w:t>
            </w:r>
          </w:p>
          <w:p>
            <w:pPr>
              <w:spacing w:before="60" w:after="40"/>
            </w:pPr>
            <w:r>
              <w:rPr>
                <w:rFonts w:ascii="Calibri" w:hAnsi="Calibri"/>
                <w:b w:val="0"/>
                <w:i w:val="0"/>
                <w:color w:val="5A5A5A"/>
                <w:sz w:val="18"/>
              </w:rPr>
              <w:t>#malnutrition  #thiamine  #folate  #proteincalorie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 saturated-fat and high-fructose diets plus alcohol</w:t>
            </w:r>
          </w:p>
        </w:tc>
        <w:tc>
          <w:tcPr>
            <w:tcW w:type="dxa" w:w="4276"/>
            <w:vAlign w:val="top"/>
          </w:tcPr>
          <w:p>
            <w:pPr>
              <w:spacing w:after="60" w:line="259" w:lineRule="auto"/>
            </w:pPr>
            <w:r>
              <w:rPr>
                <w:rFonts w:ascii="Calibri" w:hAnsi="Calibri"/>
                <w:b w:val="0"/>
                <w:i w:val="0"/>
                <w:color w:val="212121"/>
                <w:sz w:val="19"/>
              </w:rPr>
              <w:t>Diets rich in saturated fat and fructose amplify alcohol-induced lipogenesis and endotoxin-driven inflammation, increasing steatosis severity.</w:t>
            </w:r>
          </w:p>
          <w:p>
            <w:pPr>
              <w:spacing w:after="40" w:before="60" w:line="259" w:lineRule="auto"/>
            </w:pPr>
            <w:r>
              <w:rPr>
                <w:rFonts w:ascii="Calibri" w:hAnsi="Calibri"/>
                <w:b w:val="0"/>
                <w:i w:val="0"/>
                <w:color w:val="212121"/>
                <w:sz w:val="19"/>
              </w:rPr>
              <w:t>High-fat, high-sugar dietary patterns act synergistically with alcohol to worsen hepatic fat accumulation.</w:t>
            </w:r>
          </w:p>
          <w:p>
            <w:pPr>
              <w:spacing w:before="60" w:after="40"/>
            </w:pPr>
            <w:r>
              <w:rPr>
                <w:rFonts w:ascii="Calibri" w:hAnsi="Calibri"/>
                <w:b w:val="0"/>
                <w:i w:val="0"/>
                <w:color w:val="5A5A5A"/>
                <w:sz w:val="18"/>
              </w:rPr>
              <w:t>#saturatedfat  #fructose  #dietsynergy  #lipogenesis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PNPLA3</w:t>
            </w:r>
          </w:p>
        </w:tc>
        <w:tc>
          <w:tcPr>
            <w:tcW w:type="dxa" w:w="2160"/>
            <w:vAlign w:val="top"/>
          </w:tcPr>
          <w:p>
            <w:pPr>
              <w:spacing w:after="40" w:before="0" w:line="259" w:lineRule="auto"/>
            </w:pPr>
            <w:r>
              <w:rPr>
                <w:rFonts w:ascii="Calibri" w:hAnsi="Calibri"/>
                <w:b w:val="0"/>
                <w:i w:val="0"/>
                <w:color w:val="212121"/>
                <w:sz w:val="19"/>
              </w:rPr>
              <w:t>Carriers of PNPLA3 rs738409 (G allele) and related variants</w:t>
            </w:r>
          </w:p>
        </w:tc>
        <w:tc>
          <w:tcPr>
            <w:tcW w:type="dxa" w:w="4276"/>
            <w:vAlign w:val="top"/>
          </w:tcPr>
          <w:p>
            <w:pPr>
              <w:spacing w:after="60" w:line="259" w:lineRule="auto"/>
            </w:pPr>
            <w:r>
              <w:rPr>
                <w:rFonts w:ascii="Calibri" w:hAnsi="Calibri"/>
                <w:b w:val="0"/>
                <w:i w:val="0"/>
                <w:color w:val="212121"/>
                <w:sz w:val="19"/>
              </w:rPr>
              <w:t>PNPLA3 (I148M), TM6SF2 and MBOAT7 variants impair hepatic triglyceride mobilisation and strongly increase susceptibility to alcohol-related steatosis, steatohepatitis and cirrhosis, so disease clusters in families.</w:t>
            </w:r>
          </w:p>
          <w:p>
            <w:pPr>
              <w:spacing w:after="40" w:before="60" w:line="259" w:lineRule="auto"/>
            </w:pPr>
            <w:r>
              <w:rPr>
                <w:rFonts w:ascii="Calibri" w:hAnsi="Calibri"/>
                <w:b w:val="0"/>
                <w:i w:val="0"/>
                <w:color w:val="212121"/>
                <w:sz w:val="19"/>
              </w:rPr>
              <w:t>The PNPLA3 rs738409 polymorphism is associated with increased risk and severity of alcohol-related liver disease in Indian and other populations.</w:t>
            </w:r>
          </w:p>
          <w:p>
            <w:pPr>
              <w:spacing w:after="40" w:line="252" w:lineRule="auto"/>
            </w:pPr>
            <w:hyperlink r:id="rId15">
              <w:r>
                <w:rPr>
                  <w:rFonts w:ascii="Calibri" w:hAnsi="Calibri" w:cs="Calibri"/>
                  <w:sz w:val="18"/>
                  <w:color w:val="1155CC"/>
                  <w:u w:val="single"/>
                </w:rPr>
                <w:t xml:space="preserve">sciencedirect.com - genetic susceptibility to ALD, Indian population</w:t>
              </w:r>
            </w:hyperlink>
          </w:p>
          <w:p>
            <w:pPr>
              <w:spacing w:before="60" w:after="40"/>
            </w:pPr>
            <w:r>
              <w:rPr>
                <w:rFonts w:ascii="Calibri" w:hAnsi="Calibri"/>
                <w:b w:val="0"/>
                <w:i w:val="0"/>
                <w:color w:val="5A5A5A"/>
                <w:sz w:val="18"/>
              </w:rPr>
              <w:t>#PNPLA3  #genetics  #TM6SF2  #familyhistory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Alcohol use disorder</w:t>
            </w:r>
          </w:p>
        </w:tc>
        <w:tc>
          <w:tcPr>
            <w:tcW w:type="dxa" w:w="2160"/>
            <w:vAlign w:val="top"/>
          </w:tcPr>
          <w:p>
            <w:pPr>
              <w:spacing w:after="40" w:before="0" w:line="259" w:lineRule="auto"/>
            </w:pPr>
            <w:r>
              <w:rPr>
                <w:rFonts w:ascii="Calibri" w:hAnsi="Calibri"/>
                <w:b w:val="0"/>
                <w:i w:val="0"/>
                <w:color w:val="212121"/>
                <w:sz w:val="19"/>
              </w:rPr>
              <w:t>Patients with alcohol use disorder (AUD)</w:t>
            </w:r>
          </w:p>
        </w:tc>
        <w:tc>
          <w:tcPr>
            <w:tcW w:type="dxa" w:w="4276"/>
            <w:vAlign w:val="top"/>
          </w:tcPr>
          <w:p>
            <w:pPr>
              <w:spacing w:after="60" w:line="259" w:lineRule="auto"/>
            </w:pPr>
            <w:r>
              <w:rPr>
                <w:rFonts w:ascii="Calibri" w:hAnsi="Calibri"/>
                <w:b w:val="0"/>
                <w:i w:val="0"/>
                <w:color w:val="212121"/>
                <w:sz w:val="19"/>
              </w:rPr>
              <w:t>AUD is the necessary driver of AFLD; the more severe and prolonged the dependence, the greater the steatosis burden and the risk of progression.</w:t>
            </w:r>
          </w:p>
          <w:p>
            <w:pPr>
              <w:spacing w:after="40" w:before="60" w:line="259" w:lineRule="auto"/>
            </w:pPr>
            <w:r>
              <w:rPr>
                <w:rFonts w:ascii="Calibri" w:hAnsi="Calibri"/>
                <w:b w:val="0"/>
                <w:i w:val="0"/>
                <w:color w:val="212121"/>
                <w:sz w:val="19"/>
              </w:rPr>
              <w:t>Nearly 20% of all liver-disease patients in India are current alcohol users, and alcohol is the commonest cause of cirrhosis (about 34.3%).</w:t>
            </w:r>
          </w:p>
          <w:p>
            <w:pPr>
              <w:spacing w:after="40" w:line="252" w:lineRule="auto"/>
            </w:pPr>
            <w:hyperlink r:id="rId10">
              <w:r>
                <w:rPr>
                  <w:rFonts w:ascii="Calibri" w:hAnsi="Calibri" w:cs="Calibri"/>
                  <w:sz w:val="18"/>
                  <w:color w:val="1155CC"/>
                  <w:u w:val="single"/>
                </w:rPr>
                <w:t xml:space="preserve">tgh.amegroups.org - alcohol as leading cause of cirrhosis in India</w:t>
              </w:r>
            </w:hyperlink>
          </w:p>
          <w:p>
            <w:pPr>
              <w:spacing w:before="60" w:after="40"/>
            </w:pPr>
            <w:r>
              <w:rPr>
                <w:rFonts w:ascii="Calibri" w:hAnsi="Calibri"/>
                <w:b w:val="0"/>
                <w:i w:val="0"/>
                <w:color w:val="5A5A5A"/>
                <w:sz w:val="18"/>
              </w:rPr>
              <w:t>#AUD  #dependence  #driver  #deaddiction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w:t>
            </w:r>
          </w:p>
        </w:tc>
        <w:tc>
          <w:tcPr>
            <w:tcW w:type="dxa" w:w="2160"/>
            <w:vAlign w:val="top"/>
          </w:tcPr>
          <w:p>
            <w:pPr>
              <w:spacing w:after="40" w:before="0" w:line="259" w:lineRule="auto"/>
            </w:pPr>
            <w:r>
              <w:rPr>
                <w:rFonts w:ascii="Calibri" w:hAnsi="Calibri"/>
                <w:b w:val="0"/>
                <w:i w:val="0"/>
                <w:color w:val="212121"/>
                <w:sz w:val="19"/>
              </w:rPr>
              <w:t>Obese heavy drinkers</w:t>
            </w:r>
          </w:p>
        </w:tc>
        <w:tc>
          <w:tcPr>
            <w:tcW w:type="dxa" w:w="4276"/>
            <w:vAlign w:val="top"/>
          </w:tcPr>
          <w:p>
            <w:pPr>
              <w:spacing w:after="60" w:line="259" w:lineRule="auto"/>
            </w:pPr>
            <w:r>
              <w:rPr>
                <w:rFonts w:ascii="Calibri" w:hAnsi="Calibri"/>
                <w:b w:val="0"/>
                <w:i w:val="0"/>
                <w:color w:val="212121"/>
                <w:sz w:val="19"/>
              </w:rPr>
              <w:t>Obesity multiplies alcohol hepatotoxicity; steatosis is heavier and progression to steatohepatitis and fibrosis faster than with either factor alone.</w:t>
            </w:r>
          </w:p>
          <w:p>
            <w:pPr>
              <w:spacing w:after="40" w:before="60" w:line="259" w:lineRule="auto"/>
            </w:pPr>
            <w:r>
              <w:rPr>
                <w:rFonts w:ascii="Calibri" w:hAnsi="Calibri"/>
                <w:b w:val="0"/>
                <w:i w:val="0"/>
                <w:color w:val="212121"/>
                <w:sz w:val="19"/>
              </w:rPr>
              <w:t>Obesity is a recognised cofactor that markedly worsens the course of alcohol-related liver disease.</w:t>
            </w:r>
          </w:p>
          <w:p>
            <w:pPr>
              <w:spacing w:after="40" w:line="252" w:lineRule="auto"/>
            </w:pPr>
            <w:hyperlink r:id="rId12">
              <w:r>
                <w:rPr>
                  <w:rFonts w:ascii="Calibri" w:hAnsi="Calibri" w:cs="Calibri"/>
                  <w:sz w:val="18"/>
                  <w:color w:val="1155CC"/>
                  <w:u w:val="single"/>
                </w:rPr>
                <w:t xml:space="preserve">merckmanuals.com - obesity and alcohol synergy</w:t>
              </w:r>
            </w:hyperlink>
          </w:p>
          <w:p>
            <w:pPr>
              <w:spacing w:before="60" w:after="40"/>
            </w:pPr>
            <w:r>
              <w:rPr>
                <w:rFonts w:ascii="Calibri" w:hAnsi="Calibri"/>
                <w:b w:val="0"/>
                <w:i w:val="0"/>
                <w:color w:val="5A5A5A"/>
                <w:sz w:val="18"/>
              </w:rPr>
              <w:t>#obesity  #MetALD  #synergy  #visceralfat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Type 2 diabetes / metabolic syndrome</w:t>
            </w:r>
          </w:p>
        </w:tc>
        <w:tc>
          <w:tcPr>
            <w:tcW w:type="dxa" w:w="2160"/>
            <w:vAlign w:val="top"/>
          </w:tcPr>
          <w:p>
            <w:pPr>
              <w:spacing w:after="40" w:before="0" w:line="259" w:lineRule="auto"/>
            </w:pPr>
            <w:r>
              <w:rPr>
                <w:rFonts w:ascii="Calibri" w:hAnsi="Calibri"/>
                <w:b w:val="0"/>
                <w:i w:val="0"/>
                <w:color w:val="212121"/>
                <w:sz w:val="19"/>
              </w:rPr>
              <w:t>Diabetic and metabolic-syndrome drinkers</w:t>
            </w:r>
          </w:p>
        </w:tc>
        <w:tc>
          <w:tcPr>
            <w:tcW w:type="dxa" w:w="4276"/>
            <w:vAlign w:val="top"/>
          </w:tcPr>
          <w:p>
            <w:pPr>
              <w:spacing w:after="60" w:line="259" w:lineRule="auto"/>
            </w:pPr>
            <w:r>
              <w:rPr>
                <w:rFonts w:ascii="Calibri" w:hAnsi="Calibri"/>
                <w:b w:val="0"/>
                <w:i w:val="0"/>
                <w:color w:val="212121"/>
                <w:sz w:val="19"/>
              </w:rPr>
              <w:t>Insulin resistance and hyperinsulinaemia add a lipogenic drive to alcohol; coexisting cardiometabolic dysfunction with moderate alcohol intake defines MetALD and carries higher fibrosis risk.</w:t>
            </w:r>
          </w:p>
          <w:p>
            <w:pPr>
              <w:spacing w:after="40" w:before="60" w:line="259" w:lineRule="auto"/>
            </w:pPr>
            <w:r>
              <w:rPr>
                <w:rFonts w:ascii="Calibri" w:hAnsi="Calibri"/>
                <w:b w:val="0"/>
                <w:i w:val="0"/>
                <w:color w:val="212121"/>
                <w:sz w:val="19"/>
              </w:rPr>
              <w:t>Under the 2023 nomenclature, metabolic dysfunction plus alcohol of 210-420 g/week (men) or 140-350 g/week (women) is classified as MetALD, with higher fibrosis risk than either alone.</w:t>
            </w:r>
          </w:p>
          <w:p>
            <w:pPr>
              <w:spacing w:after="40" w:line="252" w:lineRule="auto"/>
            </w:pPr>
            <w:hyperlink r:id="rId16">
              <w:r>
                <w:rPr>
                  <w:rFonts w:ascii="Calibri" w:hAnsi="Calibri" w:cs="Calibri"/>
                  <w:sz w:val="18"/>
                  <w:color w:val="1155CC"/>
                  <w:u w:val="single"/>
                </w:rPr>
                <w:t xml:space="preserve">pmc.ncbi.nlm.nih.gov - MetALD definition and thresholds</w:t>
              </w:r>
            </w:hyperlink>
          </w:p>
          <w:p>
            <w:pPr>
              <w:spacing w:before="60" w:after="40"/>
            </w:pPr>
            <w:r>
              <w:rPr>
                <w:rFonts w:ascii="Calibri" w:hAnsi="Calibri"/>
                <w:b w:val="0"/>
                <w:i w:val="0"/>
                <w:color w:val="5A5A5A"/>
                <w:sz w:val="18"/>
              </w:rPr>
              <w:t>#diabetes  #metabolicsyndrome  #MetALD  #insulinresistance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hepatitis C</w:t>
            </w:r>
          </w:p>
        </w:tc>
        <w:tc>
          <w:tcPr>
            <w:tcW w:type="dxa" w:w="2160"/>
            <w:vAlign w:val="top"/>
          </w:tcPr>
          <w:p>
            <w:pPr>
              <w:spacing w:after="40" w:before="0" w:line="259" w:lineRule="auto"/>
            </w:pPr>
            <w:r>
              <w:rPr>
                <w:rFonts w:ascii="Calibri" w:hAnsi="Calibri"/>
                <w:b w:val="0"/>
                <w:i w:val="0"/>
                <w:color w:val="212121"/>
                <w:sz w:val="19"/>
              </w:rPr>
              <w:t>HCV co-infected drinkers</w:t>
            </w:r>
          </w:p>
        </w:tc>
        <w:tc>
          <w:tcPr>
            <w:tcW w:type="dxa" w:w="4276"/>
            <w:vAlign w:val="top"/>
          </w:tcPr>
          <w:p>
            <w:pPr>
              <w:spacing w:after="60" w:line="259" w:lineRule="auto"/>
            </w:pPr>
            <w:r>
              <w:rPr>
                <w:rFonts w:ascii="Calibri" w:hAnsi="Calibri"/>
                <w:b w:val="0"/>
                <w:i w:val="0"/>
                <w:color w:val="212121"/>
                <w:sz w:val="19"/>
              </w:rPr>
              <w:t>Alcohol and hepatitis C act synergistically to accelerate steatosis, fibrosis and cirrhosis and sharply raise hepatocellular carcinoma risk.</w:t>
            </w:r>
          </w:p>
          <w:p>
            <w:pPr>
              <w:spacing w:after="40" w:before="60" w:line="259" w:lineRule="auto"/>
            </w:pPr>
            <w:r>
              <w:rPr>
                <w:rFonts w:ascii="Calibri" w:hAnsi="Calibri"/>
                <w:b w:val="0"/>
                <w:i w:val="0"/>
                <w:color w:val="212121"/>
                <w:sz w:val="19"/>
              </w:rPr>
              <w:t>Hepatitis C is present in about 16-24% of people with alcohol use disorder and markedly worsens liver-disease progression.</w:t>
            </w:r>
          </w:p>
          <w:p>
            <w:pPr>
              <w:spacing w:after="40" w:line="252" w:lineRule="auto"/>
            </w:pPr>
            <w:hyperlink r:id="rId12">
              <w:r>
                <w:rPr>
                  <w:rFonts w:ascii="Calibri" w:hAnsi="Calibri" w:cs="Calibri"/>
                  <w:sz w:val="18"/>
                  <w:color w:val="1155CC"/>
                  <w:u w:val="single"/>
                </w:rPr>
                <w:t xml:space="preserve">merckmanuals.com - hepatitis C co-infection in ALD</w:t>
              </w:r>
            </w:hyperlink>
          </w:p>
          <w:p>
            <w:pPr>
              <w:spacing w:before="60" w:after="40"/>
            </w:pPr>
            <w:r>
              <w:rPr>
                <w:rFonts w:ascii="Calibri" w:hAnsi="Calibri"/>
                <w:b w:val="0"/>
                <w:i w:val="0"/>
                <w:color w:val="5A5A5A"/>
                <w:sz w:val="18"/>
              </w:rPr>
              <w:t>#hepatitisC  #coinfection  #fibrosis  #HCCrisk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pancreatitis</w:t>
            </w:r>
          </w:p>
        </w:tc>
        <w:tc>
          <w:tcPr>
            <w:tcW w:type="dxa" w:w="2160"/>
            <w:vAlign w:val="top"/>
          </w:tcPr>
          <w:p>
            <w:pPr>
              <w:spacing w:after="40" w:before="0" w:line="259" w:lineRule="auto"/>
            </w:pPr>
            <w:r>
              <w:rPr>
                <w:rFonts w:ascii="Calibri" w:hAnsi="Calibri"/>
                <w:b w:val="0"/>
                <w:i w:val="0"/>
                <w:color w:val="212121"/>
                <w:sz w:val="19"/>
              </w:rPr>
              <w:t>Drinkers with alcoholic chronic pancreatitis</w:t>
            </w:r>
          </w:p>
        </w:tc>
        <w:tc>
          <w:tcPr>
            <w:tcW w:type="dxa" w:w="4276"/>
            <w:vAlign w:val="top"/>
          </w:tcPr>
          <w:p>
            <w:pPr>
              <w:spacing w:after="60" w:line="259" w:lineRule="auto"/>
            </w:pPr>
            <w:r>
              <w:rPr>
                <w:rFonts w:ascii="Calibri" w:hAnsi="Calibri"/>
                <w:b w:val="0"/>
                <w:i w:val="0"/>
                <w:color w:val="212121"/>
                <w:sz w:val="19"/>
              </w:rPr>
              <w:t>Chronic alcohol commonly injures the pancreas and liver together; the shared etiology means AFLD frequently coexists with alcoholic chronic pancreatitis.</w:t>
            </w:r>
          </w:p>
          <w:p>
            <w:pPr>
              <w:spacing w:after="40" w:before="60" w:line="259" w:lineRule="auto"/>
            </w:pPr>
            <w:r>
              <w:rPr>
                <w:rFonts w:ascii="Calibri" w:hAnsi="Calibri"/>
                <w:b w:val="0"/>
                <w:i w:val="0"/>
                <w:color w:val="212121"/>
                <w:sz w:val="19"/>
              </w:rPr>
              <w:t>Alcohol is a leading shared cause of both chronic pancreatitis and fatty liver, and the two conditions often coexist.</w:t>
            </w:r>
          </w:p>
          <w:p>
            <w:pPr>
              <w:spacing w:before="60" w:after="40"/>
            </w:pPr>
            <w:r>
              <w:rPr>
                <w:rFonts w:ascii="Calibri" w:hAnsi="Calibri"/>
                <w:b w:val="0"/>
                <w:i w:val="0"/>
                <w:color w:val="5A5A5A"/>
                <w:sz w:val="18"/>
              </w:rPr>
              <w:t>#pancreatitis  #sharedetiology  #alcohol  #dualorgan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and obesity add a metabolic (insulin-resistance) component of fat to alcohol-driven steatosis - the MetALD two-hit - while regular activity and 5-10% weight loss reduce hepatic fat; alcohol nonetheless remains the primary driver.</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Protein-calorie and thiamine/folate malnutrition impair hepatic recovery, and high saturated-fat/fructose diets amplify alcohol-induced lipogenesis and endotoxaemia; adequate balanced nutrition supports regression.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Direct evidence is limited; disrupted sleep and obstructive sleep apnoea in obese drinkers may modestly aggravate the metabolic component of steatosis.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adds oxidative stress and vascular injury that accelerate fibrosis progression in alcohol-related liver disease.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is the direct and necessary cause; hepatic steatosis is present in about 90% of heavy drinkers and risk is dose- and duration-dependent (about 30-50 g/day for over 5 years).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anxiety and chronic stress drive and sustain harmful drinking (alcohol use disorder); the relationship with liver disease and abstinence outcomes is bidirectional.</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matters for general care and safe management of alcohol withdrawal but has no direct effect on hepatic fat.</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coffee intake is associated with lower liver fibrosis and cirrhosis risk in alcohol-related and other chronic liver disease, suggesting a modest hepatoprotective effect.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Hygiene is chiefly relevant in advanced disease (reducing infection risk in cirrhosis); it has minimal role in simple steatosis.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Binge episodes, festival or occasion drinking, hepatotoxic drugs (notably paracetamol), fasting and intercurrent infection can precipitate acute-on-chronic hepatic injury.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Ethanol intake (g/day)</w:t>
            </w:r>
          </w:p>
        </w:tc>
        <w:tc>
          <w:tcPr>
            <w:tcW w:type="dxa" w:w="1655"/>
            <w:vAlign w:val="top"/>
          </w:tcPr>
          <w:p>
            <w:pPr>
              <w:spacing w:after="40" w:before="0" w:line="259" w:lineRule="auto"/>
            </w:pPr>
            <w:r>
              <w:rPr>
                <w:rFonts w:ascii="Calibri" w:hAnsi="Calibri"/>
                <w:b w:val="0"/>
                <w:i w:val="0"/>
                <w:color w:val="212121"/>
                <w:sz w:val="19"/>
              </w:rPr>
              <w:t>Adults, heavy drinkers</w:t>
            </w:r>
          </w:p>
        </w:tc>
        <w:tc>
          <w:tcPr>
            <w:tcW w:type="dxa" w:w="1512"/>
            <w:vAlign w:val="top"/>
          </w:tcPr>
          <w:p>
            <w:pPr>
              <w:spacing w:after="40" w:before="0" w:line="259" w:lineRule="auto"/>
            </w:pPr>
            <w:r>
              <w:rPr>
                <w:rFonts w:ascii="Calibri" w:hAnsi="Calibri"/>
                <w:b w:val="0"/>
                <w:i w:val="0"/>
                <w:color w:val="212121"/>
                <w:sz w:val="19"/>
              </w:rPr>
              <w:t>0 g/day (abstinence if liver disease present)</w:t>
            </w:r>
          </w:p>
        </w:tc>
        <w:tc>
          <w:tcPr>
            <w:tcW w:type="dxa" w:w="1512"/>
            <w:vAlign w:val="top"/>
          </w:tcPr>
          <w:p>
            <w:pPr>
              <w:spacing w:after="40" w:before="0" w:line="259" w:lineRule="auto"/>
            </w:pPr>
            <w:r>
              <w:rPr>
                <w:rFonts w:ascii="Calibri" w:hAnsi="Calibri"/>
                <w:b w:val="0"/>
                <w:i w:val="0"/>
                <w:color w:val="212121"/>
                <w:sz w:val="19"/>
              </w:rPr>
              <w:t>&gt; 40 g/day (women); &gt; 60 g/day (men)</w:t>
            </w:r>
          </w:p>
        </w:tc>
        <w:tc>
          <w:tcPr>
            <w:tcW w:type="dxa" w:w="1468"/>
            <w:vAlign w:val="top"/>
          </w:tcPr>
          <w:p>
            <w:pPr>
              <w:spacing w:after="60" w:line="259" w:lineRule="auto"/>
            </w:pPr>
            <w:r>
              <w:rPr>
                <w:rFonts w:ascii="Calibri" w:hAnsi="Calibri"/>
                <w:b w:val="0"/>
                <w:i w:val="0"/>
                <w:color w:val="212121"/>
                <w:sz w:val="19"/>
              </w:rPr>
              <w:t>Steatosis occurs in about 90% of those drinking &gt; 60 g/day</w:t>
            </w:r>
          </w:p>
          <w:p>
            <w:pPr>
              <w:spacing w:after="40" w:line="252" w:lineRule="auto"/>
            </w:pPr>
            <w:hyperlink r:id="rId14">
              <w:r>
                <w:rPr>
                  <w:rFonts w:ascii="Calibri" w:hAnsi="Calibri" w:cs="Calibri"/>
                  <w:sz w:val="18"/>
                  <w:color w:val="1155CC"/>
                  <w:u w:val="single"/>
                </w:rPr>
                <w:t xml:space="preserve">https://www.ncbi.nlm.nih.gov/books/NBK546632/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Ethanol intake (g/week)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Minimal to none</w:t>
            </w:r>
          </w:p>
        </w:tc>
        <w:tc>
          <w:tcPr>
            <w:tcW w:type="dxa" w:w="1512"/>
            <w:vAlign w:val="top"/>
          </w:tcPr>
          <w:p>
            <w:pPr>
              <w:spacing w:after="40" w:before="0" w:line="259" w:lineRule="auto"/>
            </w:pPr>
            <w:r>
              <w:rPr>
                <w:rFonts w:ascii="Calibri" w:hAnsi="Calibri"/>
                <w:b w:val="0"/>
                <w:i w:val="0"/>
                <w:color w:val="212121"/>
                <w:sz w:val="19"/>
              </w:rPr>
              <w:t>&gt; 350 g/week (women); &gt; 420 g/week (men)</w:t>
            </w:r>
          </w:p>
        </w:tc>
        <w:tc>
          <w:tcPr>
            <w:tcW w:type="dxa" w:w="1468"/>
            <w:vAlign w:val="top"/>
          </w:tcPr>
          <w:p>
            <w:pPr>
              <w:spacing w:after="60" w:line="259" w:lineRule="auto"/>
            </w:pPr>
            <w:r>
              <w:rPr>
                <w:rFonts w:ascii="Calibri" w:hAnsi="Calibri"/>
                <w:b w:val="0"/>
                <w:i w:val="0"/>
                <w:color w:val="212121"/>
                <w:sz w:val="19"/>
              </w:rPr>
              <w:t>2023 thresholds defining alcohol-associated liver disease (ALD)</w:t>
            </w:r>
          </w:p>
          <w:p>
            <w:pPr>
              <w:spacing w:after="40" w:line="252" w:lineRule="auto"/>
            </w:pPr>
            <w:hyperlink r:id="rId16">
              <w:r>
                <w:rPr>
                  <w:rFonts w:ascii="Calibri" w:hAnsi="Calibri" w:cs="Calibri"/>
                  <w:sz w:val="18"/>
                  <w:color w:val="1155CC"/>
                  <w:u w:val="single"/>
                </w:rPr>
                <w:t xml:space="preserve">https://pmc.ncbi.nlm.nih.gov/articles/PMC12742176/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AUDIT score</w:t>
            </w:r>
          </w:p>
        </w:tc>
        <w:tc>
          <w:tcPr>
            <w:tcW w:type="dxa" w:w="1655"/>
            <w:vAlign w:val="top"/>
          </w:tcPr>
          <w:p>
            <w:pPr>
              <w:spacing w:after="40" w:before="0" w:line="259" w:lineRule="auto"/>
            </w:pPr>
            <w:r>
              <w:rPr>
                <w:rFonts w:ascii="Calibri" w:hAnsi="Calibri"/>
                <w:b w:val="0"/>
                <w:i w:val="0"/>
                <w:color w:val="212121"/>
                <w:sz w:val="19"/>
              </w:rPr>
              <w:t>Adults, at-risk drinkers</w:t>
            </w:r>
          </w:p>
        </w:tc>
        <w:tc>
          <w:tcPr>
            <w:tcW w:type="dxa" w:w="1512"/>
            <w:vAlign w:val="top"/>
          </w:tcPr>
          <w:p>
            <w:pPr>
              <w:spacing w:after="40" w:before="0" w:line="259" w:lineRule="auto"/>
            </w:pPr>
            <w:r>
              <w:rPr>
                <w:rFonts w:ascii="Calibri" w:hAnsi="Calibri"/>
                <w:b w:val="0"/>
                <w:i w:val="0"/>
                <w:color w:val="212121"/>
                <w:sz w:val="19"/>
              </w:rPr>
              <w:t>&lt; 8</w:t>
            </w:r>
          </w:p>
        </w:tc>
        <w:tc>
          <w:tcPr>
            <w:tcW w:type="dxa" w:w="1512"/>
            <w:vAlign w:val="top"/>
          </w:tcPr>
          <w:p>
            <w:pPr>
              <w:spacing w:after="40" w:before="0" w:line="259" w:lineRule="auto"/>
            </w:pPr>
            <w:r>
              <w:rPr>
                <w:rFonts w:ascii="Calibri" w:hAnsi="Calibri"/>
                <w:b w:val="0"/>
                <w:i w:val="0"/>
                <w:color w:val="212121"/>
                <w:sz w:val="19"/>
              </w:rPr>
              <w:t>&gt;= 8 hazardous; &gt;= 20 likely dependence</w:t>
            </w:r>
          </w:p>
        </w:tc>
        <w:tc>
          <w:tcPr>
            <w:tcW w:type="dxa" w:w="1468"/>
            <w:vAlign w:val="top"/>
          </w:tcPr>
          <w:p>
            <w:pPr>
              <w:spacing w:after="40" w:before="0" w:line="259" w:lineRule="auto"/>
            </w:pPr>
            <w:r>
              <w:rPr>
                <w:rFonts w:ascii="Calibri" w:hAnsi="Calibri"/>
                <w:b w:val="0"/>
                <w:i w:val="0"/>
                <w:color w:val="212121"/>
                <w:sz w:val="19"/>
              </w:rPr>
              <w:t>Standardised screen to quantify hazardous drinking</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Drinking duration (years) at &gt;= 30-50 g/day</w:t>
            </w:r>
          </w:p>
        </w:tc>
        <w:tc>
          <w:tcPr>
            <w:tcW w:type="dxa" w:w="1655"/>
            <w:vAlign w:val="top"/>
          </w:tcPr>
          <w:p>
            <w:pPr>
              <w:spacing w:after="40" w:before="0" w:line="259" w:lineRule="auto"/>
            </w:pPr>
            <w:r>
              <w:rPr>
                <w:rFonts w:ascii="Calibri" w:hAnsi="Calibri"/>
                <w:b w:val="0"/>
                <w:i w:val="0"/>
                <w:color w:val="212121"/>
                <w:sz w:val="19"/>
              </w:rPr>
              <w:t>Chronic drinkers</w:t>
            </w:r>
          </w:p>
        </w:tc>
        <w:tc>
          <w:tcPr>
            <w:tcW w:type="dxa" w:w="1512"/>
            <w:vAlign w:val="top"/>
          </w:tcPr>
          <w:p>
            <w:pPr>
              <w:spacing w:after="40" w:before="0" w:line="259" w:lineRule="auto"/>
            </w:pPr>
            <w:r>
              <w:rPr>
                <w:rFonts w:ascii="Calibri" w:hAnsi="Calibri"/>
                <w:b w:val="0"/>
                <w:i w:val="0"/>
                <w:color w:val="212121"/>
                <w:sz w:val="19"/>
              </w:rPr>
              <w:t>No sustained heavy intake</w:t>
            </w:r>
          </w:p>
        </w:tc>
        <w:tc>
          <w:tcPr>
            <w:tcW w:type="dxa" w:w="1512"/>
            <w:vAlign w:val="top"/>
          </w:tcPr>
          <w:p>
            <w:pPr>
              <w:spacing w:after="40" w:before="0" w:line="259" w:lineRule="auto"/>
            </w:pPr>
            <w:r>
              <w:rPr>
                <w:rFonts w:ascii="Calibri" w:hAnsi="Calibri"/>
                <w:b w:val="0"/>
                <w:i w:val="0"/>
                <w:color w:val="212121"/>
                <w:sz w:val="19"/>
              </w:rPr>
              <w:t>&gt; 5 years</w:t>
            </w:r>
          </w:p>
        </w:tc>
        <w:tc>
          <w:tcPr>
            <w:tcW w:type="dxa" w:w="1468"/>
            <w:vAlign w:val="top"/>
          </w:tcPr>
          <w:p>
            <w:pPr>
              <w:spacing w:after="60" w:line="259" w:lineRule="auto"/>
            </w:pPr>
            <w:r>
              <w:rPr>
                <w:rFonts w:ascii="Calibri" w:hAnsi="Calibri"/>
                <w:b w:val="0"/>
                <w:i w:val="0"/>
                <w:color w:val="212121"/>
                <w:sz w:val="19"/>
              </w:rPr>
              <w:t>Duration-dose threshold for clinically significant disease</w:t>
            </w:r>
          </w:p>
          <w:p>
            <w:pPr>
              <w:spacing w:after="40" w:line="252" w:lineRule="auto"/>
            </w:pPr>
            <w:hyperlink r:id="rId10">
              <w:r>
                <w:rPr>
                  <w:rFonts w:ascii="Calibri" w:hAnsi="Calibri" w:cs="Calibri"/>
                  <w:sz w:val="18"/>
                  <w:color w:val="1155CC"/>
                  <w:u w:val="single"/>
                </w:rPr>
                <w:t xml:space="preserve">https://tgh.amegroups.org/article/view/5499/html_2</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 Asian-Indian)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40" w:before="0" w:line="259" w:lineRule="auto"/>
            </w:pPr>
            <w:r>
              <w:rPr>
                <w:rFonts w:ascii="Calibri" w:hAnsi="Calibri"/>
                <w:b w:val="0"/>
                <w:i w:val="0"/>
                <w:color w:val="212121"/>
                <w:sz w:val="19"/>
              </w:rPr>
              <w:t>Higher BMI adds metabolic steatosis and defines the MetALD overlap</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(cm)</w:t>
            </w:r>
          </w:p>
        </w:tc>
        <w:tc>
          <w:tcPr>
            <w:tcW w:type="dxa" w:w="1655"/>
            <w:vAlign w:val="top"/>
          </w:tcPr>
          <w:p>
            <w:pPr>
              <w:spacing w:after="40" w:before="0" w:line="259" w:lineRule="auto"/>
            </w:pPr>
            <w:r>
              <w:rPr>
                <w:rFonts w:ascii="Calibri" w:hAnsi="Calibri"/>
                <w:b w:val="0"/>
                <w:i w:val="0"/>
                <w:color w:val="212121"/>
                <w:sz w:val="19"/>
              </w:rPr>
              <w:t>Adults, overweight, obese</w:t>
            </w:r>
          </w:p>
        </w:tc>
        <w:tc>
          <w:tcPr>
            <w:tcW w:type="dxa" w:w="1512"/>
            <w:vAlign w:val="top"/>
          </w:tcPr>
          <w:p>
            <w:pPr>
              <w:spacing w:after="40" w:before="0" w:line="259" w:lineRule="auto"/>
            </w:pPr>
            <w:r>
              <w:rPr>
                <w:rFonts w:ascii="Calibri" w:hAnsi="Calibri"/>
                <w:b w:val="0"/>
                <w:i w:val="0"/>
                <w:color w:val="212121"/>
                <w:sz w:val="19"/>
              </w:rPr>
              <w:t>M &lt; 90; F &lt; 80 cm</w:t>
            </w:r>
          </w:p>
        </w:tc>
        <w:tc>
          <w:tcPr>
            <w:tcW w:type="dxa" w:w="1512"/>
            <w:vAlign w:val="top"/>
          </w:tcPr>
          <w:p>
            <w:pPr>
              <w:spacing w:after="40" w:before="0" w:line="259" w:lineRule="auto"/>
            </w:pPr>
            <w:r>
              <w:rPr>
                <w:rFonts w:ascii="Calibri" w:hAnsi="Calibri"/>
                <w:b w:val="0"/>
                <w:i w:val="0"/>
                <w:color w:val="212121"/>
                <w:sz w:val="19"/>
              </w:rPr>
              <w:t>M &gt;= 90; F &gt;= 80 cm</w:t>
            </w:r>
          </w:p>
        </w:tc>
        <w:tc>
          <w:tcPr>
            <w:tcW w:type="dxa" w:w="1468"/>
            <w:vAlign w:val="top"/>
          </w:tcPr>
          <w:p>
            <w:pPr>
              <w:spacing w:after="40" w:before="0" w:line="259" w:lineRule="auto"/>
            </w:pPr>
            <w:r>
              <w:rPr>
                <w:rFonts w:ascii="Calibri" w:hAnsi="Calibri"/>
                <w:b w:val="0"/>
                <w:i w:val="0"/>
                <w:color w:val="212121"/>
                <w:sz w:val="19"/>
              </w:rPr>
              <w:t>Central adiposity signals coexisting metabolic dysfunction</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Mean corpuscular volume (MCV, fL)</w:t>
            </w:r>
          </w:p>
        </w:tc>
        <w:tc>
          <w:tcPr>
            <w:tcW w:type="dxa" w:w="1655"/>
            <w:vAlign w:val="top"/>
          </w:tcPr>
          <w:p>
            <w:pPr>
              <w:spacing w:after="40" w:before="0" w:line="259" w:lineRule="auto"/>
            </w:pPr>
            <w:r>
              <w:rPr>
                <w:rFonts w:ascii="Calibri" w:hAnsi="Calibri"/>
                <w:b w:val="0"/>
                <w:i w:val="0"/>
                <w:color w:val="212121"/>
                <w:sz w:val="19"/>
              </w:rPr>
              <w:t>Adults, drinkers</w:t>
            </w:r>
          </w:p>
        </w:tc>
        <w:tc>
          <w:tcPr>
            <w:tcW w:type="dxa" w:w="1512"/>
            <w:vAlign w:val="top"/>
          </w:tcPr>
          <w:p>
            <w:pPr>
              <w:spacing w:after="40" w:before="0" w:line="259" w:lineRule="auto"/>
            </w:pPr>
            <w:r>
              <w:rPr>
                <w:rFonts w:ascii="Calibri" w:hAnsi="Calibri"/>
                <w:b w:val="0"/>
                <w:i w:val="0"/>
                <w:color w:val="212121"/>
                <w:sz w:val="19"/>
              </w:rPr>
              <w:t>80-100 fL</w:t>
            </w:r>
          </w:p>
        </w:tc>
        <w:tc>
          <w:tcPr>
            <w:tcW w:type="dxa" w:w="1512"/>
            <w:vAlign w:val="top"/>
          </w:tcPr>
          <w:p>
            <w:pPr>
              <w:spacing w:after="40" w:before="0" w:line="259" w:lineRule="auto"/>
            </w:pPr>
            <w:r>
              <w:rPr>
                <w:rFonts w:ascii="Calibri" w:hAnsi="Calibri"/>
                <w:b w:val="0"/>
                <w:i w:val="0"/>
                <w:color w:val="212121"/>
                <w:sz w:val="19"/>
              </w:rPr>
              <w:t>&gt; 100 fL (macrocytosis)</w:t>
            </w:r>
          </w:p>
        </w:tc>
        <w:tc>
          <w:tcPr>
            <w:tcW w:type="dxa" w:w="1468"/>
            <w:vAlign w:val="top"/>
          </w:tcPr>
          <w:p>
            <w:pPr>
              <w:spacing w:after="40" w:before="0" w:line="259" w:lineRule="auto"/>
            </w:pPr>
            <w:r>
              <w:rPr>
                <w:rFonts w:ascii="Calibri" w:hAnsi="Calibri"/>
                <w:b w:val="0"/>
                <w:i w:val="0"/>
                <w:color w:val="212121"/>
                <w:sz w:val="19"/>
              </w:rPr>
              <w:t>Macrocytosis is a supportive marker of chronic alcohol use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AST:ALT (De Ritis) ratio</w:t>
            </w:r>
          </w:p>
        </w:tc>
        <w:tc>
          <w:tcPr>
            <w:tcW w:type="dxa" w:w="1655"/>
            <w:vAlign w:val="top"/>
          </w:tcPr>
          <w:p>
            <w:pPr>
              <w:spacing w:after="40" w:before="0" w:line="259" w:lineRule="auto"/>
            </w:pPr>
            <w:r>
              <w:rPr>
                <w:rFonts w:ascii="Calibri" w:hAnsi="Calibri"/>
                <w:b w:val="0"/>
                <w:i w:val="0"/>
                <w:color w:val="212121"/>
                <w:sz w:val="19"/>
              </w:rPr>
              <w:t>Adults with suspected ALD</w:t>
            </w:r>
          </w:p>
        </w:tc>
        <w:tc>
          <w:tcPr>
            <w:tcW w:type="dxa" w:w="1512"/>
            <w:vAlign w:val="top"/>
          </w:tcPr>
          <w:p>
            <w:pPr>
              <w:spacing w:after="40" w:before="0" w:line="259" w:lineRule="auto"/>
            </w:pPr>
            <w:r>
              <w:rPr>
                <w:rFonts w:ascii="Calibri" w:hAnsi="Calibri"/>
                <w:b w:val="0"/>
                <w:i w:val="0"/>
                <w:color w:val="212121"/>
                <w:sz w:val="19"/>
              </w:rPr>
              <w:t>&lt; 1</w:t>
            </w:r>
          </w:p>
        </w:tc>
        <w:tc>
          <w:tcPr>
            <w:tcW w:type="dxa" w:w="1512"/>
            <w:vAlign w:val="top"/>
          </w:tcPr>
          <w:p>
            <w:pPr>
              <w:spacing w:after="40" w:before="0" w:line="259" w:lineRule="auto"/>
            </w:pPr>
            <w:r>
              <w:rPr>
                <w:rFonts w:ascii="Calibri" w:hAnsi="Calibri"/>
                <w:b w:val="0"/>
                <w:i w:val="0"/>
                <w:color w:val="212121"/>
                <w:sz w:val="19"/>
              </w:rPr>
              <w:t>&gt; 2</w:t>
            </w:r>
          </w:p>
        </w:tc>
        <w:tc>
          <w:tcPr>
            <w:tcW w:type="dxa" w:w="1468"/>
            <w:vAlign w:val="top"/>
          </w:tcPr>
          <w:p>
            <w:pPr>
              <w:spacing w:after="60" w:line="259" w:lineRule="auto"/>
            </w:pPr>
            <w:r>
              <w:rPr>
                <w:rFonts w:ascii="Calibri" w:hAnsi="Calibri"/>
                <w:b w:val="0"/>
                <w:i w:val="0"/>
                <w:color w:val="212121"/>
                <w:sz w:val="19"/>
              </w:rPr>
              <w:t>A ratio above 2 strongly suggests alcohol-related injury</w:t>
            </w:r>
          </w:p>
          <w:p>
            <w:pPr>
              <w:spacing w:after="40" w:line="252" w:lineRule="auto"/>
            </w:pPr>
            <w:hyperlink r:id="rId9">
              <w:r>
                <w:rPr>
                  <w:rFonts w:ascii="Calibri" w:hAnsi="Calibri" w:cs="Calibri"/>
                  <w:sz w:val="18"/>
                  <w:color w:val="1155CC"/>
                  <w:u w:val="single"/>
                </w:rPr>
                <w:t xml:space="preserve">https://www.jptcp.com/index.php/jptcp/article/download/12168/11360/23965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Gamma-glutamyl transferase (GGT)</w:t>
            </w:r>
          </w:p>
        </w:tc>
        <w:tc>
          <w:tcPr>
            <w:tcW w:type="dxa" w:w="1655"/>
            <w:vAlign w:val="top"/>
          </w:tcPr>
          <w:p>
            <w:pPr>
              <w:spacing w:after="40" w:before="0" w:line="259" w:lineRule="auto"/>
            </w:pPr>
            <w:r>
              <w:rPr>
                <w:rFonts w:ascii="Calibri" w:hAnsi="Calibri"/>
                <w:b w:val="0"/>
                <w:i w:val="0"/>
                <w:color w:val="212121"/>
                <w:sz w:val="19"/>
              </w:rPr>
              <w:t>Adults, drinkers</w:t>
            </w:r>
          </w:p>
        </w:tc>
        <w:tc>
          <w:tcPr>
            <w:tcW w:type="dxa" w:w="1512"/>
            <w:vAlign w:val="top"/>
          </w:tcPr>
          <w:p>
            <w:pPr>
              <w:spacing w:after="40" w:before="0" w:line="259" w:lineRule="auto"/>
            </w:pPr>
            <w:r>
              <w:rPr>
                <w:rFonts w:ascii="Calibri" w:hAnsi="Calibri"/>
                <w:b w:val="0"/>
                <w:i w:val="0"/>
                <w:color w:val="212121"/>
                <w:sz w:val="19"/>
              </w:rPr>
              <w:t>M &lt; 55; F &lt; 38 IU/L</w:t>
            </w:r>
          </w:p>
        </w:tc>
        <w:tc>
          <w:tcPr>
            <w:tcW w:type="dxa" w:w="1512"/>
            <w:vAlign w:val="top"/>
          </w:tcPr>
          <w:p>
            <w:pPr>
              <w:spacing w:after="40" w:before="0" w:line="259" w:lineRule="auto"/>
            </w:pPr>
            <w:r>
              <w:rPr>
                <w:rFonts w:ascii="Calibri" w:hAnsi="Calibri"/>
                <w:b w:val="0"/>
                <w:i w:val="0"/>
                <w:color w:val="212121"/>
                <w:sz w:val="19"/>
              </w:rPr>
              <w:t>Raised, typically exceeding alkaline phosphatase</w:t>
            </w:r>
          </w:p>
        </w:tc>
        <w:tc>
          <w:tcPr>
            <w:tcW w:type="dxa" w:w="1468"/>
            <w:vAlign w:val="top"/>
          </w:tcPr>
          <w:p>
            <w:pPr>
              <w:spacing w:after="60" w:line="259" w:lineRule="auto"/>
            </w:pPr>
            <w:r>
              <w:rPr>
                <w:rFonts w:ascii="Calibri" w:hAnsi="Calibri"/>
                <w:b w:val="0"/>
                <w:i w:val="0"/>
                <w:color w:val="212121"/>
                <w:sz w:val="19"/>
              </w:rPr>
              <w:t>Sensitive (non-specific) marker of alcohol use and hepatobiliary strain</w:t>
            </w:r>
          </w:p>
          <w:p>
            <w:pPr>
              <w:spacing w:after="40" w:line="252" w:lineRule="auto"/>
            </w:pPr>
            <w:hyperlink r:id="rId17">
              <w:r>
                <w:rPr>
                  <w:rFonts w:ascii="Calibri" w:hAnsi="Calibri" w:cs="Calibri"/>
                  <w:sz w:val="18"/>
                  <w:color w:val="1155CC"/>
                  <w:u w:val="single"/>
                </w:rPr>
                <w:t xml:space="preserve">https://tgh.amegroups.org/article/view/5544/html</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Liver stiffness (transient elastography, kPa)</w:t>
            </w:r>
          </w:p>
        </w:tc>
        <w:tc>
          <w:tcPr>
            <w:tcW w:type="dxa" w:w="1655"/>
            <w:vAlign w:val="top"/>
          </w:tcPr>
          <w:p>
            <w:pPr>
              <w:spacing w:after="40" w:before="0" w:line="259" w:lineRule="auto"/>
            </w:pPr>
            <w:r>
              <w:rPr>
                <w:rFonts w:ascii="Calibri" w:hAnsi="Calibri"/>
                <w:b w:val="0"/>
                <w:i w:val="0"/>
                <w:color w:val="212121"/>
                <w:sz w:val="19"/>
              </w:rPr>
              <w:t>Adults with steatosis</w:t>
            </w:r>
          </w:p>
        </w:tc>
        <w:tc>
          <w:tcPr>
            <w:tcW w:type="dxa" w:w="1512"/>
            <w:vAlign w:val="top"/>
          </w:tcPr>
          <w:p>
            <w:pPr>
              <w:spacing w:after="40" w:before="0" w:line="259" w:lineRule="auto"/>
            </w:pPr>
            <w:r>
              <w:rPr>
                <w:rFonts w:ascii="Calibri" w:hAnsi="Calibri"/>
                <w:b w:val="0"/>
                <w:i w:val="0"/>
                <w:color w:val="212121"/>
                <w:sz w:val="19"/>
              </w:rPr>
              <w:t>&lt; 6 kPa</w:t>
            </w:r>
          </w:p>
        </w:tc>
        <w:tc>
          <w:tcPr>
            <w:tcW w:type="dxa" w:w="1512"/>
            <w:vAlign w:val="top"/>
          </w:tcPr>
          <w:p>
            <w:pPr>
              <w:spacing w:after="40" w:before="0" w:line="259" w:lineRule="auto"/>
            </w:pPr>
            <w:r>
              <w:rPr>
                <w:rFonts w:ascii="Calibri" w:hAnsi="Calibri"/>
                <w:b w:val="0"/>
                <w:i w:val="0"/>
                <w:color w:val="212121"/>
                <w:sz w:val="19"/>
              </w:rPr>
              <w:t>&gt; 8 kPa suggests significant fibrosis</w:t>
            </w:r>
          </w:p>
        </w:tc>
        <w:tc>
          <w:tcPr>
            <w:tcW w:type="dxa" w:w="1468"/>
            <w:vAlign w:val="top"/>
          </w:tcPr>
          <w:p>
            <w:pPr>
              <w:spacing w:after="40" w:before="0" w:line="259" w:lineRule="auto"/>
            </w:pPr>
            <w:r>
              <w:rPr>
                <w:rFonts w:ascii="Calibri" w:hAnsi="Calibri"/>
                <w:b w:val="0"/>
                <w:i w:val="0"/>
                <w:color w:val="212121"/>
                <w:sz w:val="19"/>
              </w:rPr>
              <w:t>Non-invasive staging to detect progression beyond simple steatosis</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Coffee intake (cups/day)</w:t>
            </w:r>
          </w:p>
        </w:tc>
        <w:tc>
          <w:tcPr>
            <w:tcW w:type="dxa" w:w="1655"/>
            <w:vAlign w:val="top"/>
          </w:tcPr>
          <w:p>
            <w:pPr>
              <w:spacing w:after="40" w:before="0" w:line="259" w:lineRule="auto"/>
            </w:pPr>
            <w:r>
              <w:rPr>
                <w:rFonts w:ascii="Calibri" w:hAnsi="Calibri"/>
                <w:b w:val="0"/>
                <w:i w:val="0"/>
                <w:color w:val="212121"/>
                <w:sz w:val="19"/>
              </w:rPr>
              <w:t>Adults with chronic liver disease</w:t>
            </w:r>
          </w:p>
        </w:tc>
        <w:tc>
          <w:tcPr>
            <w:tcW w:type="dxa" w:w="1512"/>
            <w:vAlign w:val="top"/>
          </w:tcPr>
          <w:p>
            <w:pPr>
              <w:spacing w:after="40" w:before="0" w:line="259" w:lineRule="auto"/>
            </w:pPr>
            <w:r>
              <w:rPr>
                <w:rFonts w:ascii="Calibri" w:hAnsi="Calibri"/>
                <w:b w:val="0"/>
                <w:i w:val="0"/>
                <w:color w:val="212121"/>
                <w:sz w:val="19"/>
              </w:rPr>
              <w:t>&gt;= 2-3 cups/day</w:t>
            </w:r>
          </w:p>
        </w:tc>
        <w:tc>
          <w:tcPr>
            <w:tcW w:type="dxa" w:w="1512"/>
            <w:vAlign w:val="top"/>
          </w:tcPr>
          <w:p>
            <w:pPr>
              <w:spacing w:after="40" w:before="0" w:line="259" w:lineRule="auto"/>
            </w:pPr>
            <w:r>
              <w:rPr>
                <w:rFonts w:ascii="Calibri" w:hAnsi="Calibri"/>
                <w:b w:val="0"/>
                <w:i w:val="0"/>
                <w:color w:val="212121"/>
                <w:sz w:val="19"/>
              </w:rPr>
              <w:t>None (0 cups)</w:t>
            </w:r>
          </w:p>
        </w:tc>
        <w:tc>
          <w:tcPr>
            <w:tcW w:type="dxa" w:w="1468"/>
            <w:vAlign w:val="top"/>
          </w:tcPr>
          <w:p>
            <w:pPr>
              <w:spacing w:after="40" w:before="0" w:line="259" w:lineRule="auto"/>
            </w:pPr>
            <w:r>
              <w:rPr>
                <w:rFonts w:ascii="Calibri" w:hAnsi="Calibri"/>
                <w:b w:val="0"/>
                <w:i w:val="0"/>
                <w:color w:val="212121"/>
                <w:sz w:val="19"/>
              </w:rPr>
              <w:t>Regular coffee is associated with lower fibrosis/cirrhosis risk</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AST and AST:ALT ratio</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AST 5-40 IU/L; AST:ALT &lt; 1</w:t>
            </w:r>
          </w:p>
        </w:tc>
        <w:tc>
          <w:tcPr>
            <w:tcW w:type="dxa" w:w="950"/>
            <w:vAlign w:val="top"/>
          </w:tcPr>
          <w:p>
            <w:pPr>
              <w:spacing w:after="40" w:before="0" w:line="259" w:lineRule="auto"/>
            </w:pPr>
            <w:r>
              <w:rPr>
                <w:rFonts w:ascii="Calibri" w:hAnsi="Calibri"/>
                <w:b w:val="0"/>
                <w:i w:val="0"/>
                <w:color w:val="212121"/>
                <w:sz w:val="16"/>
              </w:rPr>
              <w:t>AST:ALT &gt; 2 (AST usually &lt; 300 IU/L)</w:t>
            </w:r>
          </w:p>
        </w:tc>
        <w:tc>
          <w:tcPr>
            <w:tcW w:type="dxa" w:w="1036"/>
            <w:vAlign w:val="top"/>
          </w:tcPr>
          <w:p>
            <w:pPr>
              <w:spacing w:after="40" w:before="0" w:line="259" w:lineRule="auto"/>
            </w:pPr>
            <w:r>
              <w:rPr>
                <w:rFonts w:ascii="Calibri" w:hAnsi="Calibri"/>
                <w:b w:val="0"/>
                <w:i w:val="0"/>
                <w:color w:val="212121"/>
                <w:sz w:val="16"/>
              </w:rPr>
              <w:t>A De Ritis ratio above 2 with modest transaminase rise is characteristic of alcohol-related injury</w:t>
            </w:r>
          </w:p>
        </w:tc>
        <w:tc>
          <w:tcPr>
            <w:tcW w:type="dxa" w:w="1036"/>
            <w:vAlign w:val="top"/>
          </w:tcPr>
          <w:p>
            <w:pPr>
              <w:spacing w:after="40" w:before="0" w:line="259" w:lineRule="auto"/>
            </w:pPr>
            <w:r>
              <w:rPr>
                <w:rFonts w:ascii="Calibri" w:hAnsi="Calibri"/>
                <w:b w:val="0"/>
                <w:i w:val="0"/>
                <w:color w:val="212121"/>
                <w:sz w:val="16"/>
              </w:rPr>
              <w:t>Heavy drinkers, suspected AFLD/ALD</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Transaminases rarely exceed 5x the upper limit of normal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ALT</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&lt; 40 IU/L</w:t>
            </w:r>
          </w:p>
        </w:tc>
        <w:tc>
          <w:tcPr>
            <w:tcW w:type="dxa" w:w="950"/>
            <w:vAlign w:val="top"/>
          </w:tcPr>
          <w:p>
            <w:pPr>
              <w:spacing w:after="40" w:before="0" w:line="259" w:lineRule="auto"/>
            </w:pPr>
            <w:r>
              <w:rPr>
                <w:rFonts w:ascii="Calibri" w:hAnsi="Calibri"/>
                <w:b w:val="0"/>
                <w:i w:val="0"/>
                <w:color w:val="212121"/>
                <w:sz w:val="16"/>
              </w:rPr>
              <w:t>Mildly raised (usually &lt; 5x ULN)</w:t>
            </w:r>
          </w:p>
        </w:tc>
        <w:tc>
          <w:tcPr>
            <w:tcW w:type="dxa" w:w="1036"/>
            <w:vAlign w:val="top"/>
          </w:tcPr>
          <w:p>
            <w:pPr>
              <w:spacing w:after="40" w:before="0" w:line="259" w:lineRule="auto"/>
            </w:pPr>
            <w:r>
              <w:rPr>
                <w:rFonts w:ascii="Calibri" w:hAnsi="Calibri"/>
                <w:b w:val="0"/>
                <w:i w:val="0"/>
                <w:color w:val="212121"/>
                <w:sz w:val="16"/>
              </w:rPr>
              <w:t>Often only mildly elevated and typically lower than AST in AFLD</w:t>
            </w:r>
          </w:p>
        </w:tc>
        <w:tc>
          <w:tcPr>
            <w:tcW w:type="dxa" w:w="1036"/>
            <w:vAlign w:val="top"/>
          </w:tcPr>
          <w:p>
            <w:pPr>
              <w:spacing w:after="40" w:before="0" w:line="259" w:lineRule="auto"/>
            </w:pPr>
            <w:r>
              <w:rPr>
                <w:rFonts w:ascii="Calibri" w:hAnsi="Calibri"/>
                <w:b w:val="0"/>
                <w:i w:val="0"/>
                <w:color w:val="212121"/>
                <w:sz w:val="16"/>
              </w:rPr>
              <w:t>Drinkers, incidental steatosis</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Normal ALT does not exclude steatosis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Gamma-glutamyl transferase (GGT)</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M &lt; 55; F &lt; 38 IU/L</w:t>
            </w:r>
          </w:p>
        </w:tc>
        <w:tc>
          <w:tcPr>
            <w:tcW w:type="dxa" w:w="950"/>
            <w:vAlign w:val="top"/>
          </w:tcPr>
          <w:p>
            <w:pPr>
              <w:spacing w:after="40" w:before="0" w:line="259" w:lineRule="auto"/>
            </w:pPr>
            <w:r>
              <w:rPr>
                <w:rFonts w:ascii="Calibri" w:hAnsi="Calibri"/>
                <w:b w:val="0"/>
                <w:i w:val="0"/>
                <w:color w:val="212121"/>
                <w:sz w:val="16"/>
              </w:rPr>
              <w:t>Raised, typically greater than alkaline phosphatase</w:t>
            </w:r>
          </w:p>
        </w:tc>
        <w:tc>
          <w:tcPr>
            <w:tcW w:type="dxa" w:w="1036"/>
            <w:vAlign w:val="top"/>
          </w:tcPr>
          <w:p>
            <w:pPr>
              <w:spacing w:after="40" w:before="0" w:line="259" w:lineRule="auto"/>
            </w:pPr>
            <w:r>
              <w:rPr>
                <w:rFonts w:ascii="Calibri" w:hAnsi="Calibri"/>
                <w:b w:val="0"/>
                <w:i w:val="0"/>
                <w:color w:val="212121"/>
                <w:sz w:val="16"/>
              </w:rPr>
              <w:t>Sensitive marker of alcohol use and hepatobiliary strain</w:t>
            </w:r>
          </w:p>
        </w:tc>
        <w:tc>
          <w:tcPr>
            <w:tcW w:type="dxa" w:w="1036"/>
            <w:vAlign w:val="top"/>
          </w:tcPr>
          <w:p>
            <w:pPr>
              <w:spacing w:after="40" w:before="0" w:line="259" w:lineRule="auto"/>
            </w:pPr>
            <w:r>
              <w:rPr>
                <w:rFonts w:ascii="Calibri" w:hAnsi="Calibri"/>
                <w:b w:val="0"/>
                <w:i w:val="0"/>
                <w:color w:val="212121"/>
                <w:sz w:val="16"/>
              </w:rPr>
              <w:t>Chronic drinkers, monitoring abstinence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Non-specific; also rises with enzyme-inducing drugs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Total and direct bilirubin</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Total &lt; 1.2 mg/dL</w:t>
            </w:r>
          </w:p>
        </w:tc>
        <w:tc>
          <w:tcPr>
            <w:tcW w:type="dxa" w:w="950"/>
            <w:vAlign w:val="top"/>
          </w:tcPr>
          <w:p>
            <w:pPr>
              <w:spacing w:after="40" w:before="0" w:line="259" w:lineRule="auto"/>
            </w:pPr>
            <w:r>
              <w:rPr>
                <w:rFonts w:ascii="Calibri" w:hAnsi="Calibri"/>
                <w:b w:val="0"/>
                <w:i w:val="0"/>
                <w:color w:val="212121"/>
                <w:sz w:val="16"/>
              </w:rPr>
              <w:t>Raised</w:t>
            </w:r>
          </w:p>
        </w:tc>
        <w:tc>
          <w:tcPr>
            <w:tcW w:type="dxa" w:w="1036"/>
            <w:vAlign w:val="top"/>
          </w:tcPr>
          <w:p>
            <w:pPr>
              <w:spacing w:after="40" w:before="0" w:line="259" w:lineRule="auto"/>
            </w:pPr>
            <w:r>
              <w:rPr>
                <w:rFonts w:ascii="Calibri" w:hAnsi="Calibri"/>
                <w:b w:val="0"/>
                <w:i w:val="0"/>
                <w:color w:val="212121"/>
                <w:sz w:val="16"/>
              </w:rPr>
              <w:t>Elevation suggests progression to steatohepatitis or more advanced disease</w:t>
            </w:r>
          </w:p>
        </w:tc>
        <w:tc>
          <w:tcPr>
            <w:tcW w:type="dxa" w:w="1036"/>
            <w:vAlign w:val="top"/>
          </w:tcPr>
          <w:p>
            <w:pPr>
              <w:spacing w:after="40" w:before="0" w:line="259" w:lineRule="auto"/>
            </w:pPr>
            <w:r>
              <w:rPr>
                <w:rFonts w:ascii="Calibri" w:hAnsi="Calibri"/>
                <w:b w:val="0"/>
                <w:i w:val="0"/>
                <w:color w:val="212121"/>
                <w:sz w:val="16"/>
              </w:rPr>
              <w:t>Symptomatic drinkers, jaundiced patients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Feeds into Maddrey and MELD scoring in severe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MCV and haemoglobin</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MCV 80-100 fL; normal Hb</w:t>
            </w:r>
          </w:p>
        </w:tc>
        <w:tc>
          <w:tcPr>
            <w:tcW w:type="dxa" w:w="950"/>
            <w:vAlign w:val="top"/>
          </w:tcPr>
          <w:p>
            <w:pPr>
              <w:spacing w:after="40" w:before="0" w:line="259" w:lineRule="auto"/>
            </w:pPr>
            <w:r>
              <w:rPr>
                <w:rFonts w:ascii="Calibri" w:hAnsi="Calibri"/>
                <w:b w:val="0"/>
                <w:i w:val="0"/>
                <w:color w:val="212121"/>
                <w:sz w:val="16"/>
              </w:rPr>
              <w:t>Macrocytosis (MCV &gt; 100); anaemia</w:t>
            </w:r>
          </w:p>
        </w:tc>
        <w:tc>
          <w:tcPr>
            <w:tcW w:type="dxa" w:w="1036"/>
            <w:vAlign w:val="top"/>
          </w:tcPr>
          <w:p>
            <w:pPr>
              <w:spacing w:after="40" w:before="0" w:line="259" w:lineRule="auto"/>
            </w:pPr>
            <w:r>
              <w:rPr>
                <w:rFonts w:ascii="Calibri" w:hAnsi="Calibri"/>
                <w:b w:val="0"/>
                <w:i w:val="0"/>
                <w:color w:val="212121"/>
                <w:sz w:val="16"/>
              </w:rPr>
              <w:t>Macrocytosis supports chronic alcohol use; anaemia reflects nutrition/bleeding</w:t>
            </w:r>
          </w:p>
        </w:tc>
        <w:tc>
          <w:tcPr>
            <w:tcW w:type="dxa" w:w="1036"/>
            <w:vAlign w:val="top"/>
          </w:tcPr>
          <w:p>
            <w:pPr>
              <w:spacing w:after="40" w:before="0" w:line="259" w:lineRule="auto"/>
            </w:pPr>
            <w:r>
              <w:rPr>
                <w:rFonts w:ascii="Calibri" w:hAnsi="Calibri"/>
                <w:b w:val="0"/>
                <w:i w:val="0"/>
                <w:color w:val="212121"/>
                <w:sz w:val="16"/>
              </w:rPr>
              <w:t>Chronic drinkers, malnourished</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Anaemia was present in about 86% of a northwestern-India ALD cohort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Hepatic steatosis and echotexture</w:t>
            </w:r>
          </w:p>
        </w:tc>
        <w:tc>
          <w:tcPr>
            <w:tcW w:type="dxa" w:w="892"/>
            <w:vAlign w:val="top"/>
          </w:tcPr>
          <w:p>
            <w:pPr>
              <w:spacing w:after="40" w:before="0" w:line="259" w:lineRule="auto"/>
            </w:pPr>
            <w:r>
              <w:rPr>
                <w:rFonts w:ascii="Calibri" w:hAnsi="Calibri"/>
                <w:b w:val="0"/>
                <w:i w:val="0"/>
                <w:color w:val="212121"/>
                <w:sz w:val="16"/>
              </w:rPr>
              <w:t>Abdominal Ultrasound</w:t>
            </w:r>
          </w:p>
        </w:tc>
        <w:tc>
          <w:tcPr>
            <w:tcW w:type="dxa" w:w="950"/>
            <w:vAlign w:val="top"/>
          </w:tcPr>
          <w:p>
            <w:pPr>
              <w:spacing w:after="40" w:before="0" w:line="259" w:lineRule="auto"/>
            </w:pPr>
            <w:r>
              <w:rPr>
                <w:rFonts w:ascii="Calibri" w:hAnsi="Calibri"/>
                <w:b w:val="0"/>
                <w:i w:val="0"/>
                <w:color w:val="212121"/>
                <w:sz w:val="16"/>
              </w:rPr>
              <w:t>Normal echogenicity, no steatosis</w:t>
            </w:r>
          </w:p>
        </w:tc>
        <w:tc>
          <w:tcPr>
            <w:tcW w:type="dxa" w:w="950"/>
            <w:vAlign w:val="top"/>
          </w:tcPr>
          <w:p>
            <w:pPr>
              <w:spacing w:after="40" w:before="0" w:line="259" w:lineRule="auto"/>
            </w:pPr>
            <w:r>
              <w:rPr>
                <w:rFonts w:ascii="Calibri" w:hAnsi="Calibri"/>
                <w:b w:val="0"/>
                <w:i w:val="0"/>
                <w:color w:val="212121"/>
                <w:sz w:val="16"/>
              </w:rPr>
              <w:t>Bright/hyperechoic liver, hepatorenal contrast, beam attenuation</w:t>
            </w:r>
          </w:p>
        </w:tc>
        <w:tc>
          <w:tcPr>
            <w:tcW w:type="dxa" w:w="1036"/>
            <w:vAlign w:val="top"/>
          </w:tcPr>
          <w:p>
            <w:pPr>
              <w:spacing w:after="40" w:before="0" w:line="259" w:lineRule="auto"/>
            </w:pPr>
            <w:r>
              <w:rPr>
                <w:rFonts w:ascii="Calibri" w:hAnsi="Calibri"/>
                <w:b w:val="0"/>
                <w:i w:val="0"/>
                <w:color w:val="212121"/>
                <w:sz w:val="16"/>
              </w:rPr>
              <w:t>First-line, low-cost detection and grading of fatty liver</w:t>
            </w:r>
          </w:p>
        </w:tc>
        <w:tc>
          <w:tcPr>
            <w:tcW w:type="dxa" w:w="1036"/>
            <w:vAlign w:val="top"/>
          </w:tcPr>
          <w:p>
            <w:pPr>
              <w:spacing w:after="40" w:before="0" w:line="259" w:lineRule="auto"/>
            </w:pPr>
            <w:r>
              <w:rPr>
                <w:rFonts w:ascii="Calibri" w:hAnsi="Calibri"/>
                <w:b w:val="0"/>
                <w:i w:val="0"/>
                <w:color w:val="212121"/>
                <w:sz w:val="16"/>
              </w:rPr>
              <w:t>All at-risk drinkers</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Cannot reliably distinguish steatosis from early fibrosis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Elastography</w:t>
            </w:r>
          </w:p>
        </w:tc>
        <w:tc>
          <w:tcPr>
            <w:tcW w:type="dxa" w:w="1036"/>
            <w:vAlign w:val="top"/>
          </w:tcPr>
          <w:p>
            <w:pPr>
              <w:spacing w:after="40" w:before="0" w:line="259" w:lineRule="auto"/>
            </w:pPr>
            <w:r>
              <w:rPr>
                <w:rFonts w:ascii="Calibri" w:hAnsi="Calibri"/>
                <w:b w:val="0"/>
                <w:i w:val="0"/>
                <w:color w:val="212121"/>
                <w:sz w:val="16"/>
              </w:rPr>
              <w:t>CAP and liver stiffness</w:t>
            </w:r>
          </w:p>
        </w:tc>
        <w:tc>
          <w:tcPr>
            <w:tcW w:type="dxa" w:w="892"/>
            <w:vAlign w:val="top"/>
          </w:tcPr>
          <w:p>
            <w:pPr>
              <w:spacing w:after="40" w:before="0" w:line="259" w:lineRule="auto"/>
            </w:pPr>
            <w:r>
              <w:rPr>
                <w:rFonts w:ascii="Calibri" w:hAnsi="Calibri"/>
                <w:b w:val="0"/>
                <w:i w:val="0"/>
                <w:color w:val="212121"/>
                <w:sz w:val="16"/>
              </w:rPr>
              <w:t>Transient Elastography (FibroScan)</w:t>
            </w:r>
          </w:p>
        </w:tc>
        <w:tc>
          <w:tcPr>
            <w:tcW w:type="dxa" w:w="950"/>
            <w:vAlign w:val="top"/>
          </w:tcPr>
          <w:p>
            <w:pPr>
              <w:spacing w:after="40" w:before="0" w:line="259" w:lineRule="auto"/>
            </w:pPr>
            <w:r>
              <w:rPr>
                <w:rFonts w:ascii="Calibri" w:hAnsi="Calibri"/>
                <w:b w:val="0"/>
                <w:i w:val="0"/>
                <w:color w:val="212121"/>
                <w:sz w:val="16"/>
              </w:rPr>
              <w:t>CAP &lt; 248 dB/m; stiffness &lt; 6 kPa</w:t>
            </w:r>
          </w:p>
        </w:tc>
        <w:tc>
          <w:tcPr>
            <w:tcW w:type="dxa" w:w="950"/>
            <w:vAlign w:val="top"/>
          </w:tcPr>
          <w:p>
            <w:pPr>
              <w:spacing w:after="40" w:before="0" w:line="259" w:lineRule="auto"/>
            </w:pPr>
            <w:r>
              <w:rPr>
                <w:rFonts w:ascii="Calibri" w:hAnsi="Calibri"/>
                <w:b w:val="0"/>
                <w:i w:val="0"/>
                <w:color w:val="212121"/>
                <w:sz w:val="16"/>
              </w:rPr>
              <w:t>CAP &gt;= 248 (steatosis); stiffness &gt; 8 kPa (fibrosis)</w:t>
            </w:r>
          </w:p>
        </w:tc>
        <w:tc>
          <w:tcPr>
            <w:tcW w:type="dxa" w:w="1036"/>
            <w:vAlign w:val="top"/>
          </w:tcPr>
          <w:p>
            <w:pPr>
              <w:spacing w:after="40" w:before="0" w:line="259" w:lineRule="auto"/>
            </w:pPr>
            <w:r>
              <w:rPr>
                <w:rFonts w:ascii="Calibri" w:hAnsi="Calibri"/>
                <w:b w:val="0"/>
                <w:i w:val="0"/>
                <w:color w:val="212121"/>
                <w:sz w:val="16"/>
              </w:rPr>
              <w:t>Quantifies fat (CAP) and detects fibrosis without biopsy</w:t>
            </w:r>
          </w:p>
        </w:tc>
        <w:tc>
          <w:tcPr>
            <w:tcW w:type="dxa" w:w="1036"/>
            <w:vAlign w:val="top"/>
          </w:tcPr>
          <w:p>
            <w:pPr>
              <w:spacing w:after="40" w:before="0" w:line="259" w:lineRule="auto"/>
            </w:pPr>
            <w:r>
              <w:rPr>
                <w:rFonts w:ascii="Calibri" w:hAnsi="Calibri"/>
                <w:b w:val="0"/>
                <w:i w:val="0"/>
                <w:color w:val="212121"/>
                <w:sz w:val="16"/>
              </w:rPr>
              <w:t>Steatosis patients, progression monitoring</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Preferred non-invasive tool for staging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Calculated score</w:t>
            </w:r>
          </w:p>
        </w:tc>
        <w:tc>
          <w:tcPr>
            <w:tcW w:type="dxa" w:w="1036"/>
            <w:vAlign w:val="top"/>
          </w:tcPr>
          <w:p>
            <w:pPr>
              <w:spacing w:after="40" w:before="0" w:line="259" w:lineRule="auto"/>
            </w:pPr>
            <w:r>
              <w:rPr>
                <w:rFonts w:ascii="Calibri" w:hAnsi="Calibri"/>
                <w:b w:val="0"/>
                <w:i w:val="0"/>
                <w:color w:val="212121"/>
                <w:sz w:val="16"/>
              </w:rPr>
              <w:t>FIB-4 / APRI</w:t>
            </w:r>
          </w:p>
        </w:tc>
        <w:tc>
          <w:tcPr>
            <w:tcW w:type="dxa" w:w="892"/>
            <w:vAlign w:val="top"/>
          </w:tcPr>
          <w:p>
            <w:pPr>
              <w:spacing w:after="40" w:before="0" w:line="259" w:lineRule="auto"/>
            </w:pPr>
            <w:r>
              <w:rPr>
                <w:rFonts w:ascii="Calibri" w:hAnsi="Calibri"/>
                <w:b w:val="0"/>
                <w:i w:val="0"/>
                <w:color w:val="212121"/>
                <w:sz w:val="16"/>
              </w:rPr>
              <w:t>Non-invasive fibrosis score</w:t>
            </w:r>
          </w:p>
        </w:tc>
        <w:tc>
          <w:tcPr>
            <w:tcW w:type="dxa" w:w="950"/>
            <w:vAlign w:val="top"/>
          </w:tcPr>
          <w:p>
            <w:pPr>
              <w:spacing w:after="40" w:before="0" w:line="259" w:lineRule="auto"/>
            </w:pPr>
            <w:r>
              <w:rPr>
                <w:rFonts w:ascii="Calibri" w:hAnsi="Calibri"/>
                <w:b w:val="0"/>
                <w:i w:val="0"/>
                <w:color w:val="212121"/>
                <w:sz w:val="16"/>
              </w:rPr>
              <w:t>FIB-4 &lt; 1.3</w:t>
            </w:r>
          </w:p>
        </w:tc>
        <w:tc>
          <w:tcPr>
            <w:tcW w:type="dxa" w:w="950"/>
            <w:vAlign w:val="top"/>
          </w:tcPr>
          <w:p>
            <w:pPr>
              <w:spacing w:after="40" w:before="0" w:line="259" w:lineRule="auto"/>
            </w:pPr>
            <w:r>
              <w:rPr>
                <w:rFonts w:ascii="Calibri" w:hAnsi="Calibri"/>
                <w:b w:val="0"/>
                <w:i w:val="0"/>
                <w:color w:val="212121"/>
                <w:sz w:val="16"/>
              </w:rPr>
              <w:t>FIB-4 &gt; 2.67 suggests advanced fibrosis</w:t>
            </w:r>
          </w:p>
        </w:tc>
        <w:tc>
          <w:tcPr>
            <w:tcW w:type="dxa" w:w="1036"/>
            <w:vAlign w:val="top"/>
          </w:tcPr>
          <w:p>
            <w:pPr>
              <w:spacing w:after="40" w:before="0" w:line="259" w:lineRule="auto"/>
            </w:pPr>
            <w:r>
              <w:rPr>
                <w:rFonts w:ascii="Calibri" w:hAnsi="Calibri"/>
                <w:b w:val="0"/>
                <w:i w:val="0"/>
                <w:color w:val="212121"/>
                <w:sz w:val="16"/>
              </w:rPr>
              <w:t>Risk-stratifies who needs elastography or specialist referral</w:t>
            </w:r>
          </w:p>
        </w:tc>
        <w:tc>
          <w:tcPr>
            <w:tcW w:type="dxa" w:w="1036"/>
            <w:vAlign w:val="top"/>
          </w:tcPr>
          <w:p>
            <w:pPr>
              <w:spacing w:after="40" w:before="0" w:line="259" w:lineRule="auto"/>
            </w:pPr>
            <w:r>
              <w:rPr>
                <w:rFonts w:ascii="Calibri" w:hAnsi="Calibri"/>
                <w:b w:val="0"/>
                <w:i w:val="0"/>
                <w:color w:val="212121"/>
                <w:sz w:val="16"/>
              </w:rPr>
              <w:t>Drinkers with abnormal LFTs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Uses age, AST, ALT and platelet count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Alcohol quantification</w:t>
            </w:r>
          </w:p>
        </w:tc>
        <w:tc>
          <w:tcPr>
            <w:tcW w:type="dxa" w:w="979"/>
            <w:vAlign w:val="top"/>
          </w:tcPr>
          <w:p>
            <w:pPr>
              <w:spacing w:after="40" w:before="0" w:line="259" w:lineRule="auto"/>
            </w:pPr>
            <w:r>
              <w:rPr>
                <w:rFonts w:ascii="Calibri" w:hAnsi="Calibri"/>
                <w:b w:val="0"/>
                <w:i w:val="0"/>
                <w:color w:val="212121"/>
                <w:sz w:val="16"/>
              </w:rPr>
              <w:t>Grams/day, duration, AUDIT/CAGE</w:t>
            </w:r>
          </w:p>
        </w:tc>
        <w:tc>
          <w:tcPr>
            <w:tcW w:type="dxa" w:w="950"/>
            <w:vAlign w:val="top"/>
          </w:tcPr>
          <w:p>
            <w:pPr>
              <w:spacing w:after="40" w:before="0" w:line="259" w:lineRule="auto"/>
            </w:pPr>
            <w:r>
              <w:rPr>
                <w:rFonts w:ascii="Calibri" w:hAnsi="Calibri"/>
                <w:b w:val="0"/>
                <w:i w:val="0"/>
                <w:color w:val="212121"/>
                <w:sz w:val="16"/>
              </w:rPr>
              <w:t>No hazardous drinking (AUDIT &lt; 8)</w:t>
            </w:r>
          </w:p>
        </w:tc>
        <w:tc>
          <w:tcPr>
            <w:tcW w:type="dxa" w:w="950"/>
            <w:vAlign w:val="top"/>
          </w:tcPr>
          <w:p>
            <w:pPr>
              <w:spacing w:after="40" w:before="0" w:line="259" w:lineRule="auto"/>
            </w:pPr>
            <w:r>
              <w:rPr>
                <w:rFonts w:ascii="Calibri" w:hAnsi="Calibri"/>
                <w:b w:val="0"/>
                <w:i w:val="0"/>
                <w:color w:val="212121"/>
                <w:sz w:val="16"/>
              </w:rPr>
              <w:t>&gt;= 60 g/day (men) or 20-40 g/day (women); AUDIT &gt;= 8</w:t>
            </w:r>
          </w:p>
        </w:tc>
        <w:tc>
          <w:tcPr>
            <w:tcW w:type="dxa" w:w="1036"/>
            <w:vAlign w:val="top"/>
          </w:tcPr>
          <w:p>
            <w:pPr>
              <w:spacing w:after="40" w:before="0" w:line="259" w:lineRule="auto"/>
            </w:pPr>
            <w:r>
              <w:rPr>
                <w:rFonts w:ascii="Calibri" w:hAnsi="Calibri"/>
                <w:b w:val="0"/>
                <w:i w:val="0"/>
                <w:color w:val="212121"/>
                <w:sz w:val="16"/>
              </w:rPr>
              <w:t>Establishes the causal exposure and its severity</w:t>
            </w:r>
          </w:p>
        </w:tc>
        <w:tc>
          <w:tcPr>
            <w:tcW w:type="dxa" w:w="1036"/>
            <w:vAlign w:val="top"/>
          </w:tcPr>
          <w:p>
            <w:pPr>
              <w:spacing w:after="40" w:before="0" w:line="259" w:lineRule="auto"/>
            </w:pPr>
            <w:r>
              <w:rPr>
                <w:rFonts w:ascii="Calibri" w:hAnsi="Calibri"/>
                <w:b w:val="0"/>
                <w:i w:val="0"/>
                <w:color w:val="212121"/>
                <w:sz w:val="16"/>
              </w:rPr>
              <w:t>All patients with suspected AFLD</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Collateral history often needed as intake is under-reported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RUQ discomfort, fatigue, anorexia (often none)</w:t>
            </w:r>
          </w:p>
        </w:tc>
        <w:tc>
          <w:tcPr>
            <w:tcW w:type="dxa" w:w="950"/>
            <w:vAlign w:val="top"/>
          </w:tcPr>
          <w:p>
            <w:pPr>
              <w:spacing w:after="40" w:before="0" w:line="259" w:lineRule="auto"/>
            </w:pPr>
            <w:r>
              <w:rPr>
                <w:rFonts w:ascii="Calibri" w:hAnsi="Calibri"/>
                <w:b w:val="0"/>
                <w:i w:val="0"/>
                <w:color w:val="212121"/>
                <w:sz w:val="16"/>
              </w:rPr>
              <w:t>Asymptomatic</w:t>
            </w:r>
          </w:p>
        </w:tc>
        <w:tc>
          <w:tcPr>
            <w:tcW w:type="dxa" w:w="950"/>
            <w:vAlign w:val="top"/>
          </w:tcPr>
          <w:p>
            <w:pPr>
              <w:spacing w:after="40" w:before="0" w:line="259" w:lineRule="auto"/>
            </w:pPr>
            <w:r>
              <w:rPr>
                <w:rFonts w:ascii="Calibri" w:hAnsi="Calibri"/>
                <w:b w:val="0"/>
                <w:i w:val="0"/>
                <w:color w:val="212121"/>
                <w:sz w:val="16"/>
              </w:rPr>
              <w:t>RUQ heaviness, malaise, nausea</w:t>
            </w:r>
          </w:p>
        </w:tc>
        <w:tc>
          <w:tcPr>
            <w:tcW w:type="dxa" w:w="1036"/>
            <w:vAlign w:val="top"/>
          </w:tcPr>
          <w:p>
            <w:pPr>
              <w:spacing w:after="40" w:before="0" w:line="259" w:lineRule="auto"/>
            </w:pPr>
            <w:r>
              <w:rPr>
                <w:rFonts w:ascii="Calibri" w:hAnsi="Calibri"/>
                <w:b w:val="0"/>
                <w:i w:val="0"/>
                <w:color w:val="212121"/>
                <w:sz w:val="16"/>
              </w:rPr>
              <w:t>AFLD is frequently silent; symptoms are mild and non-specific</w:t>
            </w:r>
          </w:p>
        </w:tc>
        <w:tc>
          <w:tcPr>
            <w:tcW w:type="dxa" w:w="1036"/>
            <w:vAlign w:val="top"/>
          </w:tcPr>
          <w:p>
            <w:pPr>
              <w:spacing w:after="40" w:before="0" w:line="259" w:lineRule="auto"/>
            </w:pPr>
            <w:r>
              <w:rPr>
                <w:rFonts w:ascii="Calibri" w:hAnsi="Calibri"/>
                <w:b w:val="0"/>
                <w:i w:val="0"/>
                <w:color w:val="212121"/>
                <w:sz w:val="16"/>
              </w:rPr>
              <w:t>Incidentally detected drinkers</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Most cases are found on imaging or LFTs done for other reasons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Exclusion and comorbidity history</w:t>
            </w:r>
          </w:p>
        </w:tc>
        <w:tc>
          <w:tcPr>
            <w:tcW w:type="dxa" w:w="979"/>
            <w:vAlign w:val="top"/>
          </w:tcPr>
          <w:p>
            <w:pPr>
              <w:spacing w:after="40" w:before="0" w:line="259" w:lineRule="auto"/>
            </w:pPr>
            <w:r>
              <w:rPr>
                <w:rFonts w:ascii="Calibri" w:hAnsi="Calibri"/>
                <w:b w:val="0"/>
                <w:i w:val="0"/>
                <w:color w:val="212121"/>
                <w:sz w:val="16"/>
              </w:rPr>
              <w:t>Viral hepatitis, metabolic risk, hepatotoxic drugs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HCV/HBV, obesity/diabetes (MetALD), paracetamol/other drugs</w:t>
            </w:r>
          </w:p>
        </w:tc>
        <w:tc>
          <w:tcPr>
            <w:tcW w:type="dxa" w:w="1036"/>
            <w:vAlign w:val="top"/>
          </w:tcPr>
          <w:p>
            <w:pPr>
              <w:spacing w:after="40" w:before="0" w:line="259" w:lineRule="auto"/>
            </w:pPr>
            <w:r>
              <w:rPr>
                <w:rFonts w:ascii="Calibri" w:hAnsi="Calibri"/>
                <w:b w:val="0"/>
                <w:i w:val="0"/>
                <w:color w:val="212121"/>
                <w:sz w:val="16"/>
              </w:rPr>
              <w:t>Excludes/identifies co-causes and reclassifies MetALD</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Coexisting metabolic dysfunction changes classification and management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Hepatomegaly</w:t>
            </w:r>
          </w:p>
        </w:tc>
        <w:tc>
          <w:tcPr>
            <w:tcW w:type="dxa" w:w="979"/>
            <w:vAlign w:val="top"/>
          </w:tcPr>
          <w:p>
            <w:pPr>
              <w:spacing w:after="40" w:before="0" w:line="259" w:lineRule="auto"/>
            </w:pPr>
            <w:r>
              <w:rPr>
                <w:rFonts w:ascii="Calibri" w:hAnsi="Calibri"/>
                <w:b w:val="0"/>
                <w:i w:val="0"/>
                <w:color w:val="212121"/>
                <w:sz w:val="16"/>
              </w:rPr>
              <w:t>Liver size and tenderness</w:t>
            </w:r>
          </w:p>
        </w:tc>
        <w:tc>
          <w:tcPr>
            <w:tcW w:type="dxa" w:w="950"/>
            <w:vAlign w:val="top"/>
          </w:tcPr>
          <w:p>
            <w:pPr>
              <w:spacing w:after="40" w:before="0" w:line="259" w:lineRule="auto"/>
            </w:pPr>
            <w:r>
              <w:rPr>
                <w:rFonts w:ascii="Calibri" w:hAnsi="Calibri"/>
                <w:b w:val="0"/>
                <w:i w:val="0"/>
                <w:color w:val="212121"/>
                <w:sz w:val="16"/>
              </w:rPr>
              <w:t>Non-palpable, non-tender</w:t>
            </w:r>
          </w:p>
        </w:tc>
        <w:tc>
          <w:tcPr>
            <w:tcW w:type="dxa" w:w="950"/>
            <w:vAlign w:val="top"/>
          </w:tcPr>
          <w:p>
            <w:pPr>
              <w:spacing w:after="40" w:before="0" w:line="259" w:lineRule="auto"/>
            </w:pPr>
            <w:r>
              <w:rPr>
                <w:rFonts w:ascii="Calibri" w:hAnsi="Calibri"/>
                <w:b w:val="0"/>
                <w:i w:val="0"/>
                <w:color w:val="212121"/>
                <w:sz w:val="16"/>
              </w:rPr>
              <w:t>Smooth, mildly tender enlarged liver</w:t>
            </w:r>
          </w:p>
        </w:tc>
        <w:tc>
          <w:tcPr>
            <w:tcW w:type="dxa" w:w="1036"/>
            <w:vAlign w:val="top"/>
          </w:tcPr>
          <w:p>
            <w:pPr>
              <w:spacing w:after="40" w:before="0" w:line="259" w:lineRule="auto"/>
            </w:pPr>
            <w:r>
              <w:rPr>
                <w:rFonts w:ascii="Calibri" w:hAnsi="Calibri"/>
                <w:b w:val="0"/>
                <w:i w:val="0"/>
                <w:color w:val="212121"/>
                <w:sz w:val="16"/>
              </w:rPr>
              <w:t>Fatty infiltration commonly enlarges the liver</w:t>
            </w:r>
          </w:p>
        </w:tc>
        <w:tc>
          <w:tcPr>
            <w:tcW w:type="dxa" w:w="1036"/>
            <w:vAlign w:val="top"/>
          </w:tcPr>
          <w:p>
            <w:pPr>
              <w:spacing w:after="40" w:before="0" w:line="259" w:lineRule="auto"/>
            </w:pPr>
            <w:r>
              <w:rPr>
                <w:rFonts w:ascii="Calibri" w:hAnsi="Calibri"/>
                <w:b w:val="0"/>
                <w:i w:val="0"/>
                <w:color w:val="212121"/>
                <w:sz w:val="16"/>
              </w:rPr>
              <w:t>Heavy drinkers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tender, firm or nodular liver suggests steatohepatitis or cirrhosis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Stigmata of chronic liver disease</w:t>
            </w:r>
          </w:p>
        </w:tc>
        <w:tc>
          <w:tcPr>
            <w:tcW w:type="dxa" w:w="979"/>
            <w:vAlign w:val="top"/>
          </w:tcPr>
          <w:p>
            <w:pPr>
              <w:spacing w:after="40" w:before="0" w:line="259" w:lineRule="auto"/>
            </w:pPr>
            <w:r>
              <w:rPr>
                <w:rFonts w:ascii="Calibri" w:hAnsi="Calibri"/>
                <w:b w:val="0"/>
                <w:i w:val="0"/>
                <w:color w:val="212121"/>
                <w:sz w:val="16"/>
              </w:rPr>
              <w:t>Spider naevi, palmar erythema, gynecomastia, Dupuytren</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Signal progression beyond simple steatosis to advanced ALD</w:t>
            </w:r>
          </w:p>
        </w:tc>
        <w:tc>
          <w:tcPr>
            <w:tcW w:type="dxa" w:w="1036"/>
            <w:vAlign w:val="top"/>
          </w:tcPr>
          <w:p>
            <w:pPr>
              <w:spacing w:after="40" w:before="0" w:line="259" w:lineRule="auto"/>
            </w:pPr>
            <w:r>
              <w:rPr>
                <w:rFonts w:ascii="Calibri" w:hAnsi="Calibri"/>
                <w:b w:val="0"/>
                <w:i w:val="0"/>
                <w:color w:val="212121"/>
                <w:sz w:val="16"/>
              </w:rPr>
              <w:t>Long-standing heavy drinkers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Dupuytren contracture and parotidomegaly are classic chronic-alcohol signs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Anthropometry</w:t>
            </w:r>
          </w:p>
        </w:tc>
        <w:tc>
          <w:tcPr>
            <w:tcW w:type="dxa" w:w="979"/>
            <w:vAlign w:val="top"/>
          </w:tcPr>
          <w:p>
            <w:pPr>
              <w:spacing w:after="40" w:before="0" w:line="259" w:lineRule="auto"/>
            </w:pPr>
            <w:r>
              <w:rPr>
                <w:rFonts w:ascii="Calibri" w:hAnsi="Calibri"/>
                <w:b w:val="0"/>
                <w:i w:val="0"/>
                <w:color w:val="212121"/>
                <w:sz w:val="16"/>
              </w:rPr>
              <w:t>BMI, waist circumference</w:t>
            </w:r>
          </w:p>
        </w:tc>
        <w:tc>
          <w:tcPr>
            <w:tcW w:type="dxa" w:w="950"/>
            <w:vAlign w:val="top"/>
          </w:tcPr>
          <w:p>
            <w:pPr>
              <w:spacing w:after="40" w:before="0" w:line="259" w:lineRule="auto"/>
            </w:pPr>
            <w:r>
              <w:rPr>
                <w:rFonts w:ascii="Calibri" w:hAnsi="Calibri"/>
                <w:b w:val="0"/>
                <w:i w:val="0"/>
                <w:color w:val="212121"/>
                <w:sz w:val="16"/>
              </w:rPr>
              <w:t>BMI &lt; 23; waist M &lt; 90, F &lt; 80 cm</w:t>
            </w:r>
          </w:p>
        </w:tc>
        <w:tc>
          <w:tcPr>
            <w:tcW w:type="dxa" w:w="950"/>
            <w:vAlign w:val="top"/>
          </w:tcPr>
          <w:p>
            <w:pPr>
              <w:spacing w:after="40" w:before="0" w:line="259" w:lineRule="auto"/>
            </w:pPr>
            <w:r>
              <w:rPr>
                <w:rFonts w:ascii="Calibri" w:hAnsi="Calibri"/>
                <w:b w:val="0"/>
                <w:i w:val="0"/>
                <w:color w:val="212121"/>
                <w:sz w:val="16"/>
              </w:rPr>
              <w:t>BMI &gt;= 23; waist M &gt;= 90, F &gt;= 80 cm</w:t>
            </w:r>
          </w:p>
        </w:tc>
        <w:tc>
          <w:tcPr>
            <w:tcW w:type="dxa" w:w="1036"/>
            <w:vAlign w:val="top"/>
          </w:tcPr>
          <w:p>
            <w:pPr>
              <w:spacing w:after="40" w:before="0" w:line="259" w:lineRule="auto"/>
            </w:pPr>
            <w:r>
              <w:rPr>
                <w:rFonts w:ascii="Calibri" w:hAnsi="Calibri"/>
                <w:b w:val="0"/>
                <w:i w:val="0"/>
                <w:color w:val="212121"/>
                <w:sz w:val="16"/>
              </w:rPr>
              <w:t>Identifies the metabolic overlap (MetALD)</w:t>
            </w:r>
          </w:p>
        </w:tc>
        <w:tc>
          <w:tcPr>
            <w:tcW w:type="dxa" w:w="1036"/>
            <w:vAlign w:val="top"/>
          </w:tcPr>
          <w:p>
            <w:pPr>
              <w:spacing w:after="40" w:before="0" w:line="259" w:lineRule="auto"/>
            </w:pPr>
            <w:r>
              <w:rPr>
                <w:rFonts w:ascii="Calibri" w:hAnsi="Calibri"/>
                <w:b w:val="0"/>
                <w:i w:val="0"/>
                <w:color w:val="212121"/>
                <w:sz w:val="16"/>
              </w:rPr>
              <w:t>Overweight/obese drinkers</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Use Asian-Indian cut-offs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Signs of dependence, withdrawal and nutrition</w:t>
            </w:r>
          </w:p>
        </w:tc>
        <w:tc>
          <w:tcPr>
            <w:tcW w:type="dxa" w:w="979"/>
            <w:vAlign w:val="top"/>
          </w:tcPr>
          <w:p>
            <w:pPr>
              <w:spacing w:after="40" w:before="0" w:line="259" w:lineRule="auto"/>
            </w:pPr>
            <w:r>
              <w:rPr>
                <w:rFonts w:ascii="Calibri" w:hAnsi="Calibri"/>
                <w:b w:val="0"/>
                <w:i w:val="0"/>
                <w:color w:val="212121"/>
                <w:sz w:val="16"/>
              </w:rPr>
              <w:t>Tremor, neuropathy, temporal wasting</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Reflect alcohol dependence and malnutrition needing parallel treatment</w:t>
            </w:r>
          </w:p>
        </w:tc>
        <w:tc>
          <w:tcPr>
            <w:tcW w:type="dxa" w:w="1036"/>
            <w:vAlign w:val="top"/>
          </w:tcPr>
          <w:p>
            <w:pPr>
              <w:spacing w:after="40" w:before="0" w:line="259" w:lineRule="auto"/>
            </w:pPr>
            <w:r>
              <w:rPr>
                <w:rFonts w:ascii="Calibri" w:hAnsi="Calibri"/>
                <w:b w:val="0"/>
                <w:i w:val="0"/>
                <w:color w:val="212121"/>
                <w:sz w:val="16"/>
              </w:rPr>
              <w:t>AUD patients</w:t>
            </w:r>
          </w:p>
        </w:tc>
        <w:tc>
          <w:tcPr>
            <w:tcW w:type="dxa" w:w="720"/>
            <w:vAlign w:val="top"/>
          </w:tcPr>
          <w:p>
            <w:pPr>
              <w:spacing w:after="40" w:before="0" w:line="259" w:lineRule="auto"/>
            </w:pPr>
            <w:r>
              <w:rPr>
                <w:rFonts w:ascii="Calibri" w:hAnsi="Calibri"/>
                <w:b w:val="0"/>
                <w:i w:val="0"/>
                <w:color w:val="212121"/>
                <w:sz w:val="16"/>
              </w:rPr>
              <w:t>Alcohol; 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Give thiamine before glucose to prevent Wernicke encephalopathy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Asymptomatic (silent)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Most people with simple alcoholic fatty liver have no symptoms; it is found incidentally on ultrasound or liver-function tests.</w:t>
            </w:r>
          </w:p>
        </w:tc>
      </w:tr>
      <w:tr>
        <w:trPr>
          <w:cantSplit/>
        </w:trPr>
        <w:tc>
          <w:tcPr>
            <w:tcW w:type="dxa" w:w="2304"/>
            <w:vAlign w:val="top"/>
          </w:tcPr>
          <w:p>
            <w:pPr>
              <w:spacing w:after="40" w:before="0" w:line="259" w:lineRule="auto"/>
            </w:pPr>
            <w:r>
              <w:rPr>
                <w:rFonts w:ascii="Calibri" w:hAnsi="Calibri"/>
                <w:b/>
                <w:i w:val="0"/>
                <w:color w:val="212121"/>
                <w:sz w:val="19"/>
              </w:rPr>
              <w:t>Right upper quadrant discomfort / heaviness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Dull ache from stretching of the liver capsule by fatty enlargement.</w:t>
            </w:r>
          </w:p>
        </w:tc>
      </w:tr>
      <w:tr>
        <w:trPr>
          <w:cantSplit/>
        </w:trPr>
        <w:tc>
          <w:tcPr>
            <w:tcW w:type="dxa" w:w="2304"/>
            <w:vAlign w:val="top"/>
          </w:tcPr>
          <w:p>
            <w:pPr>
              <w:spacing w:after="40" w:before="0" w:line="259" w:lineRule="auto"/>
            </w:pPr>
            <w:r>
              <w:rPr>
                <w:rFonts w:ascii="Calibri" w:hAnsi="Calibri"/>
                <w:b/>
                <w:i w:val="0"/>
                <w:color w:val="212121"/>
                <w:sz w:val="19"/>
              </w:rPr>
              <w:t>Fatigue / general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Non-specific tiredness often attributed to other causes.</w:t>
            </w:r>
          </w:p>
        </w:tc>
      </w:tr>
      <w:tr>
        <w:trPr>
          <w:cantSplit/>
        </w:trPr>
        <w:tc>
          <w:tcPr>
            <w:tcW w:type="dxa" w:w="2304"/>
            <w:vAlign w:val="top"/>
          </w:tcPr>
          <w:p>
            <w:pPr>
              <w:spacing w:after="40" w:before="0" w:line="259" w:lineRule="auto"/>
            </w:pPr>
            <w:r>
              <w:rPr>
                <w:rFonts w:ascii="Calibri" w:hAnsi="Calibri"/>
                <w:b/>
                <w:i w:val="0"/>
                <w:color w:val="212121"/>
                <w:sz w:val="19"/>
              </w:rPr>
              <w:t>Loss of appetite (anorexia)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Common with heavier drinking and contributes to malnutrition.</w:t>
            </w:r>
          </w:p>
        </w:tc>
      </w:tr>
      <w:tr>
        <w:trPr>
          <w:cantSplit/>
        </w:trPr>
        <w:tc>
          <w:tcPr>
            <w:tcW w:type="dxa" w:w="2304"/>
            <w:vAlign w:val="top"/>
          </w:tcPr>
          <w:p>
            <w:pPr>
              <w:spacing w:after="40" w:before="0" w:line="259" w:lineRule="auto"/>
            </w:pPr>
            <w:r>
              <w:rPr>
                <w:rFonts w:ascii="Calibri" w:hAnsi="Calibri"/>
                <w:b/>
                <w:i w:val="0"/>
                <w:color w:val="212121"/>
                <w:sz w:val="19"/>
              </w:rPr>
              <w:t>Nausea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accompany right upper quadrant discomfort, especially after drinking.</w:t>
            </w:r>
          </w:p>
        </w:tc>
      </w:tr>
      <w:tr>
        <w:trPr>
          <w:cantSplit/>
        </w:trPr>
        <w:tc>
          <w:tcPr>
            <w:tcW w:type="dxa" w:w="2304"/>
            <w:vAlign w:val="top"/>
          </w:tcPr>
          <w:p>
            <w:pPr>
              <w:spacing w:after="40" w:before="0" w:line="259" w:lineRule="auto"/>
            </w:pPr>
            <w:r>
              <w:rPr>
                <w:rFonts w:ascii="Calibri" w:hAnsi="Calibri"/>
                <w:b/>
                <w:i w:val="0"/>
                <w:color w:val="212121"/>
                <w:sz w:val="19"/>
              </w:rPr>
              <w:t>Abdominal bloating / fullness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Related to hepatomegaly and gastrointestinal effects of alcohol.</w:t>
            </w:r>
          </w:p>
        </w:tc>
      </w:tr>
      <w:tr>
        <w:trPr>
          <w:cantSplit/>
        </w:trPr>
        <w:tc>
          <w:tcPr>
            <w:tcW w:type="dxa" w:w="2304"/>
            <w:vAlign w:val="top"/>
          </w:tcPr>
          <w:p>
            <w:pPr>
              <w:spacing w:after="40" w:before="0" w:line="259" w:lineRule="auto"/>
            </w:pPr>
            <w:r>
              <w:rPr>
                <w:rFonts w:ascii="Calibri" w:hAnsi="Calibri"/>
                <w:b/>
                <w:i w:val="0"/>
                <w:color w:val="212121"/>
                <w:sz w:val="19"/>
              </w:rPr>
              <w:t>Unintentional weight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poor nutrition and calories displaced by alcohol.</w:t>
            </w:r>
          </w:p>
        </w:tc>
      </w:tr>
      <w:tr>
        <w:trPr>
          <w:cantSplit/>
        </w:trPr>
        <w:tc>
          <w:tcPr>
            <w:tcW w:type="dxa" w:w="2304"/>
            <w:vAlign w:val="top"/>
          </w:tcPr>
          <w:p>
            <w:pPr>
              <w:spacing w:after="40" w:before="0" w:line="259" w:lineRule="auto"/>
            </w:pPr>
            <w:r>
              <w:rPr>
                <w:rFonts w:ascii="Calibri" w:hAnsi="Calibri"/>
                <w:b/>
                <w:i w:val="0"/>
                <w:color w:val="212121"/>
                <w:sz w:val="19"/>
              </w:rPr>
              <w:t>Low-grade fever</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progression to alcoholic steatohepatitis rather than simple steatosis.</w:t>
            </w:r>
          </w:p>
        </w:tc>
      </w:tr>
      <w:tr>
        <w:trPr>
          <w:cantSplit/>
        </w:trPr>
        <w:tc>
          <w:tcPr>
            <w:tcW w:type="dxa" w:w="2304"/>
            <w:vAlign w:val="top"/>
          </w:tcPr>
          <w:p>
            <w:pPr>
              <w:spacing w:after="40" w:before="0" w:line="259" w:lineRule="auto"/>
            </w:pPr>
            <w:r>
              <w:rPr>
                <w:rFonts w:ascii="Calibri" w:hAnsi="Calibri"/>
                <w:b/>
                <w:i w:val="0"/>
                <w:color w:val="212121"/>
                <w:sz w:val="19"/>
              </w:rPr>
              <w:t>Jaundice (yellow eyes / dark urine)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Signals progression to alcoholic hepatitis or advanced disease and needs urgent assessment.</w:t>
            </w:r>
          </w:p>
        </w:tc>
      </w:tr>
      <w:tr>
        <w:trPr>
          <w:cantSplit/>
        </w:trPr>
        <w:tc>
          <w:tcPr>
            <w:tcW w:type="dxa" w:w="2304"/>
            <w:vAlign w:val="top"/>
          </w:tcPr>
          <w:p>
            <w:pPr>
              <w:spacing w:after="40" w:before="0" w:line="259" w:lineRule="auto"/>
            </w:pPr>
            <w:r>
              <w:rPr>
                <w:rFonts w:ascii="Calibri" w:hAnsi="Calibri"/>
                <w:b/>
                <w:i w:val="0"/>
                <w:color w:val="212121"/>
                <w:sz w:val="19"/>
              </w:rPr>
              <w:t>More marked right-sided abdominal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Indicates significant hepatic inflammation or capsular distension.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Hepatomegaly (smooth, mildly tender)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Fatty infiltration enlarges the liver; the commonest physical finding in AFLD.</w:t>
            </w:r>
          </w:p>
        </w:tc>
      </w:tr>
      <w:tr>
        <w:trPr>
          <w:cantSplit/>
        </w:trPr>
        <w:tc>
          <w:tcPr>
            <w:tcW w:type="dxa" w:w="3456"/>
            <w:vAlign w:val="top"/>
          </w:tcPr>
          <w:p>
            <w:pPr>
              <w:spacing w:after="40" w:before="0" w:line="259" w:lineRule="auto"/>
            </w:pPr>
            <w:r>
              <w:rPr>
                <w:rFonts w:ascii="Calibri" w:hAnsi="Calibri"/>
                <w:b/>
                <w:i w:val="0"/>
                <w:color w:val="212121"/>
                <w:sz w:val="19"/>
              </w:rPr>
              <w:t>Elevated BMI / central obesity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Marker of coexisting metabolic dysfunction (the MetALD overlap).</w:t>
            </w:r>
          </w:p>
        </w:tc>
      </w:tr>
      <w:tr>
        <w:trPr>
          <w:cantSplit/>
        </w:trPr>
        <w:tc>
          <w:tcPr>
            <w:tcW w:type="dxa" w:w="3456"/>
            <w:vAlign w:val="top"/>
          </w:tcPr>
          <w:p>
            <w:pPr>
              <w:spacing w:after="40" w:before="0" w:line="259" w:lineRule="auto"/>
            </w:pPr>
            <w:r>
              <w:rPr>
                <w:rFonts w:ascii="Calibri" w:hAnsi="Calibri"/>
                <w:b/>
                <w:i w:val="0"/>
                <w:color w:val="212121"/>
                <w:sz w:val="19"/>
              </w:rPr>
              <w:t>Parotid gland enlargement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Bilateral parotidomegaly is a classic sign of chronic alcohol use.</w:t>
            </w:r>
          </w:p>
        </w:tc>
      </w:tr>
      <w:tr>
        <w:trPr>
          <w:cantSplit/>
        </w:trPr>
        <w:tc>
          <w:tcPr>
            <w:tcW w:type="dxa" w:w="3456"/>
            <w:vAlign w:val="top"/>
          </w:tcPr>
          <w:p>
            <w:pPr>
              <w:spacing w:after="40" w:before="0" w:line="259" w:lineRule="auto"/>
            </w:pPr>
            <w:r>
              <w:rPr>
                <w:rFonts w:ascii="Calibri" w:hAnsi="Calibri"/>
                <w:b/>
                <w:i w:val="0"/>
                <w:color w:val="212121"/>
                <w:sz w:val="19"/>
              </w:rPr>
              <w:t>Palmar erythema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Reddening of the thenar/hypothenar eminences; seen as disease advances.</w:t>
            </w:r>
          </w:p>
        </w:tc>
      </w:tr>
      <w:tr>
        <w:trPr>
          <w:cantSplit/>
        </w:trPr>
        <w:tc>
          <w:tcPr>
            <w:tcW w:type="dxa" w:w="3456"/>
            <w:vAlign w:val="top"/>
          </w:tcPr>
          <w:p>
            <w:pPr>
              <w:spacing w:after="40" w:before="0" w:line="259" w:lineRule="auto"/>
            </w:pPr>
            <w:r>
              <w:rPr>
                <w:rFonts w:ascii="Calibri" w:hAnsi="Calibri"/>
                <w:b/>
                <w:i w:val="0"/>
                <w:color w:val="212121"/>
                <w:sz w:val="19"/>
              </w:rPr>
              <w:t>Spider angiomata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Central arteriole with radiating vessels on the upper trunk; indicates progression toward advanced ALD.</w:t>
            </w:r>
          </w:p>
        </w:tc>
      </w:tr>
      <w:tr>
        <w:trPr>
          <w:cantSplit/>
        </w:trPr>
        <w:tc>
          <w:tcPr>
            <w:tcW w:type="dxa" w:w="3456"/>
            <w:vAlign w:val="top"/>
          </w:tcPr>
          <w:p>
            <w:pPr>
              <w:spacing w:after="40" w:before="0" w:line="259" w:lineRule="auto"/>
            </w:pPr>
            <w:r>
              <w:rPr>
                <w:rFonts w:ascii="Calibri" w:hAnsi="Calibri"/>
                <w:b/>
                <w:i w:val="0"/>
                <w:color w:val="212121"/>
                <w:sz w:val="19"/>
              </w:rPr>
              <w:t>Dupuytren's contracture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Fibrous thickening of the palmar fascia associated with chronic alcohol use.</w:t>
            </w:r>
          </w:p>
        </w:tc>
      </w:tr>
      <w:tr>
        <w:trPr>
          <w:cantSplit/>
        </w:trPr>
        <w:tc>
          <w:tcPr>
            <w:tcW w:type="dxa" w:w="3456"/>
            <w:vAlign w:val="top"/>
          </w:tcPr>
          <w:p>
            <w:pPr>
              <w:spacing w:after="40" w:before="0" w:line="259" w:lineRule="auto"/>
            </w:pPr>
            <w:r>
              <w:rPr>
                <w:rFonts w:ascii="Calibri" w:hAnsi="Calibri"/>
                <w:b/>
                <w:i w:val="0"/>
                <w:color w:val="212121"/>
                <w:sz w:val="19"/>
              </w:rPr>
              <w:t>Coarse tremor / signs of withdrawal</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alcohol dependence rather than the liver lesion itself.</w:t>
            </w:r>
          </w:p>
        </w:tc>
      </w:tr>
      <w:tr>
        <w:trPr>
          <w:cantSplit/>
        </w:trPr>
        <w:tc>
          <w:tcPr>
            <w:tcW w:type="dxa" w:w="3456"/>
            <w:vAlign w:val="top"/>
          </w:tcPr>
          <w:p>
            <w:pPr>
              <w:spacing w:after="40" w:before="0" w:line="259" w:lineRule="auto"/>
            </w:pPr>
            <w:r>
              <w:rPr>
                <w:rFonts w:ascii="Calibri" w:hAnsi="Calibri"/>
                <w:b/>
                <w:i w:val="0"/>
                <w:color w:val="212121"/>
                <w:sz w:val="19"/>
              </w:rPr>
              <w:t>Gynecomastia / testicular atrophy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Result from alcohol-related hypogonadism and altered oestrogen metabolism in advanced disease.</w:t>
            </w:r>
          </w:p>
        </w:tc>
      </w:tr>
      <w:tr>
        <w:trPr>
          <w:cantSplit/>
        </w:trPr>
        <w:tc>
          <w:tcPr>
            <w:tcW w:type="dxa" w:w="3456"/>
            <w:vAlign w:val="top"/>
          </w:tcPr>
          <w:p>
            <w:pPr>
              <w:spacing w:after="40" w:before="0" w:line="259" w:lineRule="auto"/>
            </w:pPr>
            <w:r>
              <w:rPr>
                <w:rFonts w:ascii="Calibri" w:hAnsi="Calibri"/>
                <w:b/>
                <w:i w:val="0"/>
                <w:color w:val="212121"/>
                <w:sz w:val="19"/>
              </w:rPr>
              <w:t>Icterus (scleral jaundice)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Indicates progression to steatohepatitis or cirrhosis, not simple steatosis.</w:t>
            </w:r>
          </w:p>
        </w:tc>
      </w:tr>
      <w:tr>
        <w:trPr>
          <w:cantSplit/>
        </w:trPr>
        <w:tc>
          <w:tcPr>
            <w:tcW w:type="dxa" w:w="3456"/>
            <w:vAlign w:val="top"/>
          </w:tcPr>
          <w:p>
            <w:pPr>
              <w:spacing w:after="40" w:before="0" w:line="259" w:lineRule="auto"/>
            </w:pPr>
            <w:r>
              <w:rPr>
                <w:rFonts w:ascii="Calibri" w:hAnsi="Calibri"/>
                <w:b/>
                <w:i w:val="0"/>
                <w:color w:val="212121"/>
                <w:sz w:val="19"/>
              </w:rPr>
              <w:t>Peripheral neuropathy / proximal myopathy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Reflect direct alcohol toxicity and thiamine deficiency accompanying AFLD.</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from simple steatosis to alcoholic steatohepatitis (ASH)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Tender hepatomegaly and transient transaminase elevation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Superimposed acute alcoholic hepatitis with continued heavy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Alcohol-related hypertriglyceridaemia and hepatic insulin resistance</w:t>
            </w:r>
          </w:p>
        </w:tc>
        <w:tc>
          <w:tcPr>
            <w:tcW w:type="dxa" w:w="2980"/>
            <w:vAlign w:val="top"/>
          </w:tcPr>
          <w:p>
            <w:pPr>
              <w:spacing w:after="40" w:before="0" w:line="259" w:lineRule="auto"/>
            </w:pPr>
            <w:r>
              <w:rPr>
                <w:rFonts w:ascii="Calibri" w:hAnsi="Calibri"/>
                <w:b w:val="0"/>
                <w:i w:val="0"/>
                <w:color w:val="212121"/>
                <w:sz w:val="19"/>
              </w:rPr>
              <w:t>Direct hepatic consequences of continuing alcohol-driven fat accumulation and inflammation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Hepatic fibrosis and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Portal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Concurrent alcohol-related macrocytic anaemia and thiamine/folate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Alcoholic chronic pancreatitis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susceptibility to infection</w:t>
            </w:r>
          </w:p>
        </w:tc>
        <w:tc>
          <w:tcPr>
            <w:tcW w:type="dxa" w:w="2980"/>
            <w:vAlign w:val="top"/>
          </w:tcPr>
          <w:p>
            <w:pPr>
              <w:spacing w:after="40" w:before="0" w:line="259" w:lineRule="auto"/>
            </w:pPr>
            <w:r>
              <w:rPr>
                <w:rFonts w:ascii="Calibri" w:hAnsi="Calibri"/>
                <w:b w:val="0"/>
                <w:i w:val="0"/>
                <w:color w:val="212121"/>
                <w:sz w:val="19"/>
              </w:rPr>
              <w:t>Result from sustained alcohol toxicity, inflammation and malnutrition when drinking persists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Decompensated cirrhosis (ascites, variceal bleeding, hepatic encephalopathy, hepatorenal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Hepatocellular carcinoma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liver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w:t>
            </w:r>
          </w:p>
        </w:tc>
        <w:tc>
          <w:tcPr>
            <w:tcW w:type="dxa" w:w="2980"/>
            <w:vAlign w:val="top"/>
          </w:tcPr>
          <w:p>
            <w:pPr>
              <w:spacing w:after="40" w:before="0" w:line="259" w:lineRule="auto"/>
            </w:pPr>
            <w:r>
              <w:rPr>
                <w:rFonts w:ascii="Calibri" w:hAnsi="Calibri"/>
                <w:b w:val="0"/>
                <w:i w:val="0"/>
                <w:color w:val="212121"/>
                <w:sz w:val="19"/>
              </w:rPr>
              <w:t>Irreversible, disabling or fatal end-stage outcomes; in an Indian ALD cohort ascites occurred in about 69%, hepatic encephalopathy in about 46% and in-hospital mortality was about 18%</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Alcohol use disorder (AUD)</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necessary driver of AFLD; severity and duration of dependence determine steatosis burden, and abstinence is the central treatment.</w:t>
            </w:r>
          </w:p>
        </w:tc>
      </w:tr>
      <w:tr>
        <w:trPr>
          <w:cantSplit/>
        </w:trPr>
        <w:tc>
          <w:tcPr>
            <w:tcW w:type="dxa" w:w="2232"/>
            <w:vAlign w:val="top"/>
          </w:tcPr>
          <w:p>
            <w:pPr>
              <w:spacing w:after="40" w:before="0" w:line="259" w:lineRule="auto"/>
            </w:pPr>
            <w:r>
              <w:rPr>
                <w:rFonts w:ascii="Calibri" w:hAnsi="Calibri"/>
                <w:b/>
                <w:i w:val="0"/>
                <w:color w:val="212121"/>
                <w:sz w:val="19"/>
              </w:rPr>
              <w:t>Obesity / overweight</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Adds metabolic steatosis to alcohol-driven fat (MetALD overlap), producing heavier steatosis and faster progression.</w:t>
            </w:r>
          </w:p>
        </w:tc>
      </w:tr>
      <w:tr>
        <w:trPr>
          <w:cantSplit/>
        </w:trPr>
        <w:tc>
          <w:tcPr>
            <w:tcW w:type="dxa" w:w="2232"/>
            <w:vAlign w:val="top"/>
          </w:tcPr>
          <w:p>
            <w:pPr>
              <w:spacing w:after="40" w:before="0" w:line="259" w:lineRule="auto"/>
            </w:pPr>
            <w:r>
              <w:rPr>
                <w:rFonts w:ascii="Calibri" w:hAnsi="Calibri"/>
                <w:b/>
                <w:i w:val="0"/>
                <w:color w:val="212121"/>
                <w:sz w:val="19"/>
              </w:rPr>
              <w:t>Type 2 diabetes / metabolic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Insulin resistance adds a lipogenic drive; coexistence with moderate alcohol defines MetALD and raises fibrosis risk.</w:t>
            </w:r>
          </w:p>
        </w:tc>
      </w:tr>
      <w:tr>
        <w:trPr>
          <w:cantSplit/>
        </w:trPr>
        <w:tc>
          <w:tcPr>
            <w:tcW w:type="dxa" w:w="2232"/>
            <w:vAlign w:val="top"/>
          </w:tcPr>
          <w:p>
            <w:pPr>
              <w:spacing w:after="40" w:before="0" w:line="259" w:lineRule="auto"/>
            </w:pPr>
            <w:r>
              <w:rPr>
                <w:rFonts w:ascii="Calibri" w:hAnsi="Calibri"/>
                <w:b/>
                <w:i w:val="0"/>
                <w:color w:val="212121"/>
                <w:sz w:val="19"/>
              </w:rPr>
              <w:t>Dyslipidemia (hypertriglyceridaemia)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Alcohol raises hepatic VLDL and triglyceride output, a common accompaniment of AFLD.</w:t>
            </w:r>
          </w:p>
        </w:tc>
      </w:tr>
      <w:tr>
        <w:trPr>
          <w:cantSplit/>
        </w:trPr>
        <w:tc>
          <w:tcPr>
            <w:tcW w:type="dxa" w:w="2232"/>
            <w:vAlign w:val="top"/>
          </w:tcPr>
          <w:p>
            <w:pPr>
              <w:spacing w:after="40" w:before="0" w:line="259" w:lineRule="auto"/>
            </w:pPr>
            <w:r>
              <w:rPr>
                <w:rFonts w:ascii="Calibri" w:hAnsi="Calibri"/>
                <w:b/>
                <w:i w:val="0"/>
                <w:color w:val="212121"/>
                <w:sz w:val="19"/>
              </w:rPr>
              <w:t>Chronic hepatitis C</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Synergises with alcohol to accelerate fibrosis and cirrhosis and raise HCC risk; present in about 16-24% of people with alcohol use disorder.</w:t>
            </w:r>
          </w:p>
          <w:p>
            <w:pPr>
              <w:spacing w:after="40" w:before="0" w:line="259" w:lineRule="auto"/>
            </w:pPr>
            <w:r>
              <w:rPr>
                <w:rFonts w:ascii="Calibri" w:hAnsi="Calibri"/>
                <w:b/>
                <w:i w:val="0"/>
                <w:color w:val="212121"/>
                <w:sz w:val="19"/>
              </w:rPr>
              <w:t>~16-24% of alcohol use disorder</w:t>
            </w:r>
          </w:p>
        </w:tc>
      </w:tr>
      <w:tr>
        <w:trPr>
          <w:cantSplit/>
        </w:trPr>
        <w:tc>
          <w:tcPr>
            <w:tcW w:type="dxa" w:w="2232"/>
            <w:vAlign w:val="top"/>
          </w:tcPr>
          <w:p>
            <w:pPr>
              <w:spacing w:after="40" w:before="0" w:line="259" w:lineRule="auto"/>
            </w:pPr>
            <w:r>
              <w:rPr>
                <w:rFonts w:ascii="Calibri" w:hAnsi="Calibri"/>
                <w:b/>
                <w:i w:val="0"/>
                <w:color w:val="212121"/>
                <w:sz w:val="19"/>
              </w:rPr>
              <w:t>Alcoholic chronic pancreatitis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Shares alcohol as its cause and frequently coexists with AFLD, complicating nutrition and glycaemic control.</w:t>
            </w:r>
          </w:p>
        </w:tc>
      </w:tr>
      <w:tr>
        <w:trPr>
          <w:cantSplit/>
        </w:trPr>
        <w:tc>
          <w:tcPr>
            <w:tcW w:type="dxa" w:w="2232"/>
            <w:vAlign w:val="top"/>
          </w:tcPr>
          <w:p>
            <w:pPr>
              <w:spacing w:after="40" w:before="0" w:line="259" w:lineRule="auto"/>
            </w:pPr>
            <w:r>
              <w:rPr>
                <w:rFonts w:ascii="Calibri" w:hAnsi="Calibri"/>
                <w:b/>
                <w:i w:val="0"/>
                <w:color w:val="212121"/>
                <w:sz w:val="19"/>
              </w:rPr>
              <w:t>Alcoholic cardiomyopathy</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Direct alcohol toxicity to the myocardium; the same drinking that causes AFLD damages the heart.</w:t>
            </w:r>
          </w:p>
        </w:tc>
      </w:tr>
      <w:tr>
        <w:trPr>
          <w:cantSplit/>
        </w:trPr>
        <w:tc>
          <w:tcPr>
            <w:tcW w:type="dxa" w:w="2232"/>
            <w:vAlign w:val="top"/>
          </w:tcPr>
          <w:p>
            <w:pPr>
              <w:spacing w:after="40" w:before="0" w:line="259" w:lineRule="auto"/>
            </w:pPr>
            <w:r>
              <w:rPr>
                <w:rFonts w:ascii="Calibri" w:hAnsi="Calibri"/>
                <w:b/>
                <w:i w:val="0"/>
                <w:color w:val="212121"/>
                <w:sz w:val="19"/>
              </w:rPr>
              <w:t>Macrocytic anaemia / nutritional deficiency (thiamine, folate)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Arises from alcohol toxicity and malnutrition and often accompanies AFLD; thiamine repletion is essential.</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Drive and sustain harmful drinking and are worsened by chronic liver disease; a bidirectional relationship affecting abstinence.</w:t>
            </w:r>
          </w:p>
        </w:tc>
      </w:tr>
      <w:tr>
        <w:trPr>
          <w:cantSplit/>
        </w:trPr>
        <w:tc>
          <w:tcPr>
            <w:tcW w:type="dxa" w:w="2232"/>
            <w:vAlign w:val="top"/>
          </w:tcPr>
          <w:p>
            <w:pPr>
              <w:spacing w:after="40" w:before="0" w:line="259" w:lineRule="auto"/>
            </w:pPr>
            <w:r>
              <w:rPr>
                <w:rFonts w:ascii="Calibri" w:hAnsi="Calibri"/>
                <w:b/>
                <w:i w:val="0"/>
                <w:color w:val="212121"/>
                <w:sz w:val="19"/>
              </w:rPr>
              <w:t>Hepatocellular carcinoma</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End-of-spectrum consequence when AFLD progresses through steatohepatitis and cirrhosis.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alcoholic fatty liver is usually silent yet largely reversible - the fat can clear with sustained abstinence, so early detection matters.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risk thresholds: regular intake above about 60 g/day (men) or 20-40 g/day (women), and especially cheap country liquor/hadiya, damages the liver faster.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any amount is unsafe once fatty liver is diagnosed, and that continued drinking can progress to steatohepatitis, cirrhosis and liver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warning signs that demand urgent review - jaundice, abdominal swelling, black stools, confusion or vomiting blood.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simple self-check (AUDIT-C) and seek screening (ultrasound and liver-function tests) if you drink heavily or have diabetes/obesity plus alcohol.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and daily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Country-liquor/hadiya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obesity or diabetes who drink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members of people with AUD</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and sustained abstinence is the cornerstone of treatment - simple steatosis can regress within weeks of stopping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de-addiction support: brief interventions, counselling, and relapse-prevention medication (acamprosate, naltrexone or baclofen)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alcohol withdrawal safely under supervision, giving parenteral thiamine before any glucose to prevent Wernicke encephalopathy.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other hepatotoxins during recovery - limit paracetamol, avoid unregulated herbal/traditional liver 'tonics' and additional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a firm goal of zero intake rather than 'cutting down', and enlist family and peer-support (e.g. Alcoholics Anonymous) to maintain 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AFLD/ALD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use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Relapse-prone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Withdrawal-risk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malnutrition with an adequate-protein, adequate-calorie diet; supplement thiamine, folate and other B-vitamins in 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saturated fat, fried foods and sugar/fructose, which amplify alcohol-induced fat accumulation.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Emphasise whole grains, pulses, vegetables and fruit, and use unsaturated cooking oils in moderation.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2-3 cups/day of coffee (without excess sugar/cream), which is associated with lower liver fibrosis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those with the metabolic (MetALD) overlap, control portion sizes and refined carbohydrates to reduce hepatic fat.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MetALD/obese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AUD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aerobic activity (brisk walking, cycling) to reduce hepatic fat, especially where obesity coexists.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 training 2-3 days/week to improve insulin sensitivity and body composition.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5-10% weight loss if overweight, targeting waist circumference and the metabolic component of steatosis.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prolonged sitting and build routine daily movement to support overall metabolic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MetALD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drinkers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 smoking adds oxidative stress that accelerates fibrosis in alcohol-related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pharmacotherapy (nicotine replacement, approved medications) to quit.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cessation with the alcohol-abstinence plan, as the two behaviours often reinforce each other.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adds further cardiovascular and hepatic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who drink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AUD patients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established fibrosis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frequently drive continued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or cognitive behavioural therapy and motivational interviewing to support abstinence.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patients to peer support and family involvement to reduce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underlying stressors (work, financial, relationship) that trigger drinking, and build healthier coping strategies.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AUD with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Relapse-prone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drinkers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regular, good-quality sleep to support metabolic health and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alcohol as a sleep aid - it fragments sleep and perpetuates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in obese patients, as it worsens the metabolic component.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sleep-wake schedule and limit late-night heavy meals.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MetALD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using alcohol to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ptcp.com/index.php/jptcp/article/download/12168/11360/23965" TargetMode="External"/><Relationship Id="rId10" Type="http://schemas.openxmlformats.org/officeDocument/2006/relationships/hyperlink" Target="https://tgh.amegroups.org/article/view/5499/html_2" TargetMode="External"/><Relationship Id="rId11" Type="http://schemas.openxmlformats.org/officeDocument/2006/relationships/hyperlink" Target="https://www.groundreport.in/explained/statewise-alcohol-consumption-in-india/" TargetMode="External"/><Relationship Id="rId12" Type="http://schemas.openxmlformats.org/officeDocument/2006/relationships/hyperlink" Target="https://www.merckmanuals.com/professional/hepatic-and-biliary-disorders/alcohol-related-liver-disease/alcohol-related-liver-disease" TargetMode="External"/><Relationship Id="rId13" Type="http://schemas.openxmlformats.org/officeDocument/2006/relationships/hyperlink" Target="https://www.ijcmr.com/uploads/7/7/4/6/77464738/ijcmr_1367_apr_25.pdf" TargetMode="External"/><Relationship Id="rId14" Type="http://schemas.openxmlformats.org/officeDocument/2006/relationships/hyperlink" Target="https://www.ncbi.nlm.nih.gov/books/NBK546632/" TargetMode="External"/><Relationship Id="rId15" Type="http://schemas.openxmlformats.org/officeDocument/2006/relationships/hyperlink" Target="https://www.sciencedirect.com/science/article/pii/S1665268119312955" TargetMode="External"/><Relationship Id="rId16" Type="http://schemas.openxmlformats.org/officeDocument/2006/relationships/hyperlink" Target="https://pmc.ncbi.nlm.nih.gov/articles/PMC12742176/" TargetMode="External"/><Relationship Id="rId17" Type="http://schemas.openxmlformats.org/officeDocument/2006/relationships/hyperlink" Target="https://tgh.amegroups.org/article/view/554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