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Hemorrhoids</w:t>
      </w:r>
    </w:p>
    <w:p>
      <w:pPr>
        <w:spacing w:before="0" w:after="160"/>
      </w:pPr>
      <w:r>
        <w:rPr>
          <w:rFonts w:ascii="Calibri" w:hAnsi="Calibri"/>
          <w:b/>
          <w:i w:val="0"/>
          <w:color w:val="212121"/>
          <w:sz w:val="22"/>
        </w:rPr>
        <w:t xml:space="preserve">AKA </w:t>
      </w:r>
      <w:r>
        <w:rPr>
          <w:rFonts w:ascii="Calibri" w:hAnsi="Calibri"/>
          <w:b w:val="0"/>
          <w:i w:val="0"/>
          <w:color w:val="212121"/>
          <w:sz w:val="22"/>
        </w:rPr>
        <w:t>i.e., Piles, Haemorrhoids, Bawaseer, Mulvyadh, Hemorrhoidal disease, Bleeding piles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Hemorrhoids (piles) are symptomatic enlargement and distal displacement of the normal anal cushions — specialised vascular structures of submucosal blood vessels, smooth muscle (Treitz’s muscle) and connective tissue that line the anal canal and help maintain continence. They become a disease when the supporting connective tissue degenerates and the cushions engorge, slide and prolapse, producing bleeding, prolapse, itching and discomfort. Internal hemorrhoids arise above the dentate line and are usually painless, while external hemorrhoids arise below it and can thrombose to cause acute pain. Hemorrhoids are a disease of the cushions themselves and are not caused by portal hypertension, which instead produces distinct anorectal varices.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Hemorrhoids are among the most common anorectal conditions in Indian surgical practice and are the third most common out-patient gastrointestinal diagnosis worldwide. Hospital-based Indian studies report haemorrhoids in roughly 6 to 8 in every 100 patients attending surgical out-patient departments — about 8.4% in a Gujarat tertiary-care series. On systematic proctoscopic examination the prevalence is far higher (about 39% of adults in an Austrian screening study), but fewer than half of those found are symptomatic. Indian series show a consistent male preponderance (about 62–69%) and a peak in the economically active 30–50 year age group, with chronic constipation, straining, prolonged toilet time and low-fibre diets as the dominant local risk factors.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Hemorrhoids are a clinical diagnosis based on history and anorectal examination — perianal inspection, digital rectal examination and proctoscopy/anoscopy — with lower gastrointestinal endoscopy reserved to exclude colorectal cancer and other organic disease when alarm features are present: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typical symptoms — painless, bright red rectal bleeding (coating the stool, on the toilet paper or dripping into the pan), a perianal lump or prolapse, anal itching, mucus discharge and a sense of incomplete evacuation;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perianal inspection revealing external hemorrhoids, skin tags, prolapsing masses (spontaneously or on straining/Valsalva) or a tender bluish lump of a thrombosed external hemorrhoid;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digital rectal examination to assess sphincter tone and, importantly, to exclude a palpable rectal mass — uncomplicated internal hemorrhoids are soft and usually not palpable;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proctoscopy/anoscopy to confirm internal hemorrhoids (classically at the 3, 7 and 11 o’clock positions) and to assign the Goligher grade;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colonoscopy or flexible sigmoidoscopy to rule out colorectal carcinoma or inflammatory bowel disease in patients with alarm features — age over 40–50, change in bowel habit, weight loss, iron-deficiency anaemia, a family history of colorectal cancer, or bleeding not clearly explained by hemorrhoids.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Hemorrhoids are classified anatomically by their position relative to the dentate line, and internal hemorrhoids are graded by the degree of prolapse using the Goligher classification:</w:t>
      </w:r>
    </w:p>
    <w:p>
      <w:pPr>
        <w:spacing w:before="0" w:after="80"/>
      </w:pPr>
      <w:r>
        <w:rPr>
          <w:rFonts w:ascii="Calibri" w:hAnsi="Calibri"/>
          <w:b w:val="0"/>
          <w:i w:val="0"/>
          <w:color w:val="212121"/>
          <w:sz w:val="21"/>
        </w:rPr>
        <w:t>(1) Internal hemorrhoids arise above the dentate line from the superior hemorrhoidal (rectal) plexus and are covered by insensate columnar/transitional mucosa; they are typically painless and present with bright red bleeding and prolapse.</w:t>
      </w:r>
    </w:p>
    <w:p>
      <w:pPr>
        <w:spacing w:before="0" w:after="80"/>
      </w:pPr>
      <w:r>
        <w:rPr>
          <w:rFonts w:ascii="Calibri" w:hAnsi="Calibri"/>
          <w:b w:val="0"/>
          <w:i w:val="0"/>
          <w:color w:val="212121"/>
          <w:sz w:val="21"/>
        </w:rPr>
        <w:t>(2) External hemorrhoids arise below the dentate line from the inferior hemorrhoidal plexus and are covered by sensitive squamous epithelium (anoderm); they can thrombose to produce an acute, exquisitely painful perianal lump and may leave residual skin tags.</w:t>
      </w:r>
    </w:p>
    <w:p>
      <w:pPr>
        <w:spacing w:before="0" w:after="80"/>
      </w:pPr>
      <w:r>
        <w:rPr>
          <w:rFonts w:ascii="Calibri" w:hAnsi="Calibri"/>
          <w:b w:val="0"/>
          <w:i w:val="0"/>
          <w:color w:val="212121"/>
          <w:sz w:val="21"/>
        </w:rPr>
        <w:t>(3) Mixed (interno-external) hemorrhoids have components both above and below the dentate line.</w:t>
      </w:r>
    </w:p>
    <w:p>
      <w:pPr>
        <w:spacing w:before="0" w:after="80"/>
      </w:pPr>
      <w:r>
        <w:rPr>
          <w:rFonts w:ascii="Calibri" w:hAnsi="Calibri"/>
          <w:b w:val="0"/>
          <w:i w:val="0"/>
          <w:color w:val="212121"/>
          <w:sz w:val="21"/>
        </w:rPr>
        <w:t>Goligher grading of internal hemorrhoids: Grade I — bleed but do not prolapse; Grade II — prolapse on straining/defecation but reduce spontaneously; Grade III — prolapse and require manual reduction; Grade IV — permanently prolapsed and irreducible, and may be thrombosed or strangulated. In screening series Grade I dominates (about 73%), with Grade IV under 1%.</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Chronic straining and constipation: Repeated straining and the passage of hard stool raise intra-anal pressure, engorge the cushions and traumatise the overlying mucosa, the single most important driver of hemorrhoidal disease.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Low-fibre diet and inadequate hydration: A refined, low-fibre diet with poor fluid intake produces hard, infrequent stools that promote straining — highly prevalent in urban Indian dietary patterns.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Degeneration of anal-cushion support (ageing): Age-related attenuation of Treitz’s muscle and the connective-tissue anchoring allows the cushions to slide and prolapse, explaining why the elderly are prone to symptomatic, higher-grade disease.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Raised intra-abdominal pressure states: Pregnancy, obesity, chronic cough (COPD), heavy lifting, ascites and pelvic space-occupying lesions increase venous pressure and cushion engorgement.</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Prolonged toilet sitting and unhealthy toileting: Spending long periods straining on the toilet (often reading or on a phone) sustains venous congestion and downward pressure on the cushions.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Sedentary lifestyle and prolonged sitting or standing: Physical inactivity slows colonic transit and, with occupational prolonged sitting or standing, promotes venous stasis in the anal cushions.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Genetic and connective-tissue predisposition: A family history and inherited connective-tissue laxity increase susceptibility to cushion prolapse.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(30–50 y, economically active)</w:t>
            </w:r>
          </w:p>
        </w:tc>
        <w:tc>
          <w:tcPr>
            <w:tcW w:type="dxa" w:w="4276"/>
            <w:vAlign w:val="top"/>
          </w:tcPr>
          <w:p>
            <w:pPr>
              <w:spacing w:after="60" w:line="259" w:lineRule="auto"/>
            </w:pPr>
            <w:r>
              <w:rPr>
                <w:rFonts w:ascii="Calibri" w:hAnsi="Calibri"/>
                <w:b w:val="0"/>
                <w:i w:val="0"/>
                <w:color w:val="212121"/>
                <w:sz w:val="19"/>
              </w:rPr>
              <w:t>Hemorrhoids peak in the working years, when sedentary jobs, low-fibre fast food, poor hydration and habitual straining combine. Chronic raised intra-anal pressure engorges the cushions and degrades their connective-tissue support, producing bleeding and prolapse.</w:t>
            </w:r>
          </w:p>
          <w:p>
            <w:pPr>
              <w:spacing w:after="40" w:before="60" w:line="259" w:lineRule="auto"/>
            </w:pPr>
            <w:r>
              <w:rPr>
                <w:rFonts w:ascii="Calibri" w:hAnsi="Calibri"/>
                <w:b w:val="0"/>
                <w:i w:val="0"/>
                <w:color w:val="212121"/>
                <w:sz w:val="19"/>
              </w:rPr>
              <w:t>Indian series place mean age around 44.8 ± 12.6 years with the highest burden at 41–50 years (42.5%); other series report over half of cases under 40 years.</w:t>
            </w:r>
          </w:p>
          <w:p>
            <w:pPr>
              <w:spacing w:after="40" w:line="252" w:lineRule="auto"/>
            </w:pPr>
            <w:hyperlink r:id="rId9">
              <w:r>
                <w:rPr>
                  <w:rFonts w:ascii="Calibri" w:hAnsi="Calibri" w:cs="Calibri"/>
                  <w:sz w:val="18"/>
                  <w:color w:val="1155CC"/>
                  <w:u w:val="single"/>
                </w:rPr>
                <w:t xml:space="preserve">J Popul Ther Clin Pharmacol — Vidisha, MP risk-factor study</w:t>
              </w:r>
            </w:hyperlink>
          </w:p>
          <w:p>
            <w:pPr>
              <w:spacing w:before="60" w:after="40"/>
            </w:pPr>
            <w:r>
              <w:rPr>
                <w:rFonts w:ascii="Calibri" w:hAnsi="Calibri"/>
                <w:b w:val="0"/>
                <w:i w:val="0"/>
                <w:color w:val="5A5A5A"/>
                <w:sz w:val="18"/>
              </w:rPr>
              <w:t>#piles  #youngadults  #straining  #sedentary  #workingage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(&gt;60 y)</w:t>
            </w:r>
          </w:p>
        </w:tc>
        <w:tc>
          <w:tcPr>
            <w:tcW w:type="dxa" w:w="4276"/>
            <w:vAlign w:val="top"/>
          </w:tcPr>
          <w:p>
            <w:pPr>
              <w:spacing w:after="60" w:line="259" w:lineRule="auto"/>
            </w:pPr>
            <w:r>
              <w:rPr>
                <w:rFonts w:ascii="Calibri" w:hAnsi="Calibri"/>
                <w:b w:val="0"/>
                <w:i w:val="0"/>
                <w:color w:val="212121"/>
                <w:sz w:val="19"/>
              </w:rPr>
              <w:t>With ageing, Treitz’s muscle and the connective tissue anchoring the anal cushions attenuate, so the cushions slide and prolapse more readily. Coexisting constipation, immobility and medication-related hard stool raise the risk of higher-grade, prolapsing disease.</w:t>
            </w:r>
          </w:p>
          <w:p>
            <w:pPr>
              <w:spacing w:after="40" w:before="60" w:line="259" w:lineRule="auto"/>
            </w:pPr>
            <w:r>
              <w:rPr>
                <w:rFonts w:ascii="Calibri" w:hAnsi="Calibri"/>
                <w:b w:val="0"/>
                <w:i w:val="0"/>
                <w:color w:val="212121"/>
                <w:sz w:val="19"/>
              </w:rPr>
              <w:t>Age-related degeneration of the muscle-fibre support explains why the elderly are more prone to symptomatic and prolapsing hemorrhoids.</w:t>
            </w:r>
          </w:p>
          <w:p>
            <w:pPr>
              <w:spacing w:after="40" w:line="252" w:lineRule="auto"/>
            </w:pPr>
            <w:hyperlink r:id="rId10">
              <w:r>
                <w:rPr>
                  <w:rFonts w:ascii="Calibri" w:hAnsi="Calibri" w:cs="Calibri"/>
                  <w:sz w:val="18"/>
                  <w:color w:val="1155CC"/>
                  <w:u w:val="single"/>
                </w:rPr>
                <w:t xml:space="preserve">StatPearls — Internal Hemorrhoid</w:t>
              </w:r>
            </w:hyperlink>
          </w:p>
          <w:p>
            <w:pPr>
              <w:spacing w:before="60" w:after="40"/>
            </w:pPr>
            <w:r>
              <w:rPr>
                <w:rFonts w:ascii="Calibri" w:hAnsi="Calibri"/>
                <w:b w:val="0"/>
                <w:i w:val="0"/>
                <w:color w:val="5A5A5A"/>
                <w:sz w:val="18"/>
              </w:rPr>
              <w:t>#ageing  #prolapse  #treitzmuscle  #elderly  #gradeIII</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Indian surgical series show a consistent male preponderance, reflecting a mix of occupational straining and heavy lifting, dietary pattern and greater care-seeking for anorectal symptoms among men.</w:t>
            </w:r>
          </w:p>
          <w:p>
            <w:pPr>
              <w:spacing w:after="40" w:before="60" w:line="259" w:lineRule="auto"/>
            </w:pPr>
            <w:r>
              <w:rPr>
                <w:rFonts w:ascii="Calibri" w:hAnsi="Calibri"/>
                <w:b w:val="0"/>
                <w:i w:val="0"/>
                <w:color w:val="212121"/>
                <w:sz w:val="19"/>
              </w:rPr>
              <w:t>Men make up about 62–69% of Indian hemorrhoid cohorts (Vidisha 62.1%, Bhopal 69%, Mehsana 68.6%).</w:t>
            </w:r>
          </w:p>
          <w:p>
            <w:pPr>
              <w:spacing w:after="40" w:line="252" w:lineRule="auto"/>
            </w:pPr>
            <w:hyperlink r:id="rId11">
              <w:r>
                <w:rPr>
                  <w:rFonts w:ascii="Calibri" w:hAnsi="Calibri" w:cs="Calibri"/>
                  <w:sz w:val="18"/>
                  <w:color w:val="1155CC"/>
                  <w:u w:val="single"/>
                </w:rPr>
                <w:t xml:space="preserve">Surg Rev Int J — Bhopal demographic study</w:t>
              </w:r>
            </w:hyperlink>
          </w:p>
          <w:p>
            <w:pPr>
              <w:spacing w:before="60" w:after="40"/>
            </w:pPr>
            <w:r>
              <w:rPr>
                <w:rFonts w:ascii="Calibri" w:hAnsi="Calibri"/>
                <w:b w:val="0"/>
                <w:i w:val="0"/>
                <w:color w:val="5A5A5A"/>
                <w:sz w:val="18"/>
              </w:rPr>
              <w:t>#male  #occupational  #heavylifting  #careseeking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 / physiological state</w:t>
            </w:r>
          </w:p>
        </w:tc>
        <w:tc>
          <w:tcPr>
            <w:tcW w:type="dxa" w:w="2160"/>
            <w:vAlign w:val="top"/>
          </w:tcPr>
          <w:p>
            <w:pPr>
              <w:spacing w:after="40" w:before="0" w:line="259" w:lineRule="auto"/>
            </w:pPr>
            <w:r>
              <w:rPr>
                <w:rFonts w:ascii="Calibri" w:hAnsi="Calibri"/>
                <w:b w:val="0"/>
                <w:i w:val="0"/>
                <w:color w:val="212121"/>
                <w:sz w:val="19"/>
              </w:rPr>
              <w:t>Pregnant &amp; postpartum women</w:t>
            </w:r>
          </w:p>
        </w:tc>
        <w:tc>
          <w:tcPr>
            <w:tcW w:type="dxa" w:w="4276"/>
            <w:vAlign w:val="top"/>
          </w:tcPr>
          <w:p>
            <w:pPr>
              <w:spacing w:after="60" w:line="259" w:lineRule="auto"/>
            </w:pPr>
            <w:r>
              <w:rPr>
                <w:rFonts w:ascii="Calibri" w:hAnsi="Calibri"/>
                <w:b w:val="0"/>
                <w:i w:val="0"/>
                <w:color w:val="212121"/>
                <w:sz w:val="19"/>
              </w:rPr>
              <w:t>The gravid uterus raises pelvic venous pressure, progesterone relaxes venous walls and slows the bowel, and blood volume expands — all engorging the anal cushions. Straining during vaginal delivery precipitates acute prolapse and thrombosis.</w:t>
            </w:r>
          </w:p>
          <w:p>
            <w:pPr>
              <w:spacing w:after="40" w:before="60" w:line="259" w:lineRule="auto"/>
            </w:pPr>
            <w:r>
              <w:rPr>
                <w:rFonts w:ascii="Calibri" w:hAnsi="Calibri"/>
                <w:b w:val="0"/>
                <w:i w:val="0"/>
                <w:color w:val="212121"/>
                <w:sz w:val="19"/>
              </w:rPr>
              <w:t>Up to 51% of primiparous women report hemorrhoidal symptoms, peaking in the third trimester; a previous history of hemorrhoids is the strongest predictor (OR 5.2).</w:t>
            </w:r>
          </w:p>
          <w:p>
            <w:pPr>
              <w:spacing w:after="40" w:line="252" w:lineRule="auto"/>
            </w:pPr>
            <w:hyperlink r:id="rId12">
              <w:r>
                <w:rPr>
                  <w:rFonts w:ascii="Calibri" w:hAnsi="Calibri" w:cs="Calibri"/>
                  <w:sz w:val="18"/>
                  <w:color w:val="1155CC"/>
                  <w:u w:val="single"/>
                </w:rPr>
                <w:t xml:space="preserve">BMC Gastroenterol — hemorrhoids in pregnancy</w:t>
              </w:r>
            </w:hyperlink>
          </w:p>
          <w:p>
            <w:pPr>
              <w:spacing w:before="60" w:after="40"/>
            </w:pPr>
            <w:r>
              <w:rPr>
                <w:rFonts w:ascii="Calibri" w:hAnsi="Calibri"/>
                <w:b w:val="0"/>
                <w:i w:val="0"/>
                <w:color w:val="5A5A5A"/>
                <w:sz w:val="18"/>
              </w:rPr>
              <w:t>#pregnancy  #postpartum  #progesterone  #pelvicpressure  #thirdtrimester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Higher-SES, sedentary white-collar workers</w:t>
            </w:r>
          </w:p>
        </w:tc>
        <w:tc>
          <w:tcPr>
            <w:tcW w:type="dxa" w:w="4276"/>
            <w:vAlign w:val="top"/>
          </w:tcPr>
          <w:p>
            <w:pPr>
              <w:spacing w:after="60" w:line="259" w:lineRule="auto"/>
            </w:pPr>
            <w:r>
              <w:rPr>
                <w:rFonts w:ascii="Calibri" w:hAnsi="Calibri"/>
                <w:b w:val="0"/>
                <w:i w:val="0"/>
                <w:color w:val="212121"/>
                <w:sz w:val="19"/>
              </w:rPr>
              <w:t>Sedentary desk work, refined low-fibre processed food and long toilet-sitting with smartphones characterise higher-socioeconomic urban groups, promoting constipation and straining.</w:t>
            </w:r>
          </w:p>
          <w:p>
            <w:pPr>
              <w:spacing w:after="40" w:before="60" w:line="259" w:lineRule="auto"/>
            </w:pPr>
            <w:r>
              <w:rPr>
                <w:rFonts w:ascii="Calibri" w:hAnsi="Calibri"/>
                <w:b w:val="0"/>
                <w:i w:val="0"/>
                <w:color w:val="212121"/>
                <w:sz w:val="19"/>
              </w:rPr>
              <w:t>A Bhopal series found higher-socioeconomic-status patients the most commonly affected group (37.2%); Western data likewise show a peak in higher socioeconomic strata.</w:t>
            </w:r>
          </w:p>
          <w:p>
            <w:pPr>
              <w:spacing w:after="40" w:line="252" w:lineRule="auto"/>
            </w:pPr>
            <w:hyperlink r:id="rId11">
              <w:r>
                <w:rPr>
                  <w:rFonts w:ascii="Calibri" w:hAnsi="Calibri" w:cs="Calibri"/>
                  <w:sz w:val="18"/>
                  <w:color w:val="1155CC"/>
                  <w:u w:val="single"/>
                </w:rPr>
                <w:t xml:space="preserve">Surg Rev Int J — Bhopal (socioeconomic distribution)</w:t>
              </w:r>
            </w:hyperlink>
          </w:p>
          <w:p>
            <w:pPr>
              <w:spacing w:before="60" w:after="40"/>
            </w:pPr>
            <w:r>
              <w:rPr>
                <w:rFonts w:ascii="Calibri" w:hAnsi="Calibri"/>
                <w:b w:val="0"/>
                <w:i w:val="0"/>
                <w:color w:val="5A5A5A"/>
                <w:sz w:val="18"/>
              </w:rPr>
              <w:t>#whitecollar  #sedentary  #processedfood  #toilettime  #urban</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diet pattern</w:t>
            </w:r>
          </w:p>
        </w:tc>
        <w:tc>
          <w:tcPr>
            <w:tcW w:type="dxa" w:w="2160"/>
            <w:vAlign w:val="top"/>
          </w:tcPr>
          <w:p>
            <w:pPr>
              <w:spacing w:after="40" w:before="0" w:line="259" w:lineRule="auto"/>
            </w:pPr>
            <w:r>
              <w:rPr>
                <w:rFonts w:ascii="Calibri" w:hAnsi="Calibri"/>
                <w:b w:val="0"/>
                <w:i w:val="0"/>
                <w:color w:val="212121"/>
                <w:sz w:val="19"/>
              </w:rPr>
              <w:t>Urban Indians on refined low-fibre diets</w:t>
            </w:r>
          </w:p>
        </w:tc>
        <w:tc>
          <w:tcPr>
            <w:tcW w:type="dxa" w:w="4276"/>
            <w:vAlign w:val="top"/>
          </w:tcPr>
          <w:p>
            <w:pPr>
              <w:spacing w:after="60" w:line="259" w:lineRule="auto"/>
            </w:pPr>
            <w:r>
              <w:rPr>
                <w:rFonts w:ascii="Calibri" w:hAnsi="Calibri"/>
                <w:b w:val="0"/>
                <w:i w:val="0"/>
                <w:color w:val="212121"/>
                <w:sz w:val="19"/>
              </w:rPr>
              <w:t>Urbanisation shifts diets toward polished rice, refined wheat (maida) and fast food that are low in fibre, while long commutes and desk work reduce activity — together producing hard stool and straining.</w:t>
            </w:r>
          </w:p>
          <w:p>
            <w:pPr>
              <w:spacing w:after="40" w:before="60" w:line="259" w:lineRule="auto"/>
            </w:pPr>
            <w:r>
              <w:rPr>
                <w:rFonts w:ascii="Calibri" w:hAnsi="Calibri"/>
                <w:b w:val="0"/>
                <w:i w:val="0"/>
                <w:color w:val="212121"/>
                <w:sz w:val="19"/>
              </w:rPr>
              <w:t>Low-fibre intake was documented in about 64.7–69.6% of Indian hemorrhoid patients and was significantly associated with more severe (Grade III–IV) disease (p = 0.01).</w:t>
            </w:r>
          </w:p>
          <w:p>
            <w:pPr>
              <w:spacing w:after="40" w:line="252" w:lineRule="auto"/>
            </w:pPr>
            <w:hyperlink r:id="rId9">
              <w:r>
                <w:rPr>
                  <w:rFonts w:ascii="Calibri" w:hAnsi="Calibri" w:cs="Calibri"/>
                  <w:sz w:val="18"/>
                  <w:color w:val="1155CC"/>
                  <w:u w:val="single"/>
                </w:rPr>
                <w:t xml:space="preserve">J Popul Ther Clin Pharmacol — low fibre &amp; severity</w:t>
              </w:r>
            </w:hyperlink>
          </w:p>
          <w:p>
            <w:pPr>
              <w:spacing w:before="60" w:after="40"/>
            </w:pPr>
            <w:r>
              <w:rPr>
                <w:rFonts w:ascii="Calibri" w:hAnsi="Calibri"/>
                <w:b w:val="0"/>
                <w:i w:val="0"/>
                <w:color w:val="5A5A5A"/>
                <w:sz w:val="18"/>
              </w:rPr>
              <w:t>#urbandiet  #lowfibre  #maida  #refinedcarbs  #constipation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 / residence</w:t>
            </w:r>
          </w:p>
        </w:tc>
        <w:tc>
          <w:tcPr>
            <w:tcW w:type="dxa" w:w="2160"/>
            <w:vAlign w:val="top"/>
          </w:tcPr>
          <w:p>
            <w:pPr>
              <w:spacing w:after="40" w:before="0" w:line="259" w:lineRule="auto"/>
            </w:pPr>
            <w:r>
              <w:rPr>
                <w:rFonts w:ascii="Calibri" w:hAnsi="Calibri"/>
                <w:b w:val="0"/>
                <w:i w:val="0"/>
                <w:color w:val="212121"/>
                <w:sz w:val="19"/>
              </w:rPr>
              <w:t>Manual labourers, drivers, prolonged sitters/standers</w:t>
            </w:r>
          </w:p>
        </w:tc>
        <w:tc>
          <w:tcPr>
            <w:tcW w:type="dxa" w:w="4276"/>
            <w:vAlign w:val="top"/>
          </w:tcPr>
          <w:p>
            <w:pPr>
              <w:spacing w:after="60" w:line="259" w:lineRule="auto"/>
            </w:pPr>
            <w:r>
              <w:rPr>
                <w:rFonts w:ascii="Calibri" w:hAnsi="Calibri"/>
                <w:b w:val="0"/>
                <w:i w:val="0"/>
                <w:color w:val="212121"/>
                <w:sz w:val="19"/>
              </w:rPr>
              <w:t>Occupations involving heavy lifting (raising intra-abdominal pressure) or prolonged sitting and standing (venous stasis) predispose to hemorrhoids; drivers and field labourers combine both with limited access to toilets and hydration.</w:t>
            </w:r>
          </w:p>
          <w:p>
            <w:pPr>
              <w:spacing w:after="40" w:before="60" w:line="259" w:lineRule="auto"/>
            </w:pPr>
            <w:r>
              <w:rPr>
                <w:rFonts w:ascii="Calibri" w:hAnsi="Calibri"/>
                <w:b w:val="0"/>
                <w:i w:val="0"/>
                <w:color w:val="212121"/>
                <w:sz w:val="19"/>
              </w:rPr>
              <w:t>In a Gujarat OPD series 43.14% of hemorrhoid patients were labourers; sedentary and prolonged-sitting occupations were also common.</w:t>
            </w:r>
          </w:p>
          <w:p>
            <w:pPr>
              <w:spacing w:after="40" w:line="252" w:lineRule="auto"/>
            </w:pPr>
            <w:hyperlink r:id="rId13">
              <w:r>
                <w:rPr>
                  <w:rFonts w:ascii="Calibri" w:hAnsi="Calibri" w:cs="Calibri"/>
                  <w:sz w:val="18"/>
                  <w:color w:val="1155CC"/>
                  <w:u w:val="single"/>
                </w:rPr>
                <w:t xml:space="preserve">J Contemp Clin Pract — Mehsana, Gujarat determinants</w:t>
              </w:r>
            </w:hyperlink>
          </w:p>
          <w:p>
            <w:pPr>
              <w:spacing w:before="60" w:after="40"/>
            </w:pPr>
            <w:r>
              <w:rPr>
                <w:rFonts w:ascii="Calibri" w:hAnsi="Calibri"/>
                <w:b w:val="0"/>
                <w:i w:val="0"/>
                <w:color w:val="5A5A5A"/>
                <w:sz w:val="18"/>
              </w:rPr>
              <w:t>#labourers  #drivers  #prolongedsitting  #heavylifting  #venousstasis</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Office workers, homemakers, physically inactive adults</w:t>
            </w:r>
          </w:p>
        </w:tc>
        <w:tc>
          <w:tcPr>
            <w:tcW w:type="dxa" w:w="4276"/>
            <w:vAlign w:val="top"/>
          </w:tcPr>
          <w:p>
            <w:pPr>
              <w:spacing w:after="60" w:line="259" w:lineRule="auto"/>
            </w:pPr>
            <w:r>
              <w:rPr>
                <w:rFonts w:ascii="Calibri" w:hAnsi="Calibri"/>
                <w:b w:val="0"/>
                <w:i w:val="0"/>
                <w:color w:val="212121"/>
                <w:sz w:val="19"/>
              </w:rPr>
              <w:t>Physical inactivity slows colonic transit and, with prolonged sitting, promotes venous congestion of the anal cushions and constipation, both of which drive hemorrhoidal engorgement and straining.</w:t>
            </w:r>
          </w:p>
          <w:p>
            <w:pPr>
              <w:spacing w:after="40" w:before="60" w:line="259" w:lineRule="auto"/>
            </w:pPr>
            <w:r>
              <w:rPr>
                <w:rFonts w:ascii="Calibri" w:hAnsi="Calibri"/>
                <w:b w:val="0"/>
                <w:i w:val="0"/>
                <w:color w:val="212121"/>
                <w:sz w:val="19"/>
              </w:rPr>
              <w:t>A sedentary lifestyle was present in 59.6% of Indian hemorrhoid patients and was significantly associated with severe disease (p = 0.02).</w:t>
            </w:r>
          </w:p>
          <w:p>
            <w:pPr>
              <w:spacing w:after="40" w:line="252" w:lineRule="auto"/>
            </w:pPr>
            <w:hyperlink r:id="rId9">
              <w:r>
                <w:rPr>
                  <w:rFonts w:ascii="Calibri" w:hAnsi="Calibri" w:cs="Calibri"/>
                  <w:sz w:val="18"/>
                  <w:color w:val="1155CC"/>
                  <w:u w:val="single"/>
                </w:rPr>
                <w:t xml:space="preserve">J Popul Ther Clin Pharmacol — sedentary &amp; severity</w:t>
              </w:r>
            </w:hyperlink>
          </w:p>
          <w:p>
            <w:pPr>
              <w:spacing w:before="60" w:after="40"/>
            </w:pPr>
            <w:r>
              <w:rPr>
                <w:rFonts w:ascii="Calibri" w:hAnsi="Calibri"/>
                <w:b w:val="0"/>
                <w:i w:val="0"/>
                <w:color w:val="5A5A5A"/>
                <w:sz w:val="18"/>
              </w:rPr>
              <w:t>#sedentary  #inactivity  #slowtransit  #venouscongestion  #deskjob</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Toileting behaviour</w:t>
            </w:r>
          </w:p>
        </w:tc>
        <w:tc>
          <w:tcPr>
            <w:tcW w:type="dxa" w:w="2160"/>
            <w:vAlign w:val="top"/>
          </w:tcPr>
          <w:p>
            <w:pPr>
              <w:spacing w:after="40" w:before="0" w:line="259" w:lineRule="auto"/>
            </w:pPr>
            <w:r>
              <w:rPr>
                <w:rFonts w:ascii="Calibri" w:hAnsi="Calibri"/>
                <w:b w:val="0"/>
                <w:i w:val="0"/>
                <w:color w:val="212121"/>
                <w:sz w:val="19"/>
              </w:rPr>
              <w:t>Prolonged-toilet-time &amp; habitual strainers</w:t>
            </w:r>
          </w:p>
        </w:tc>
        <w:tc>
          <w:tcPr>
            <w:tcW w:type="dxa" w:w="4276"/>
            <w:vAlign w:val="top"/>
          </w:tcPr>
          <w:p>
            <w:pPr>
              <w:spacing w:after="60" w:line="259" w:lineRule="auto"/>
            </w:pPr>
            <w:r>
              <w:rPr>
                <w:rFonts w:ascii="Calibri" w:hAnsi="Calibri"/>
                <w:b w:val="0"/>
                <w:i w:val="0"/>
                <w:color w:val="212121"/>
                <w:sz w:val="19"/>
              </w:rPr>
              <w:t>Spending long periods on the toilet and straining to defecate sustains downward pressure and venous congestion on the anal cushions, promoting their engorgement and prolapse.</w:t>
            </w:r>
          </w:p>
          <w:p>
            <w:pPr>
              <w:spacing w:after="40" w:before="60" w:line="259" w:lineRule="auto"/>
            </w:pPr>
            <w:r>
              <w:rPr>
                <w:rFonts w:ascii="Calibri" w:hAnsi="Calibri"/>
                <w:b w:val="0"/>
                <w:i w:val="0"/>
                <w:color w:val="212121"/>
                <w:sz w:val="19"/>
              </w:rPr>
              <w:t>Prolonged toilet duration (&gt;10 min) and straining during defecation were each present in about 74.5% of Indian hemorrhoid patients; straining ~25% of the time raises risk (OR 1.58).</w:t>
            </w:r>
          </w:p>
          <w:p>
            <w:pPr>
              <w:spacing w:after="40" w:line="252" w:lineRule="auto"/>
            </w:pPr>
            <w:hyperlink r:id="rId13">
              <w:r>
                <w:rPr>
                  <w:rFonts w:ascii="Calibri" w:hAnsi="Calibri" w:cs="Calibri"/>
                  <w:sz w:val="18"/>
                  <w:color w:val="1155CC"/>
                  <w:u w:val="single"/>
                </w:rPr>
                <w:t xml:space="preserve">J Contemp Clin Pract — straining &amp; toilet time</w:t>
              </w:r>
            </w:hyperlink>
          </w:p>
          <w:p>
            <w:pPr>
              <w:spacing w:before="60" w:after="40"/>
            </w:pPr>
            <w:r>
              <w:rPr>
                <w:rFonts w:ascii="Calibri" w:hAnsi="Calibri"/>
                <w:b w:val="0"/>
                <w:i w:val="0"/>
                <w:color w:val="5A5A5A"/>
                <w:sz w:val="18"/>
              </w:rPr>
              <w:t>#straining  #toilettime  #smartphonetoilet  #valsalva  #prolapse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Chronic smokers with cough</w:t>
            </w:r>
          </w:p>
        </w:tc>
        <w:tc>
          <w:tcPr>
            <w:tcW w:type="dxa" w:w="4276"/>
            <w:vAlign w:val="top"/>
          </w:tcPr>
          <w:p>
            <w:pPr>
              <w:spacing w:after="60" w:line="259" w:lineRule="auto"/>
            </w:pPr>
            <w:r>
              <w:rPr>
                <w:rFonts w:ascii="Calibri" w:hAnsi="Calibri"/>
                <w:b w:val="0"/>
                <w:i w:val="0"/>
                <w:color w:val="212121"/>
                <w:sz w:val="19"/>
              </w:rPr>
              <w:t>Smoking-related chronic cough and COPD raise intra-abdominal pressure and can aggravate hemorrhoidal engorgement, though a direct causal association is weak.</w:t>
            </w:r>
          </w:p>
          <w:p>
            <w:pPr>
              <w:spacing w:after="40" w:before="60" w:line="259" w:lineRule="auto"/>
            </w:pPr>
            <w:r>
              <w:rPr>
                <w:rFonts w:ascii="Calibri" w:hAnsi="Calibri"/>
                <w:b w:val="0"/>
                <w:i w:val="0"/>
                <w:color w:val="212121"/>
                <w:sz w:val="19"/>
              </w:rPr>
              <w:t>Smoking was recorded in about 14.7–21.7% of Indian hemorrhoid patients but was not significantly associated with disease severity (p = 0.56).</w:t>
            </w:r>
          </w:p>
          <w:p>
            <w:pPr>
              <w:spacing w:after="40" w:line="252" w:lineRule="auto"/>
            </w:pPr>
            <w:hyperlink r:id="rId9">
              <w:r>
                <w:rPr>
                  <w:rFonts w:ascii="Calibri" w:hAnsi="Calibri" w:cs="Calibri"/>
                  <w:sz w:val="18"/>
                  <w:color w:val="1155CC"/>
                  <w:u w:val="single"/>
                </w:rPr>
                <w:t xml:space="preserve">J Popul Ther Clin Pharmacol — smoking (non-significant)</w:t>
              </w:r>
            </w:hyperlink>
          </w:p>
          <w:p>
            <w:pPr>
              <w:spacing w:before="60" w:after="40"/>
            </w:pPr>
            <w:r>
              <w:rPr>
                <w:rFonts w:ascii="Calibri" w:hAnsi="Calibri"/>
                <w:b w:val="0"/>
                <w:i w:val="0"/>
                <w:color w:val="5A5A5A"/>
                <w:sz w:val="18"/>
              </w:rPr>
              <w:t>#smoking  #chroniccough  #copd  #intraabdominalpressure  #weaklink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Regular / heavy drinkers</w:t>
            </w:r>
          </w:p>
        </w:tc>
        <w:tc>
          <w:tcPr>
            <w:tcW w:type="dxa" w:w="4276"/>
            <w:vAlign w:val="top"/>
          </w:tcPr>
          <w:p>
            <w:pPr>
              <w:spacing w:after="60" w:line="259" w:lineRule="auto"/>
            </w:pPr>
            <w:r>
              <w:rPr>
                <w:rFonts w:ascii="Calibri" w:hAnsi="Calibri"/>
                <w:b w:val="0"/>
                <w:i w:val="0"/>
                <w:color w:val="212121"/>
                <w:sz w:val="19"/>
              </w:rPr>
              <w:t>Alcohol causes dehydration and can alter bowel habit (constipation or diarrhoea), indirectly aggravating hemorrhoids, but is not an independent driver of disease severity.</w:t>
            </w:r>
          </w:p>
          <w:p>
            <w:pPr>
              <w:spacing w:after="40" w:before="60" w:line="259" w:lineRule="auto"/>
            </w:pPr>
            <w:r>
              <w:rPr>
                <w:rFonts w:ascii="Calibri" w:hAnsi="Calibri"/>
                <w:b w:val="0"/>
                <w:i w:val="0"/>
                <w:color w:val="212121"/>
                <w:sz w:val="19"/>
              </w:rPr>
              <w:t>Alcohol use was present in about 15.7–20% of Indian hemorrhoid patients and was not significantly associated with severity (p = 0.62).</w:t>
            </w:r>
          </w:p>
          <w:p>
            <w:pPr>
              <w:spacing w:after="40" w:line="252" w:lineRule="auto"/>
            </w:pPr>
            <w:hyperlink r:id="rId9">
              <w:r>
                <w:rPr>
                  <w:rFonts w:ascii="Calibri" w:hAnsi="Calibri" w:cs="Calibri"/>
                  <w:sz w:val="18"/>
                  <w:color w:val="1155CC"/>
                  <w:u w:val="single"/>
                </w:rPr>
                <w:t xml:space="preserve">J Popul Ther Clin Pharmacol — alcohol (non-significant)</w:t>
              </w:r>
            </w:hyperlink>
          </w:p>
          <w:p>
            <w:pPr>
              <w:spacing w:before="60" w:after="40"/>
            </w:pPr>
            <w:r>
              <w:rPr>
                <w:rFonts w:ascii="Calibri" w:hAnsi="Calibri"/>
                <w:b w:val="0"/>
                <w:i w:val="0"/>
                <w:color w:val="5A5A5A"/>
                <w:sz w:val="18"/>
              </w:rPr>
              <w:t>#alcohol  #dehydration  #bowelhabit  #weaklink  #modifiable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Low fibre</w:t>
            </w:r>
          </w:p>
        </w:tc>
        <w:tc>
          <w:tcPr>
            <w:tcW w:type="dxa" w:w="2160"/>
            <w:vAlign w:val="top"/>
          </w:tcPr>
          <w:p>
            <w:pPr>
              <w:spacing w:after="40" w:before="0" w:line="259" w:lineRule="auto"/>
            </w:pPr>
            <w:r>
              <w:rPr>
                <w:rFonts w:ascii="Calibri" w:hAnsi="Calibri"/>
                <w:b w:val="0"/>
                <w:i w:val="0"/>
                <w:color w:val="212121"/>
                <w:sz w:val="19"/>
              </w:rPr>
              <w:t>Low-fibre, refined-cereal eaters</w:t>
            </w:r>
          </w:p>
        </w:tc>
        <w:tc>
          <w:tcPr>
            <w:tcW w:type="dxa" w:w="4276"/>
            <w:vAlign w:val="top"/>
          </w:tcPr>
          <w:p>
            <w:pPr>
              <w:spacing w:after="60" w:line="259" w:lineRule="auto"/>
            </w:pPr>
            <w:r>
              <w:rPr>
                <w:rFonts w:ascii="Calibri" w:hAnsi="Calibri"/>
                <w:b w:val="0"/>
                <w:i w:val="0"/>
                <w:color w:val="212121"/>
                <w:sz w:val="19"/>
              </w:rPr>
              <w:t>Inadequate dietary fibre produces hard, bulky-poor stool that requires straining to pass, the central dietary mechanism for hemorrhoids; fibre softens stool and reduces straining and bleeding.</w:t>
            </w:r>
          </w:p>
          <w:p>
            <w:pPr>
              <w:spacing w:after="40" w:before="60" w:line="259" w:lineRule="auto"/>
            </w:pPr>
            <w:r>
              <w:rPr>
                <w:rFonts w:ascii="Calibri" w:hAnsi="Calibri"/>
                <w:b w:val="0"/>
                <w:i w:val="0"/>
                <w:color w:val="212121"/>
                <w:sz w:val="19"/>
              </w:rPr>
              <w:t>Higher grain-fibre intake is protective (highest vs lowest quartile OR 0.78); low fibre was documented in ~65–70% of Indian hemorrhoid patients.</w:t>
            </w:r>
          </w:p>
          <w:p>
            <w:pPr>
              <w:spacing w:after="40" w:line="252" w:lineRule="auto"/>
            </w:pPr>
            <w:hyperlink r:id="rId14">
              <w:r>
                <w:rPr>
                  <w:rFonts w:ascii="Calibri" w:hAnsi="Calibri" w:cs="Calibri"/>
                  <w:sz w:val="18"/>
                  <w:color w:val="1155CC"/>
                  <w:u w:val="single"/>
                </w:rPr>
                <w:t xml:space="preserve">PLOS ONE — risk factors on screening colonoscopy</w:t>
              </w:r>
            </w:hyperlink>
          </w:p>
          <w:p>
            <w:pPr>
              <w:spacing w:before="60" w:after="40"/>
            </w:pPr>
            <w:r>
              <w:rPr>
                <w:rFonts w:ascii="Calibri" w:hAnsi="Calibri"/>
                <w:b w:val="0"/>
                <w:i w:val="0"/>
                <w:color w:val="5A5A5A"/>
                <w:sz w:val="18"/>
              </w:rPr>
              <w:t>#lowfibre  #hardstool  #fibreprotects  #wholegrains  #dietary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Hydration</w:t>
            </w:r>
          </w:p>
        </w:tc>
        <w:tc>
          <w:tcPr>
            <w:tcW w:type="dxa" w:w="2160"/>
            <w:vAlign w:val="top"/>
          </w:tcPr>
          <w:p>
            <w:pPr>
              <w:spacing w:after="40" w:before="0" w:line="259" w:lineRule="auto"/>
            </w:pPr>
            <w:r>
              <w:rPr>
                <w:rFonts w:ascii="Calibri" w:hAnsi="Calibri"/>
                <w:b w:val="0"/>
                <w:i w:val="0"/>
                <w:color w:val="212121"/>
                <w:sz w:val="19"/>
              </w:rPr>
              <w:t>Inadequate water intake</w:t>
            </w:r>
          </w:p>
        </w:tc>
        <w:tc>
          <w:tcPr>
            <w:tcW w:type="dxa" w:w="4276"/>
            <w:vAlign w:val="top"/>
          </w:tcPr>
          <w:p>
            <w:pPr>
              <w:spacing w:after="60" w:line="259" w:lineRule="auto"/>
            </w:pPr>
            <w:r>
              <w:rPr>
                <w:rFonts w:ascii="Calibri" w:hAnsi="Calibri"/>
                <w:b w:val="0"/>
                <w:i w:val="0"/>
                <w:color w:val="212121"/>
                <w:sz w:val="19"/>
              </w:rPr>
              <w:t>Poor fluid intake hardens stool and, combined with low fibre, promotes straining and hemorrhoidal congestion — particularly relevant in hot climates and among manual workers.</w:t>
            </w:r>
          </w:p>
          <w:p>
            <w:pPr>
              <w:spacing w:after="40" w:before="60" w:line="259" w:lineRule="auto"/>
            </w:pPr>
            <w:r>
              <w:rPr>
                <w:rFonts w:ascii="Calibri" w:hAnsi="Calibri"/>
                <w:b w:val="0"/>
                <w:i w:val="0"/>
                <w:color w:val="212121"/>
                <w:sz w:val="19"/>
              </w:rPr>
              <w:t>Inadequate water intake was reported in 43.1% of Indian hemorrhoid patients.</w:t>
            </w:r>
          </w:p>
          <w:p>
            <w:pPr>
              <w:spacing w:after="40" w:line="252" w:lineRule="auto"/>
            </w:pPr>
            <w:hyperlink r:id="rId13">
              <w:r>
                <w:rPr>
                  <w:rFonts w:ascii="Calibri" w:hAnsi="Calibri" w:cs="Calibri"/>
                  <w:sz w:val="18"/>
                  <w:color w:val="1155CC"/>
                  <w:u w:val="single"/>
                </w:rPr>
                <w:t xml:space="preserve">J Contemp Clin Pract — inadequate hydration</w:t>
              </w:r>
            </w:hyperlink>
          </w:p>
          <w:p>
            <w:pPr>
              <w:spacing w:before="60" w:after="40"/>
            </w:pPr>
            <w:r>
              <w:rPr>
                <w:rFonts w:ascii="Calibri" w:hAnsi="Calibri"/>
                <w:b w:val="0"/>
                <w:i w:val="0"/>
                <w:color w:val="5A5A5A"/>
                <w:sz w:val="18"/>
              </w:rPr>
              <w:t>#hydration  #water  #hardstool  #hotclimate  #dietary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Spicy / non-vegetarian diet</w:t>
            </w:r>
          </w:p>
        </w:tc>
        <w:tc>
          <w:tcPr>
            <w:tcW w:type="dxa" w:w="2160"/>
            <w:vAlign w:val="top"/>
          </w:tcPr>
          <w:p>
            <w:pPr>
              <w:spacing w:after="40" w:before="0" w:line="259" w:lineRule="auto"/>
            </w:pPr>
            <w:r>
              <w:rPr>
                <w:rFonts w:ascii="Calibri" w:hAnsi="Calibri"/>
                <w:b w:val="0"/>
                <w:i w:val="0"/>
                <w:color w:val="212121"/>
                <w:sz w:val="19"/>
              </w:rPr>
              <w:t>Daily spicy-food &amp; mixed-diet consumers</w:t>
            </w:r>
          </w:p>
        </w:tc>
        <w:tc>
          <w:tcPr>
            <w:tcW w:type="dxa" w:w="4276"/>
            <w:vAlign w:val="top"/>
          </w:tcPr>
          <w:p>
            <w:pPr>
              <w:spacing w:after="60" w:line="259" w:lineRule="auto"/>
            </w:pPr>
            <w:r>
              <w:rPr>
                <w:rFonts w:ascii="Calibri" w:hAnsi="Calibri"/>
                <w:b w:val="0"/>
                <w:i w:val="0"/>
                <w:color w:val="212121"/>
                <w:sz w:val="19"/>
              </w:rPr>
              <w:t>Frequent chillies and spicy food can aggravate anal itching, burning and discomfort and may worsen symptoms, while low-fibre non-vegetarian meals contribute to constipation.</w:t>
            </w:r>
          </w:p>
          <w:p>
            <w:pPr>
              <w:spacing w:after="40" w:before="60" w:line="259" w:lineRule="auto"/>
            </w:pPr>
            <w:r>
              <w:rPr>
                <w:rFonts w:ascii="Calibri" w:hAnsi="Calibri"/>
                <w:b w:val="0"/>
                <w:i w:val="0"/>
                <w:color w:val="212121"/>
                <w:sz w:val="19"/>
              </w:rPr>
              <w:t>Daily spicy-food consumption was reported by 54.9% of Indian hemorrhoid patients; a majority followed a mixed (non-vegetarian) diet.</w:t>
            </w:r>
          </w:p>
          <w:p>
            <w:pPr>
              <w:spacing w:after="40" w:line="252" w:lineRule="auto"/>
            </w:pPr>
            <w:hyperlink r:id="rId13">
              <w:r>
                <w:rPr>
                  <w:rFonts w:ascii="Calibri" w:hAnsi="Calibri" w:cs="Calibri"/>
                  <w:sz w:val="18"/>
                  <w:color w:val="1155CC"/>
                  <w:u w:val="single"/>
                </w:rPr>
                <w:t xml:space="preserve">J Contemp Clin Pract — spicy-food consumption</w:t>
              </w:r>
            </w:hyperlink>
          </w:p>
          <w:p>
            <w:pPr>
              <w:spacing w:before="60" w:after="40"/>
            </w:pPr>
            <w:r>
              <w:rPr>
                <w:rFonts w:ascii="Calibri" w:hAnsi="Calibri"/>
                <w:b w:val="0"/>
                <w:i w:val="0"/>
                <w:color w:val="5A5A5A"/>
                <w:sz w:val="18"/>
              </w:rPr>
              <w:t>#spicyfood  #chilli  #pruritus  #nonveg  #aggravation</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piles</w:t>
            </w:r>
          </w:p>
        </w:tc>
        <w:tc>
          <w:tcPr>
            <w:tcW w:type="dxa" w:w="4276"/>
            <w:vAlign w:val="top"/>
          </w:tcPr>
          <w:p>
            <w:pPr>
              <w:spacing w:after="60" w:line="259" w:lineRule="auto"/>
            </w:pPr>
            <w:r>
              <w:rPr>
                <w:rFonts w:ascii="Calibri" w:hAnsi="Calibri"/>
                <w:b w:val="0"/>
                <w:i w:val="0"/>
                <w:color w:val="212121"/>
                <w:sz w:val="19"/>
              </w:rPr>
              <w:t>Inherited connective-tissue laxity of the anal-cushion support, together with a shared low-fibre diet and toileting habits within families, increases individual susceptibility.</w:t>
            </w:r>
          </w:p>
          <w:p>
            <w:pPr>
              <w:spacing w:after="40" w:before="60" w:line="259" w:lineRule="auto"/>
            </w:pPr>
            <w:r>
              <w:rPr>
                <w:rFonts w:ascii="Calibri" w:hAnsi="Calibri"/>
                <w:b w:val="0"/>
                <w:i w:val="0"/>
                <w:color w:val="212121"/>
                <w:sz w:val="19"/>
              </w:rPr>
              <w:t>A positive family history was reported in about 31% of Indian hemorrhoid patients (and up to 47.6% of affected women in one series).</w:t>
            </w:r>
          </w:p>
          <w:p>
            <w:pPr>
              <w:spacing w:after="40" w:line="252" w:lineRule="auto"/>
            </w:pPr>
            <w:hyperlink r:id="rId15">
              <w:r>
                <w:rPr>
                  <w:rFonts w:ascii="Calibri" w:hAnsi="Calibri" w:cs="Calibri"/>
                  <w:sz w:val="18"/>
                  <w:color w:val="1155CC"/>
                  <w:u w:val="single"/>
                </w:rPr>
                <w:t xml:space="preserve">Int Surg J — Kurnool (family history)</w:t>
              </w:r>
            </w:hyperlink>
          </w:p>
          <w:p>
            <w:pPr>
              <w:spacing w:before="60" w:after="40"/>
            </w:pPr>
            <w:r>
              <w:rPr>
                <w:rFonts w:ascii="Calibri" w:hAnsi="Calibri"/>
                <w:b w:val="0"/>
                <w:i w:val="0"/>
                <w:color w:val="5A5A5A"/>
                <w:sz w:val="18"/>
              </w:rPr>
              <w:t>#familyhistory  #connectivetissue  #inherited  #sharedhabits  #genetics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Chronic constipation</w:t>
            </w:r>
          </w:p>
        </w:tc>
        <w:tc>
          <w:tcPr>
            <w:tcW w:type="dxa" w:w="2160"/>
            <w:vAlign w:val="top"/>
          </w:tcPr>
          <w:p>
            <w:pPr>
              <w:spacing w:after="40" w:before="0" w:line="259" w:lineRule="auto"/>
            </w:pPr>
            <w:r>
              <w:rPr>
                <w:rFonts w:ascii="Calibri" w:hAnsi="Calibri"/>
                <w:b w:val="0"/>
                <w:i w:val="0"/>
                <w:color w:val="212121"/>
                <w:sz w:val="19"/>
              </w:rPr>
              <w:t>Patients with chronic constipation / IBS-C</w:t>
            </w:r>
          </w:p>
        </w:tc>
        <w:tc>
          <w:tcPr>
            <w:tcW w:type="dxa" w:w="4276"/>
            <w:vAlign w:val="top"/>
          </w:tcPr>
          <w:p>
            <w:pPr>
              <w:spacing w:after="60" w:line="259" w:lineRule="auto"/>
            </w:pPr>
            <w:r>
              <w:rPr>
                <w:rFonts w:ascii="Calibri" w:hAnsi="Calibri"/>
                <w:b w:val="0"/>
                <w:i w:val="0"/>
                <w:color w:val="212121"/>
                <w:sz w:val="19"/>
              </w:rPr>
              <w:t>Chronic constipation is the dominant medical driver: infrequent, hard stools and repeated straining engorge and traumatise the anal cushions, causing bleeding and prolapse.</w:t>
            </w:r>
          </w:p>
          <w:p>
            <w:pPr>
              <w:spacing w:after="40" w:before="60" w:line="259" w:lineRule="auto"/>
            </w:pPr>
            <w:r>
              <w:rPr>
                <w:rFonts w:ascii="Calibri" w:hAnsi="Calibri"/>
                <w:b w:val="0"/>
                <w:i w:val="0"/>
                <w:color w:val="212121"/>
                <w:sz w:val="19"/>
              </w:rPr>
              <w:t>Constipation was present in 57.5–78.4% of Indian hemorrhoid patients and independently raises risk (OR 1.43); it was significantly linked to severe disease (p = 0.003).</w:t>
            </w:r>
          </w:p>
          <w:p>
            <w:pPr>
              <w:spacing w:after="40" w:line="252" w:lineRule="auto"/>
            </w:pPr>
            <w:hyperlink r:id="rId9">
              <w:r>
                <w:rPr>
                  <w:rFonts w:ascii="Calibri" w:hAnsi="Calibri" w:cs="Calibri"/>
                  <w:sz w:val="18"/>
                  <w:color w:val="1155CC"/>
                  <w:u w:val="single"/>
                </w:rPr>
                <w:t xml:space="preserve">J Popul Ther Clin Pharmacol — constipation &amp; severity</w:t>
              </w:r>
            </w:hyperlink>
          </w:p>
          <w:p>
            <w:pPr>
              <w:spacing w:before="60" w:after="40"/>
            </w:pPr>
            <w:r>
              <w:rPr>
                <w:rFonts w:ascii="Calibri" w:hAnsi="Calibri"/>
                <w:b w:val="0"/>
                <w:i w:val="0"/>
                <w:color w:val="5A5A5A"/>
                <w:sz w:val="18"/>
              </w:rPr>
              <w:t>#constipation  #ibsc  #straining  #hardstool  #primarydriver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Obesity</w:t>
            </w:r>
          </w:p>
        </w:tc>
        <w:tc>
          <w:tcPr>
            <w:tcW w:type="dxa" w:w="2160"/>
            <w:vAlign w:val="top"/>
          </w:tcPr>
          <w:p>
            <w:pPr>
              <w:spacing w:after="40" w:before="0" w:line="259" w:lineRule="auto"/>
            </w:pPr>
            <w:r>
              <w:rPr>
                <w:rFonts w:ascii="Calibri" w:hAnsi="Calibri"/>
                <w:b w:val="0"/>
                <w:i w:val="0"/>
                <w:color w:val="212121"/>
                <w:sz w:val="19"/>
              </w:rPr>
              <w:t>Overweight &amp; obese adults</w:t>
            </w:r>
          </w:p>
        </w:tc>
        <w:tc>
          <w:tcPr>
            <w:tcW w:type="dxa" w:w="4276"/>
            <w:vAlign w:val="top"/>
          </w:tcPr>
          <w:p>
            <w:pPr>
              <w:spacing w:after="60" w:line="259" w:lineRule="auto"/>
            </w:pPr>
            <w:r>
              <w:rPr>
                <w:rFonts w:ascii="Calibri" w:hAnsi="Calibri"/>
                <w:b w:val="0"/>
                <w:i w:val="0"/>
                <w:color w:val="212121"/>
                <w:sz w:val="19"/>
              </w:rPr>
              <w:t>Excess weight raises intra-abdominal pressure and is associated with constipation and sedentary behaviour, all of which increase hemorrhoidal engorgement.</w:t>
            </w:r>
          </w:p>
          <w:p>
            <w:pPr>
              <w:spacing w:after="40" w:before="60" w:line="259" w:lineRule="auto"/>
            </w:pPr>
            <w:r>
              <w:rPr>
                <w:rFonts w:ascii="Calibri" w:hAnsi="Calibri"/>
                <w:b w:val="0"/>
                <w:i w:val="0"/>
                <w:color w:val="212121"/>
                <w:sz w:val="19"/>
              </w:rPr>
              <w:t>BMI is an independent risk factor — each one-unit rise increased hemorrhoid risk by about 3.5%; obesity was present in 17.6–35.8% of Indian patients.</w:t>
            </w:r>
          </w:p>
          <w:p>
            <w:pPr>
              <w:spacing w:after="40" w:line="252" w:lineRule="auto"/>
            </w:pPr>
            <w:hyperlink r:id="rId16">
              <w:r>
                <w:rPr>
                  <w:rFonts w:ascii="Calibri" w:hAnsi="Calibri" w:cs="Calibri"/>
                  <w:sz w:val="18"/>
                  <w:color w:val="1155CC"/>
                  <w:u w:val="single"/>
                </w:rPr>
                <w:t xml:space="preserve">Riss et al — prevalence of hemorrhoids in adults</w:t>
              </w:r>
            </w:hyperlink>
          </w:p>
          <w:p>
            <w:pPr>
              <w:spacing w:before="60" w:after="40"/>
            </w:pPr>
            <w:r>
              <w:rPr>
                <w:rFonts w:ascii="Calibri" w:hAnsi="Calibri"/>
                <w:b w:val="0"/>
                <w:i w:val="0"/>
                <w:color w:val="5A5A5A"/>
                <w:sz w:val="18"/>
              </w:rPr>
              <w:t>#obesity  #highbmi  #intraabdominalpressure  #metabolic  #modifiable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Portal hypertension / cirrhosis</w:t>
            </w:r>
          </w:p>
        </w:tc>
        <w:tc>
          <w:tcPr>
            <w:tcW w:type="dxa" w:w="2160"/>
            <w:vAlign w:val="top"/>
          </w:tcPr>
          <w:p>
            <w:pPr>
              <w:spacing w:after="40" w:before="0" w:line="259" w:lineRule="auto"/>
            </w:pPr>
            <w:r>
              <w:rPr>
                <w:rFonts w:ascii="Calibri" w:hAnsi="Calibri"/>
                <w:b w:val="0"/>
                <w:i w:val="0"/>
                <w:color w:val="212121"/>
                <w:sz w:val="19"/>
              </w:rPr>
              <w:t>Patients with cirrhosis &amp; portal hypertension</w:t>
            </w:r>
          </w:p>
        </w:tc>
        <w:tc>
          <w:tcPr>
            <w:tcW w:type="dxa" w:w="4276"/>
            <w:vAlign w:val="top"/>
          </w:tcPr>
          <w:p>
            <w:pPr>
              <w:spacing w:after="60" w:line="259" w:lineRule="auto"/>
            </w:pPr>
            <w:r>
              <w:rPr>
                <w:rFonts w:ascii="Calibri" w:hAnsi="Calibri"/>
                <w:b w:val="0"/>
                <w:i w:val="0"/>
                <w:color w:val="212121"/>
                <w:sz w:val="19"/>
              </w:rPr>
              <w:t>Portal hypertension does NOT cause hemorrhoids; it produces distinct anorectal (rectal) varices via portosystemic anastomoses. Distinguishing the two is critical, as varices respond to treating the portal hypertension and can bleed massively.</w:t>
            </w:r>
          </w:p>
          <w:p>
            <w:pPr>
              <w:spacing w:after="40" w:before="60" w:line="259" w:lineRule="auto"/>
            </w:pPr>
            <w:r>
              <w:rPr>
                <w:rFonts w:ascii="Calibri" w:hAnsi="Calibri"/>
                <w:b w:val="0"/>
                <w:i w:val="0"/>
                <w:color w:val="212121"/>
                <w:sz w:val="19"/>
              </w:rPr>
              <w:t>Anorectal varices occur in 44–78% of patients with portal hypertension, whereas true hemorrhoids are no more common than in the general population.</w:t>
            </w:r>
          </w:p>
          <w:p>
            <w:pPr>
              <w:spacing w:after="40" w:line="252" w:lineRule="auto"/>
            </w:pPr>
            <w:hyperlink r:id="rId17">
              <w:r>
                <w:rPr>
                  <w:rFonts w:ascii="Calibri" w:hAnsi="Calibri" w:cs="Calibri"/>
                  <w:sz w:val="18"/>
                  <w:color w:val="1155CC"/>
                  <w:u w:val="single"/>
                </w:rPr>
                <w:t xml:space="preserve">Anorectal varices — vs hemorrhoids &amp; portal hypertension</w:t>
              </w:r>
            </w:hyperlink>
          </w:p>
          <w:p>
            <w:pPr>
              <w:spacing w:before="60" w:after="40"/>
            </w:pPr>
            <w:r>
              <w:rPr>
                <w:rFonts w:ascii="Calibri" w:hAnsi="Calibri"/>
                <w:b w:val="0"/>
                <w:i w:val="0"/>
                <w:color w:val="5A5A5A"/>
                <w:sz w:val="18"/>
              </w:rPr>
              <w:t>#portalhypertension  #rectalvarices  #cirrhosis  #differential  #massivebleed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cough / prostatism</w:t>
            </w:r>
          </w:p>
        </w:tc>
        <w:tc>
          <w:tcPr>
            <w:tcW w:type="dxa" w:w="2160"/>
            <w:vAlign w:val="top"/>
          </w:tcPr>
          <w:p>
            <w:pPr>
              <w:spacing w:after="40" w:before="0" w:line="259" w:lineRule="auto"/>
            </w:pPr>
            <w:r>
              <w:rPr>
                <w:rFonts w:ascii="Calibri" w:hAnsi="Calibri"/>
                <w:b w:val="0"/>
                <w:i w:val="0"/>
                <w:color w:val="212121"/>
                <w:sz w:val="19"/>
              </w:rPr>
              <w:t>COPD, chronic cough &amp; BPH patients</w:t>
            </w:r>
          </w:p>
        </w:tc>
        <w:tc>
          <w:tcPr>
            <w:tcW w:type="dxa" w:w="4276"/>
            <w:vAlign w:val="top"/>
          </w:tcPr>
          <w:p>
            <w:pPr>
              <w:spacing w:after="60" w:line="259" w:lineRule="auto"/>
            </w:pPr>
            <w:r>
              <w:rPr>
                <w:rFonts w:ascii="Calibri" w:hAnsi="Calibri"/>
                <w:b w:val="0"/>
                <w:i w:val="0"/>
                <w:color w:val="212121"/>
                <w:sz w:val="19"/>
              </w:rPr>
              <w:t>Conditions that force repeated straining or raise intra-abdominal pressure — chronic cough/COPD and straining to void with an enlarged prostate — promote cushion engorgement and prolapse.</w:t>
            </w:r>
          </w:p>
          <w:p>
            <w:pPr>
              <w:spacing w:after="40" w:before="60" w:line="259" w:lineRule="auto"/>
            </w:pPr>
            <w:r>
              <w:rPr>
                <w:rFonts w:ascii="Calibri" w:hAnsi="Calibri"/>
                <w:b w:val="0"/>
                <w:i w:val="0"/>
                <w:color w:val="212121"/>
                <w:sz w:val="19"/>
              </w:rPr>
              <w:t>Chronic cough and increased intra-abdominal pressure (COPD, enlarged prostate, ascites) are recognised contributors to hemorrhoidal disease.</w:t>
            </w:r>
          </w:p>
          <w:p>
            <w:pPr>
              <w:spacing w:after="40" w:line="252" w:lineRule="auto"/>
            </w:pPr>
            <w:hyperlink r:id="rId10">
              <w:r>
                <w:rPr>
                  <w:rFonts w:ascii="Calibri" w:hAnsi="Calibri" w:cs="Calibri"/>
                  <w:sz w:val="18"/>
                  <w:color w:val="1155CC"/>
                  <w:u w:val="single"/>
                </w:rPr>
                <w:t xml:space="preserve">StatPearls — raised intra-abdominal pressure states</w:t>
              </w:r>
            </w:hyperlink>
          </w:p>
          <w:p>
            <w:pPr>
              <w:spacing w:before="60" w:after="40"/>
            </w:pPr>
            <w:r>
              <w:rPr>
                <w:rFonts w:ascii="Calibri" w:hAnsi="Calibri"/>
                <w:b w:val="0"/>
                <w:i w:val="0"/>
                <w:color w:val="5A5A5A"/>
                <w:sz w:val="18"/>
              </w:rPr>
              <w:t>#copd  #chroniccough  #bph  #strainingtovoid  #intraabdominal</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Physical inactivity slows colonic transit and, with prolonged sitting, promotes venous congestion and constipation; a sedentary lifestyle was present in ~60% of Indian hemorrhoid patients and linked to more severe disease, while regular activity aids bowel regularity.</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 low-fibre, refined diet produces hard stool and straining — documented in ~65–70% of Indian patients; higher grain-fibre intake is protective (OR 0.78) and fibre supplementation reduces bleeding and symptoms in meta-analysis.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has no direct causal role; poor sleep can indirectly disturb bowel routine and toileting habits, but evidence linking it to hemorrhoids is minimal.</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Smoking-related chronic cough raises intra-abdominal pressure, but smoking was not significantly associated with hemorrhoid severity in Indian data (p = 0.56).</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causes dehydration and can alter bowel habit, indirectly aggravating symptoms, but was not significantly associated with disease severity (p = 0.62).</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Stress and anxiety can disturb bowel habit and prolong straining on the toilet; the effect on hemorrhoids is indirect and modest, though chronic symptoms reduce quality of life.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Adequate hydration softens stool and, combined with fibre, reduces straining; inadequate water intake was reported in ~43% of Indian hemorrhoid patients.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Excess caffeine has a mild diuretic effect that can harden stool if fluids are not replaced; direct evidence in hemorrhoids is limited.</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Good perianal hygiene relieves pruritus and moisture; over-vigorous wiping and harsh soaps can worsen anal irritation and excoriation around prolapsing hemorrhoids.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Straining, chronic constipation, prolonged toilet time, pregnancy and delivery, heavy lifting and chronic cough directly precipitate engorgement, prolapse, bleeding and thrombosis.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Prolonged sitting or standing occupations promote venous stasis; toilet posture matters too — a squatting position (or a foot-stool) straightens the anorectal angle and reduces straining compared with a high sitting toilet.</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fibre intake (g/day)</w:t>
            </w:r>
          </w:p>
        </w:tc>
        <w:tc>
          <w:tcPr>
            <w:tcW w:type="dxa" w:w="1655"/>
            <w:vAlign w:val="top"/>
          </w:tcPr>
          <w:p>
            <w:pPr>
              <w:spacing w:after="40" w:before="0" w:line="259" w:lineRule="auto"/>
            </w:pPr>
            <w:r>
              <w:rPr>
                <w:rFonts w:ascii="Calibri" w:hAnsi="Calibri"/>
                <w:b w:val="0"/>
                <w:i w:val="0"/>
                <w:color w:val="212121"/>
                <w:sz w:val="19"/>
              </w:rPr>
              <w:t>All adults, constipation-prone</w:t>
            </w:r>
          </w:p>
        </w:tc>
        <w:tc>
          <w:tcPr>
            <w:tcW w:type="dxa" w:w="1512"/>
            <w:vAlign w:val="top"/>
          </w:tcPr>
          <w:p>
            <w:pPr>
              <w:spacing w:after="40" w:before="0" w:line="259" w:lineRule="auto"/>
            </w:pPr>
            <w:r>
              <w:rPr>
                <w:rFonts w:ascii="Calibri" w:hAnsi="Calibri"/>
                <w:b w:val="0"/>
                <w:i w:val="0"/>
                <w:color w:val="212121"/>
                <w:sz w:val="19"/>
              </w:rPr>
              <w:t>25–35 g/day</w:t>
            </w:r>
          </w:p>
        </w:tc>
        <w:tc>
          <w:tcPr>
            <w:tcW w:type="dxa" w:w="1512"/>
            <w:vAlign w:val="top"/>
          </w:tcPr>
          <w:p>
            <w:pPr>
              <w:spacing w:after="40" w:before="0" w:line="259" w:lineRule="auto"/>
            </w:pPr>
            <w:r>
              <w:rPr>
                <w:rFonts w:ascii="Calibri" w:hAnsi="Calibri"/>
                <w:b w:val="0"/>
                <w:i w:val="0"/>
                <w:color w:val="212121"/>
                <w:sz w:val="19"/>
              </w:rPr>
              <w:t>&lt; 20 g/day</w:t>
            </w:r>
          </w:p>
        </w:tc>
        <w:tc>
          <w:tcPr>
            <w:tcW w:type="dxa" w:w="1468"/>
            <w:vAlign w:val="top"/>
          </w:tcPr>
          <w:p>
            <w:pPr>
              <w:spacing w:after="60" w:line="259" w:lineRule="auto"/>
            </w:pPr>
            <w:r>
              <w:rPr>
                <w:rFonts w:ascii="Calibri" w:hAnsi="Calibri"/>
                <w:b w:val="0"/>
                <w:i w:val="0"/>
                <w:color w:val="212121"/>
                <w:sz w:val="19"/>
              </w:rPr>
              <w:t>Low fibre hardens stool and drives straining; fibre reduces bleeding</w:t>
            </w:r>
          </w:p>
          <w:p>
            <w:pPr>
              <w:spacing w:after="40" w:line="252" w:lineRule="auto"/>
            </w:pPr>
            <w:hyperlink r:id="rId14">
              <w:r>
                <w:rPr>
                  <w:rFonts w:ascii="Calibri" w:hAnsi="Calibri" w:cs="Calibri"/>
                  <w:sz w:val="18"/>
                  <w:color w:val="1155CC"/>
                  <w:u w:val="single"/>
                </w:rPr>
                <w:t xml:space="preserve">https://pmc.ncbi.nlm.nih.gov/articles/PMC4583402/</w:t>
              </w:r>
            </w:hyperlink>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Fluid intake (L/day)</w:t>
            </w:r>
          </w:p>
        </w:tc>
        <w:tc>
          <w:tcPr>
            <w:tcW w:type="dxa" w:w="1655"/>
            <w:vAlign w:val="top"/>
          </w:tcPr>
          <w:p>
            <w:pPr>
              <w:spacing w:after="40" w:before="0" w:line="259" w:lineRule="auto"/>
            </w:pPr>
            <w:r>
              <w:rPr>
                <w:rFonts w:ascii="Calibri" w:hAnsi="Calibri"/>
                <w:b w:val="0"/>
                <w:i w:val="0"/>
                <w:color w:val="212121"/>
                <w:sz w:val="19"/>
              </w:rPr>
              <w:t>Adults, manual workers, hot climate</w:t>
            </w:r>
          </w:p>
        </w:tc>
        <w:tc>
          <w:tcPr>
            <w:tcW w:type="dxa" w:w="1512"/>
            <w:vAlign w:val="top"/>
          </w:tcPr>
          <w:p>
            <w:pPr>
              <w:spacing w:after="40" w:before="0" w:line="259" w:lineRule="auto"/>
            </w:pPr>
            <w:r>
              <w:rPr>
                <w:rFonts w:ascii="Calibri" w:hAnsi="Calibri"/>
                <w:b w:val="0"/>
                <w:i w:val="0"/>
                <w:color w:val="212121"/>
                <w:sz w:val="19"/>
              </w:rPr>
              <w:t>2–3 L/day</w:t>
            </w:r>
          </w:p>
        </w:tc>
        <w:tc>
          <w:tcPr>
            <w:tcW w:type="dxa" w:w="1512"/>
            <w:vAlign w:val="top"/>
          </w:tcPr>
          <w:p>
            <w:pPr>
              <w:spacing w:after="40" w:before="0" w:line="259" w:lineRule="auto"/>
            </w:pPr>
            <w:r>
              <w:rPr>
                <w:rFonts w:ascii="Calibri" w:hAnsi="Calibri"/>
                <w:b w:val="0"/>
                <w:i w:val="0"/>
                <w:color w:val="212121"/>
                <w:sz w:val="19"/>
              </w:rPr>
              <w:t>&lt; 1.5 L/day</w:t>
            </w:r>
          </w:p>
        </w:tc>
        <w:tc>
          <w:tcPr>
            <w:tcW w:type="dxa" w:w="1468"/>
            <w:vAlign w:val="top"/>
          </w:tcPr>
          <w:p>
            <w:pPr>
              <w:spacing w:after="60" w:line="259" w:lineRule="auto"/>
            </w:pPr>
            <w:r>
              <w:rPr>
                <w:rFonts w:ascii="Calibri" w:hAnsi="Calibri"/>
                <w:b w:val="0"/>
                <w:i w:val="0"/>
                <w:color w:val="212121"/>
                <w:sz w:val="19"/>
              </w:rPr>
              <w:t>Adequate fluid with fibre softens stool and eases straining</w:t>
            </w:r>
          </w:p>
          <w:p>
            <w:pPr>
              <w:spacing w:after="40" w:line="252" w:lineRule="auto"/>
            </w:pPr>
            <w:hyperlink r:id="rId13">
              <w:r>
                <w:rPr>
                  <w:rFonts w:ascii="Calibri" w:hAnsi="Calibri" w:cs="Calibri"/>
                  <w:sz w:val="18"/>
                  <w:color w:val="1155CC"/>
                  <w:u w:val="single"/>
                </w:rPr>
                <w:t xml:space="preserve">https://jccpractice.com/article/prevalence-and-determinants-of-haemorrhoids-among-patients-attending-general-surgery-department-of-a-tertiary-care-hospital-1012/</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Stool consistency (Bristol scale)</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Bristol type 3–4 (soft, formed)</w:t>
            </w:r>
          </w:p>
        </w:tc>
        <w:tc>
          <w:tcPr>
            <w:tcW w:type="dxa" w:w="1512"/>
            <w:vAlign w:val="top"/>
          </w:tcPr>
          <w:p>
            <w:pPr>
              <w:spacing w:after="40" w:before="0" w:line="259" w:lineRule="auto"/>
            </w:pPr>
            <w:r>
              <w:rPr>
                <w:rFonts w:ascii="Calibri" w:hAnsi="Calibri"/>
                <w:b w:val="0"/>
                <w:i w:val="0"/>
                <w:color w:val="212121"/>
                <w:sz w:val="19"/>
              </w:rPr>
              <w:t>Bristol type 1–2 (hard, lumpy)</w:t>
            </w:r>
          </w:p>
        </w:tc>
        <w:tc>
          <w:tcPr>
            <w:tcW w:type="dxa" w:w="1468"/>
            <w:vAlign w:val="top"/>
          </w:tcPr>
          <w:p>
            <w:pPr>
              <w:spacing w:after="40" w:before="0" w:line="259" w:lineRule="auto"/>
            </w:pPr>
            <w:r>
              <w:rPr>
                <w:rFonts w:ascii="Calibri" w:hAnsi="Calibri"/>
                <w:b w:val="0"/>
                <w:i w:val="0"/>
                <w:color w:val="212121"/>
                <w:sz w:val="19"/>
              </w:rPr>
              <w:t>Hard stool (type 1–2) traumatises cushions and provokes bleeding</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Time spent on the toilet (min/visit)</w:t>
            </w:r>
          </w:p>
        </w:tc>
        <w:tc>
          <w:tcPr>
            <w:tcW w:type="dxa" w:w="1655"/>
            <w:vAlign w:val="top"/>
          </w:tcPr>
          <w:p>
            <w:pPr>
              <w:spacing w:after="40" w:before="0" w:line="259" w:lineRule="auto"/>
            </w:pPr>
            <w:r>
              <w:rPr>
                <w:rFonts w:ascii="Calibri" w:hAnsi="Calibri"/>
                <w:b w:val="0"/>
                <w:i w:val="0"/>
                <w:color w:val="212121"/>
                <w:sz w:val="19"/>
              </w:rPr>
              <w:t>Habitual strainers, smartphone users</w:t>
            </w:r>
          </w:p>
        </w:tc>
        <w:tc>
          <w:tcPr>
            <w:tcW w:type="dxa" w:w="1512"/>
            <w:vAlign w:val="top"/>
          </w:tcPr>
          <w:p>
            <w:pPr>
              <w:spacing w:after="40" w:before="0" w:line="259" w:lineRule="auto"/>
            </w:pPr>
            <w:r>
              <w:rPr>
                <w:rFonts w:ascii="Calibri" w:hAnsi="Calibri"/>
                <w:b w:val="0"/>
                <w:i w:val="0"/>
                <w:color w:val="212121"/>
                <w:sz w:val="19"/>
              </w:rPr>
              <w:t>&lt; 3–5 min, no straining</w:t>
            </w:r>
          </w:p>
        </w:tc>
        <w:tc>
          <w:tcPr>
            <w:tcW w:type="dxa" w:w="1512"/>
            <w:vAlign w:val="top"/>
          </w:tcPr>
          <w:p>
            <w:pPr>
              <w:spacing w:after="40" w:before="0" w:line="259" w:lineRule="auto"/>
            </w:pPr>
            <w:r>
              <w:rPr>
                <w:rFonts w:ascii="Calibri" w:hAnsi="Calibri"/>
                <w:b w:val="0"/>
                <w:i w:val="0"/>
                <w:color w:val="212121"/>
                <w:sz w:val="19"/>
              </w:rPr>
              <w:t>&gt; 10 min or repeated straining</w:t>
            </w:r>
          </w:p>
        </w:tc>
        <w:tc>
          <w:tcPr>
            <w:tcW w:type="dxa" w:w="1468"/>
            <w:vAlign w:val="top"/>
          </w:tcPr>
          <w:p>
            <w:pPr>
              <w:spacing w:after="60" w:line="259" w:lineRule="auto"/>
            </w:pPr>
            <w:r>
              <w:rPr>
                <w:rFonts w:ascii="Calibri" w:hAnsi="Calibri"/>
                <w:b w:val="0"/>
                <w:i w:val="0"/>
                <w:color w:val="212121"/>
                <w:sz w:val="19"/>
              </w:rPr>
              <w:t>Prolonged sitting/straining sustains venous congestion (~74.5% of patients)</w:t>
            </w:r>
          </w:p>
          <w:p>
            <w:pPr>
              <w:spacing w:after="40" w:line="252" w:lineRule="auto"/>
            </w:pPr>
            <w:hyperlink r:id="rId13">
              <w:r>
                <w:rPr>
                  <w:rFonts w:ascii="Calibri" w:hAnsi="Calibri" w:cs="Calibri"/>
                  <w:sz w:val="18"/>
                  <w:color w:val="1155CC"/>
                  <w:u w:val="single"/>
                </w:rPr>
                <w:t xml:space="preserve">https://jccpractice.com/article/prevalence-and-determinants-of-haemorrhoids-among-patients-attending-general-surgery-department-of-a-tertiary-care-hospital-1012/</w:t>
              </w:r>
            </w:hyperlink>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 activity (min/week)</w:t>
            </w:r>
          </w:p>
        </w:tc>
        <w:tc>
          <w:tcPr>
            <w:tcW w:type="dxa" w:w="1655"/>
            <w:vAlign w:val="top"/>
          </w:tcPr>
          <w:p>
            <w:pPr>
              <w:spacing w:after="40" w:before="0" w:line="259" w:lineRule="auto"/>
            </w:pPr>
            <w:r>
              <w:rPr>
                <w:rFonts w:ascii="Calibri" w:hAnsi="Calibri"/>
                <w:b w:val="0"/>
                <w:i w:val="0"/>
                <w:color w:val="212121"/>
                <w:sz w:val="19"/>
              </w:rPr>
              <w:t>Sedentary adults, office workers</w:t>
            </w:r>
          </w:p>
        </w:tc>
        <w:tc>
          <w:tcPr>
            <w:tcW w:type="dxa" w:w="1512"/>
            <w:vAlign w:val="top"/>
          </w:tcPr>
          <w:p>
            <w:pPr>
              <w:spacing w:after="40" w:before="0" w:line="259" w:lineRule="auto"/>
            </w:pPr>
            <w:r>
              <w:rPr>
                <w:rFonts w:ascii="Calibri" w:hAnsi="Calibri"/>
                <w:b w:val="0"/>
                <w:i w:val="0"/>
                <w:color w:val="212121"/>
                <w:sz w:val="19"/>
              </w:rPr>
              <w:t>≥ 150 min/week</w:t>
            </w:r>
          </w:p>
        </w:tc>
        <w:tc>
          <w:tcPr>
            <w:tcW w:type="dxa" w:w="1512"/>
            <w:vAlign w:val="top"/>
          </w:tcPr>
          <w:p>
            <w:pPr>
              <w:spacing w:after="40" w:before="0" w:line="259" w:lineRule="auto"/>
            </w:pPr>
            <w:r>
              <w:rPr>
                <w:rFonts w:ascii="Calibri" w:hAnsi="Calibri"/>
                <w:b w:val="0"/>
                <w:i w:val="0"/>
                <w:color w:val="212121"/>
                <w:sz w:val="19"/>
              </w:rPr>
              <w:t>&lt; 90 min/week / prolonged sitting</w:t>
            </w:r>
          </w:p>
        </w:tc>
        <w:tc>
          <w:tcPr>
            <w:tcW w:type="dxa" w:w="1468"/>
            <w:vAlign w:val="top"/>
          </w:tcPr>
          <w:p>
            <w:pPr>
              <w:spacing w:after="60" w:line="259" w:lineRule="auto"/>
            </w:pPr>
            <w:r>
              <w:rPr>
                <w:rFonts w:ascii="Calibri" w:hAnsi="Calibri"/>
                <w:b w:val="0"/>
                <w:i w:val="0"/>
                <w:color w:val="212121"/>
                <w:sz w:val="19"/>
              </w:rPr>
              <w:t>Activity aids transit and reduces constipation-related straining</w:t>
            </w:r>
          </w:p>
          <w:p>
            <w:pPr>
              <w:spacing w:after="40" w:line="252" w:lineRule="auto"/>
            </w:pPr>
            <w:hyperlink r:id="rId9">
              <w:r>
                <w:rPr>
                  <w:rFonts w:ascii="Calibri" w:hAnsi="Calibri" w:cs="Calibri"/>
                  <w:sz w:val="18"/>
                  <w:color w:val="1155CC"/>
                  <w:u w:val="single"/>
                </w:rPr>
                <w:t xml:space="preserve">https://www.jptcp.com/index.php/jptcp/article/download/10174/9482/20853</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Adults (Asian cut-offs)</w:t>
            </w:r>
          </w:p>
        </w:tc>
        <w:tc>
          <w:tcPr>
            <w:tcW w:type="dxa" w:w="1512"/>
            <w:vAlign w:val="top"/>
          </w:tcPr>
          <w:p>
            <w:pPr>
              <w:spacing w:after="40" w:before="0" w:line="259" w:lineRule="auto"/>
            </w:pPr>
            <w:r>
              <w:rPr>
                <w:rFonts w:ascii="Calibri" w:hAnsi="Calibri"/>
                <w:b w:val="0"/>
                <w:i w:val="0"/>
                <w:color w:val="212121"/>
                <w:sz w:val="19"/>
              </w:rPr>
              <w:t>18.5–22.9 kg/m²</w:t>
            </w:r>
          </w:p>
        </w:tc>
        <w:tc>
          <w:tcPr>
            <w:tcW w:type="dxa" w:w="1512"/>
            <w:vAlign w:val="top"/>
          </w:tcPr>
          <w:p>
            <w:pPr>
              <w:spacing w:after="40" w:before="0" w:line="259" w:lineRule="auto"/>
            </w:pPr>
            <w:r>
              <w:rPr>
                <w:rFonts w:ascii="Calibri" w:hAnsi="Calibri"/>
                <w:b w:val="0"/>
                <w:i w:val="0"/>
                <w:color w:val="212121"/>
                <w:sz w:val="19"/>
              </w:rPr>
              <w:t>≥ 23 (overweight); ≥ 25 (obese)</w:t>
            </w:r>
          </w:p>
        </w:tc>
        <w:tc>
          <w:tcPr>
            <w:tcW w:type="dxa" w:w="1468"/>
            <w:vAlign w:val="top"/>
          </w:tcPr>
          <w:p>
            <w:pPr>
              <w:spacing w:after="60" w:line="259" w:lineRule="auto"/>
            </w:pPr>
            <w:r>
              <w:rPr>
                <w:rFonts w:ascii="Calibri" w:hAnsi="Calibri"/>
                <w:b w:val="0"/>
                <w:i w:val="0"/>
                <w:color w:val="212121"/>
                <w:sz w:val="19"/>
              </w:rPr>
              <w:t>Each BMI unit raises hemorrhoid risk ~3.5% (independent factor)</w:t>
            </w:r>
          </w:p>
          <w:p>
            <w:pPr>
              <w:spacing w:after="40" w:line="252" w:lineRule="auto"/>
            </w:pPr>
            <w:hyperlink r:id="rId16">
              <w:r>
                <w:rPr>
                  <w:rFonts w:ascii="Calibri" w:hAnsi="Calibri" w:cs="Calibri"/>
                  <w:sz w:val="18"/>
                  <w:color w:val="1155CC"/>
                  <w:u w:val="single"/>
                </w:rPr>
                <w:t xml:space="preserve">https://pubmed.ncbi.nlm.nih.gov/21932016/</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Straining during defecation</w:t>
            </w:r>
          </w:p>
        </w:tc>
        <w:tc>
          <w:tcPr>
            <w:tcW w:type="dxa" w:w="1655"/>
            <w:vAlign w:val="top"/>
          </w:tcPr>
          <w:p>
            <w:pPr>
              <w:spacing w:after="40" w:before="0" w:line="259" w:lineRule="auto"/>
            </w:pPr>
            <w:r>
              <w:rPr>
                <w:rFonts w:ascii="Calibri" w:hAnsi="Calibri"/>
                <w:b w:val="0"/>
                <w:i w:val="0"/>
                <w:color w:val="212121"/>
                <w:sz w:val="19"/>
              </w:rPr>
              <w:t>Constipation-prone adults</w:t>
            </w:r>
          </w:p>
        </w:tc>
        <w:tc>
          <w:tcPr>
            <w:tcW w:type="dxa" w:w="1512"/>
            <w:vAlign w:val="top"/>
          </w:tcPr>
          <w:p>
            <w:pPr>
              <w:spacing w:after="40" w:before="0" w:line="259" w:lineRule="auto"/>
            </w:pPr>
            <w:r>
              <w:rPr>
                <w:rFonts w:ascii="Calibri" w:hAnsi="Calibri"/>
                <w:b w:val="0"/>
                <w:i w:val="0"/>
                <w:color w:val="212121"/>
                <w:sz w:val="19"/>
              </w:rPr>
              <w:t>No straining</w:t>
            </w:r>
          </w:p>
        </w:tc>
        <w:tc>
          <w:tcPr>
            <w:tcW w:type="dxa" w:w="1512"/>
            <w:vAlign w:val="top"/>
          </w:tcPr>
          <w:p>
            <w:pPr>
              <w:spacing w:after="40" w:before="0" w:line="259" w:lineRule="auto"/>
            </w:pPr>
            <w:r>
              <w:rPr>
                <w:rFonts w:ascii="Calibri" w:hAnsi="Calibri"/>
                <w:b w:val="0"/>
                <w:i w:val="0"/>
                <w:color w:val="212121"/>
                <w:sz w:val="19"/>
              </w:rPr>
              <w:t>Habitual straining (≥ 25% of the time)</w:t>
            </w:r>
          </w:p>
        </w:tc>
        <w:tc>
          <w:tcPr>
            <w:tcW w:type="dxa" w:w="1468"/>
            <w:vAlign w:val="top"/>
          </w:tcPr>
          <w:p>
            <w:pPr>
              <w:spacing w:after="60" w:line="259" w:lineRule="auto"/>
            </w:pPr>
            <w:r>
              <w:rPr>
                <w:rFonts w:ascii="Calibri" w:hAnsi="Calibri"/>
                <w:b w:val="0"/>
                <w:i w:val="0"/>
                <w:color w:val="212121"/>
                <w:sz w:val="19"/>
              </w:rPr>
              <w:t>Straining ≥ 25% of the time raises risk (OR 1.58)</w:t>
            </w:r>
          </w:p>
          <w:p>
            <w:pPr>
              <w:spacing w:after="40" w:line="252" w:lineRule="auto"/>
            </w:pPr>
            <w:hyperlink r:id="rId14">
              <w:r>
                <w:rPr>
                  <w:rFonts w:ascii="Calibri" w:hAnsi="Calibri" w:cs="Calibri"/>
                  <w:sz w:val="18"/>
                  <w:color w:val="1155CC"/>
                  <w:u w:val="single"/>
                </w:rPr>
                <w:t xml:space="preserve">https://pmc.ncbi.nlm.nih.gov/articles/PMC4583402/</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Haemoglobin (g/dL)</w:t>
            </w:r>
          </w:p>
        </w:tc>
        <w:tc>
          <w:tcPr>
            <w:tcW w:type="dxa" w:w="1655"/>
            <w:vAlign w:val="top"/>
          </w:tcPr>
          <w:p>
            <w:pPr>
              <w:spacing w:after="40" w:before="0" w:line="259" w:lineRule="auto"/>
            </w:pPr>
            <w:r>
              <w:rPr>
                <w:rFonts w:ascii="Calibri" w:hAnsi="Calibri"/>
                <w:b w:val="0"/>
                <w:i w:val="0"/>
                <w:color w:val="212121"/>
                <w:sz w:val="19"/>
              </w:rPr>
              <w:t>Chronic bleeders</w:t>
            </w:r>
          </w:p>
        </w:tc>
        <w:tc>
          <w:tcPr>
            <w:tcW w:type="dxa" w:w="1512"/>
            <w:vAlign w:val="top"/>
          </w:tcPr>
          <w:p>
            <w:pPr>
              <w:spacing w:after="40" w:before="0" w:line="259" w:lineRule="auto"/>
            </w:pPr>
            <w:r>
              <w:rPr>
                <w:rFonts w:ascii="Calibri" w:hAnsi="Calibri"/>
                <w:b w:val="0"/>
                <w:i w:val="0"/>
                <w:color w:val="212121"/>
                <w:sz w:val="19"/>
              </w:rPr>
              <w:t>M ≥ 13; F ≥ 12 g/dL</w:t>
            </w:r>
          </w:p>
        </w:tc>
        <w:tc>
          <w:tcPr>
            <w:tcW w:type="dxa" w:w="1512"/>
            <w:vAlign w:val="top"/>
          </w:tcPr>
          <w:p>
            <w:pPr>
              <w:spacing w:after="40" w:before="0" w:line="259" w:lineRule="auto"/>
            </w:pPr>
            <w:r>
              <w:rPr>
                <w:rFonts w:ascii="Calibri" w:hAnsi="Calibri"/>
                <w:b w:val="0"/>
                <w:i w:val="0"/>
                <w:color w:val="212121"/>
                <w:sz w:val="19"/>
              </w:rPr>
              <w:t>M &lt; 13; F &lt; 12 (anaemia)</w:t>
            </w:r>
          </w:p>
        </w:tc>
        <w:tc>
          <w:tcPr>
            <w:tcW w:type="dxa" w:w="1468"/>
            <w:vAlign w:val="top"/>
          </w:tcPr>
          <w:p>
            <w:pPr>
              <w:spacing w:after="40" w:before="0" w:line="259" w:lineRule="auto"/>
            </w:pPr>
            <w:r>
              <w:rPr>
                <w:rFonts w:ascii="Calibri" w:hAnsi="Calibri"/>
                <w:b w:val="0"/>
                <w:i w:val="0"/>
                <w:color w:val="212121"/>
                <w:sz w:val="19"/>
              </w:rPr>
              <w:t>Chronic hemorrhoidal bleeding can cause iron-deficiency anaemia</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Smokers with chronic cough</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40" w:before="0" w:line="259" w:lineRule="auto"/>
            </w:pPr>
            <w:r>
              <w:rPr>
                <w:rFonts w:ascii="Calibri" w:hAnsi="Calibri"/>
                <w:b w:val="0"/>
                <w:i w:val="0"/>
                <w:color w:val="212121"/>
                <w:sz w:val="19"/>
              </w:rPr>
              <w:t>Chronic cough raises intra-abdominal pressure; weak direct link</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Drinks per week</w:t>
            </w:r>
          </w:p>
        </w:tc>
        <w:tc>
          <w:tcPr>
            <w:tcW w:type="dxa" w:w="1655"/>
            <w:vAlign w:val="top"/>
          </w:tcPr>
          <w:p>
            <w:pPr>
              <w:spacing w:after="40" w:before="0" w:line="259" w:lineRule="auto"/>
            </w:pPr>
            <w:r>
              <w:rPr>
                <w:rFonts w:ascii="Calibri" w:hAnsi="Calibri"/>
                <w:b w:val="0"/>
                <w:i w:val="0"/>
                <w:color w:val="212121"/>
                <w:sz w:val="19"/>
              </w:rPr>
              <w:t>Regular drinkers</w:t>
            </w:r>
          </w:p>
        </w:tc>
        <w:tc>
          <w:tcPr>
            <w:tcW w:type="dxa" w:w="1512"/>
            <w:vAlign w:val="top"/>
          </w:tcPr>
          <w:p>
            <w:pPr>
              <w:spacing w:after="40" w:before="0" w:line="259" w:lineRule="auto"/>
            </w:pPr>
            <w:r>
              <w:rPr>
                <w:rFonts w:ascii="Calibri" w:hAnsi="Calibri"/>
                <w:b w:val="0"/>
                <w:i w:val="0"/>
                <w:color w:val="212121"/>
                <w:sz w:val="19"/>
              </w:rPr>
              <w:t>≤ 14 drinks/week</w:t>
            </w:r>
          </w:p>
        </w:tc>
        <w:tc>
          <w:tcPr>
            <w:tcW w:type="dxa" w:w="1512"/>
            <w:vAlign w:val="top"/>
          </w:tcPr>
          <w:p>
            <w:pPr>
              <w:spacing w:after="40" w:before="0" w:line="259" w:lineRule="auto"/>
            </w:pPr>
            <w:r>
              <w:rPr>
                <w:rFonts w:ascii="Calibri" w:hAnsi="Calibri"/>
                <w:b w:val="0"/>
                <w:i w:val="0"/>
                <w:color w:val="212121"/>
                <w:sz w:val="19"/>
              </w:rPr>
              <w:t>&gt; 14 drinks/week</w:t>
            </w:r>
          </w:p>
        </w:tc>
        <w:tc>
          <w:tcPr>
            <w:tcW w:type="dxa" w:w="1468"/>
            <w:vAlign w:val="top"/>
          </w:tcPr>
          <w:p>
            <w:pPr>
              <w:spacing w:after="40" w:before="0" w:line="259" w:lineRule="auto"/>
            </w:pPr>
            <w:r>
              <w:rPr>
                <w:rFonts w:ascii="Calibri" w:hAnsi="Calibri"/>
                <w:b w:val="0"/>
                <w:i w:val="0"/>
                <w:color w:val="212121"/>
                <w:sz w:val="19"/>
              </w:rPr>
              <w:t>Alcohol dehydrates and alters bowel habit, aggravating symptoms</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Endoscopy / procedure</w:t>
            </w:r>
          </w:p>
        </w:tc>
        <w:tc>
          <w:tcPr>
            <w:tcW w:type="dxa" w:w="1036"/>
            <w:vAlign w:val="top"/>
          </w:tcPr>
          <w:p>
            <w:pPr>
              <w:spacing w:after="40" w:before="0" w:line="259" w:lineRule="auto"/>
            </w:pPr>
            <w:r>
              <w:rPr>
                <w:rFonts w:ascii="Calibri" w:hAnsi="Calibri"/>
                <w:b w:val="0"/>
                <w:i w:val="0"/>
                <w:color w:val="212121"/>
                <w:sz w:val="16"/>
              </w:rPr>
              <w:t>Proctoscopy / Anoscopy</w:t>
            </w:r>
          </w:p>
        </w:tc>
        <w:tc>
          <w:tcPr>
            <w:tcW w:type="dxa" w:w="892"/>
            <w:vAlign w:val="top"/>
          </w:tcPr>
          <w:p>
            <w:pPr>
              <w:spacing w:after="40" w:before="0" w:line="259" w:lineRule="auto"/>
            </w:pPr>
            <w:r>
              <w:rPr>
                <w:rFonts w:ascii="Calibri" w:hAnsi="Calibri"/>
                <w:b w:val="0"/>
                <w:i w:val="0"/>
                <w:color w:val="212121"/>
                <w:sz w:val="16"/>
              </w:rPr>
              <w:t>Anorectal endoscopy</w:t>
            </w:r>
          </w:p>
        </w:tc>
        <w:tc>
          <w:tcPr>
            <w:tcW w:type="dxa" w:w="950"/>
            <w:vAlign w:val="top"/>
          </w:tcPr>
          <w:p>
            <w:pPr>
              <w:spacing w:after="40" w:before="0" w:line="259" w:lineRule="auto"/>
            </w:pPr>
            <w:r>
              <w:rPr>
                <w:rFonts w:ascii="Calibri" w:hAnsi="Calibri"/>
                <w:b w:val="0"/>
                <w:i w:val="0"/>
                <w:color w:val="212121"/>
                <w:sz w:val="16"/>
              </w:rPr>
              <w:t>Normal anal cushions, no prolapse</w:t>
            </w:r>
          </w:p>
        </w:tc>
        <w:tc>
          <w:tcPr>
            <w:tcW w:type="dxa" w:w="950"/>
            <w:vAlign w:val="top"/>
          </w:tcPr>
          <w:p>
            <w:pPr>
              <w:spacing w:after="40" w:before="0" w:line="259" w:lineRule="auto"/>
            </w:pPr>
            <w:r>
              <w:rPr>
                <w:rFonts w:ascii="Calibri" w:hAnsi="Calibri"/>
                <w:b w:val="0"/>
                <w:i w:val="0"/>
                <w:color w:val="212121"/>
                <w:sz w:val="16"/>
              </w:rPr>
              <w:t>Enlarged/prolapsing internal hemorrhoids at 3, 7, 11 o’clock</w:t>
            </w:r>
          </w:p>
        </w:tc>
        <w:tc>
          <w:tcPr>
            <w:tcW w:type="dxa" w:w="1036"/>
            <w:vAlign w:val="top"/>
          </w:tcPr>
          <w:p>
            <w:pPr>
              <w:spacing w:after="40" w:before="0" w:line="259" w:lineRule="auto"/>
            </w:pPr>
            <w:r>
              <w:rPr>
                <w:rFonts w:ascii="Calibri" w:hAnsi="Calibri"/>
                <w:b w:val="0"/>
                <w:i w:val="0"/>
                <w:color w:val="212121"/>
                <w:sz w:val="16"/>
              </w:rPr>
              <w:t>Confirms internal hemorrhoids and assigns the Goligher grade</w:t>
            </w:r>
          </w:p>
        </w:tc>
        <w:tc>
          <w:tcPr>
            <w:tcW w:type="dxa" w:w="1036"/>
            <w:vAlign w:val="top"/>
          </w:tcPr>
          <w:p>
            <w:pPr>
              <w:spacing w:after="40" w:before="0" w:line="259" w:lineRule="auto"/>
            </w:pPr>
            <w:r>
              <w:rPr>
                <w:rFonts w:ascii="Calibri" w:hAnsi="Calibri"/>
                <w:b w:val="0"/>
                <w:i w:val="0"/>
                <w:color w:val="212121"/>
                <w:sz w:val="16"/>
              </w:rPr>
              <w:t>All symptomatic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 (diagnostic)</w:t>
            </w:r>
          </w:p>
        </w:tc>
        <w:tc>
          <w:tcPr>
            <w:tcW w:type="dxa" w:w="720"/>
            <w:vAlign w:val="top"/>
          </w:tcPr>
          <w:p>
            <w:pPr>
              <w:spacing w:after="40" w:before="0" w:line="259" w:lineRule="auto"/>
            </w:pPr>
            <w:r>
              <w:rPr>
                <w:rFonts w:ascii="Calibri" w:hAnsi="Calibri"/>
                <w:b w:val="0"/>
                <w:i w:val="0"/>
                <w:color w:val="212121"/>
                <w:sz w:val="16"/>
              </w:rPr>
              <w:t>Best single test for internal hemorrhoids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Complete Blood Count / Haemoglobin</w:t>
            </w:r>
          </w:p>
        </w:tc>
        <w:tc>
          <w:tcPr>
            <w:tcW w:type="dxa" w:w="892"/>
            <w:vAlign w:val="top"/>
          </w:tcPr>
          <w:p>
            <w:pPr>
              <w:spacing w:after="40" w:before="0" w:line="259" w:lineRule="auto"/>
            </w:pPr>
            <w:r>
              <w:rPr>
                <w:rFonts w:ascii="Calibri" w:hAnsi="Calibri"/>
                <w:b w:val="0"/>
                <w:i w:val="0"/>
                <w:color w:val="212121"/>
                <w:sz w:val="16"/>
              </w:rPr>
              <w:t>Full Blood Count</w:t>
            </w:r>
          </w:p>
        </w:tc>
        <w:tc>
          <w:tcPr>
            <w:tcW w:type="dxa" w:w="950"/>
            <w:vAlign w:val="top"/>
          </w:tcPr>
          <w:p>
            <w:pPr>
              <w:spacing w:after="40" w:before="0" w:line="259" w:lineRule="auto"/>
            </w:pPr>
            <w:r>
              <w:rPr>
                <w:rFonts w:ascii="Calibri" w:hAnsi="Calibri"/>
                <w:b w:val="0"/>
                <w:i w:val="0"/>
                <w:color w:val="212121"/>
                <w:sz w:val="16"/>
              </w:rPr>
              <w:t>Hb M ≥ 13, F ≥ 12 g/dL</w:t>
            </w:r>
          </w:p>
        </w:tc>
        <w:tc>
          <w:tcPr>
            <w:tcW w:type="dxa" w:w="950"/>
            <w:vAlign w:val="top"/>
          </w:tcPr>
          <w:p>
            <w:pPr>
              <w:spacing w:after="40" w:before="0" w:line="259" w:lineRule="auto"/>
            </w:pPr>
            <w:r>
              <w:rPr>
                <w:rFonts w:ascii="Calibri" w:hAnsi="Calibri"/>
                <w:b w:val="0"/>
                <w:i w:val="0"/>
                <w:color w:val="212121"/>
                <w:sz w:val="16"/>
              </w:rPr>
              <w:t>Low Hb, microcytic hypochromic indices</w:t>
            </w:r>
          </w:p>
        </w:tc>
        <w:tc>
          <w:tcPr>
            <w:tcW w:type="dxa" w:w="1036"/>
            <w:vAlign w:val="top"/>
          </w:tcPr>
          <w:p>
            <w:pPr>
              <w:spacing w:after="40" w:before="0" w:line="259" w:lineRule="auto"/>
            </w:pPr>
            <w:r>
              <w:rPr>
                <w:rFonts w:ascii="Calibri" w:hAnsi="Calibri"/>
                <w:b w:val="0"/>
                <w:i w:val="0"/>
                <w:color w:val="212121"/>
                <w:sz w:val="16"/>
              </w:rPr>
              <w:t>Detects iron-deficiency anaemia from chronic bleeding</w:t>
            </w:r>
          </w:p>
        </w:tc>
        <w:tc>
          <w:tcPr>
            <w:tcW w:type="dxa" w:w="1036"/>
            <w:vAlign w:val="top"/>
          </w:tcPr>
          <w:p>
            <w:pPr>
              <w:spacing w:after="40" w:before="0" w:line="259" w:lineRule="auto"/>
            </w:pPr>
            <w:r>
              <w:rPr>
                <w:rFonts w:ascii="Calibri" w:hAnsi="Calibri"/>
                <w:b w:val="0"/>
                <w:i w:val="0"/>
                <w:color w:val="212121"/>
                <w:sz w:val="16"/>
              </w:rPr>
              <w:t>Chronic bleeders, elderly, pregnant</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Severe anaemia warrants transfusion/urgent care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Endoscopy</w:t>
            </w:r>
          </w:p>
        </w:tc>
        <w:tc>
          <w:tcPr>
            <w:tcW w:type="dxa" w:w="1036"/>
            <w:vAlign w:val="top"/>
          </w:tcPr>
          <w:p>
            <w:pPr>
              <w:spacing w:after="40" w:before="0" w:line="259" w:lineRule="auto"/>
            </w:pPr>
            <w:r>
              <w:rPr>
                <w:rFonts w:ascii="Calibri" w:hAnsi="Calibri"/>
                <w:b w:val="0"/>
                <w:i w:val="0"/>
                <w:color w:val="212121"/>
                <w:sz w:val="16"/>
              </w:rPr>
              <w:t>Colonoscopy / Flexible sigmoidoscopy</w:t>
            </w:r>
          </w:p>
        </w:tc>
        <w:tc>
          <w:tcPr>
            <w:tcW w:type="dxa" w:w="892"/>
            <w:vAlign w:val="top"/>
          </w:tcPr>
          <w:p>
            <w:pPr>
              <w:spacing w:after="40" w:before="0" w:line="259" w:lineRule="auto"/>
            </w:pPr>
            <w:r>
              <w:rPr>
                <w:rFonts w:ascii="Calibri" w:hAnsi="Calibri"/>
                <w:b w:val="0"/>
                <w:i w:val="0"/>
                <w:color w:val="212121"/>
                <w:sz w:val="16"/>
              </w:rPr>
              <w:t>Lower GI endoscopy</w:t>
            </w:r>
          </w:p>
        </w:tc>
        <w:tc>
          <w:tcPr>
            <w:tcW w:type="dxa" w:w="950"/>
            <w:vAlign w:val="top"/>
          </w:tcPr>
          <w:p>
            <w:pPr>
              <w:spacing w:after="40" w:before="0" w:line="259" w:lineRule="auto"/>
            </w:pPr>
            <w:r>
              <w:rPr>
                <w:rFonts w:ascii="Calibri" w:hAnsi="Calibri"/>
                <w:b w:val="0"/>
                <w:i w:val="0"/>
                <w:color w:val="212121"/>
                <w:sz w:val="16"/>
              </w:rPr>
              <w:t>No mucosal lesion, no mass</w:t>
            </w:r>
          </w:p>
        </w:tc>
        <w:tc>
          <w:tcPr>
            <w:tcW w:type="dxa" w:w="950"/>
            <w:vAlign w:val="top"/>
          </w:tcPr>
          <w:p>
            <w:pPr>
              <w:spacing w:after="40" w:before="0" w:line="259" w:lineRule="auto"/>
            </w:pPr>
            <w:r>
              <w:rPr>
                <w:rFonts w:ascii="Calibri" w:hAnsi="Calibri"/>
                <w:b w:val="0"/>
                <w:i w:val="0"/>
                <w:color w:val="212121"/>
                <w:sz w:val="16"/>
              </w:rPr>
              <w:t>Polyp, carcinoma, colitis, other bleeding source</w:t>
            </w:r>
          </w:p>
        </w:tc>
        <w:tc>
          <w:tcPr>
            <w:tcW w:type="dxa" w:w="1036"/>
            <w:vAlign w:val="top"/>
          </w:tcPr>
          <w:p>
            <w:pPr>
              <w:spacing w:after="40" w:before="0" w:line="259" w:lineRule="auto"/>
            </w:pPr>
            <w:r>
              <w:rPr>
                <w:rFonts w:ascii="Calibri" w:hAnsi="Calibri"/>
                <w:b w:val="0"/>
                <w:i w:val="0"/>
                <w:color w:val="212121"/>
                <w:sz w:val="16"/>
              </w:rPr>
              <w:t>Excludes colorectal cancer and IBD when alarm features are present</w:t>
            </w:r>
          </w:p>
        </w:tc>
        <w:tc>
          <w:tcPr>
            <w:tcW w:type="dxa" w:w="1036"/>
            <w:vAlign w:val="top"/>
          </w:tcPr>
          <w:p>
            <w:pPr>
              <w:spacing w:after="40" w:before="0" w:line="259" w:lineRule="auto"/>
            </w:pPr>
            <w:r>
              <w:rPr>
                <w:rFonts w:ascii="Calibri" w:hAnsi="Calibri"/>
                <w:b w:val="0"/>
                <w:i w:val="0"/>
                <w:color w:val="212121"/>
                <w:sz w:val="16"/>
              </w:rPr>
              <w:t>Age &gt; 40–50, altered bowel habit, anaemia, family h/o CRC</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 (exclusion of malignancy)</w:t>
            </w:r>
          </w:p>
        </w:tc>
        <w:tc>
          <w:tcPr>
            <w:tcW w:type="dxa" w:w="720"/>
            <w:vAlign w:val="top"/>
          </w:tcPr>
          <w:p>
            <w:pPr>
              <w:spacing w:after="40" w:before="0" w:line="259" w:lineRule="auto"/>
            </w:pPr>
            <w:r>
              <w:rPr>
                <w:rFonts w:ascii="Calibri" w:hAnsi="Calibri"/>
                <w:b w:val="0"/>
                <w:i w:val="0"/>
                <w:color w:val="212121"/>
                <w:sz w:val="16"/>
              </w:rPr>
              <w:t>Never attribute bleeding to piles without excluding cancer in at-risk patients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Stool test</w:t>
            </w:r>
          </w:p>
        </w:tc>
        <w:tc>
          <w:tcPr>
            <w:tcW w:type="dxa" w:w="1036"/>
            <w:vAlign w:val="top"/>
          </w:tcPr>
          <w:p>
            <w:pPr>
              <w:spacing w:after="40" w:before="0" w:line="259" w:lineRule="auto"/>
            </w:pPr>
            <w:r>
              <w:rPr>
                <w:rFonts w:ascii="Calibri" w:hAnsi="Calibri"/>
                <w:b w:val="0"/>
                <w:i w:val="0"/>
                <w:color w:val="212121"/>
                <w:sz w:val="16"/>
              </w:rPr>
              <w:t>Faecal occult blood / stool exam</w:t>
            </w:r>
          </w:p>
        </w:tc>
        <w:tc>
          <w:tcPr>
            <w:tcW w:type="dxa" w:w="892"/>
            <w:vAlign w:val="top"/>
          </w:tcPr>
          <w:p>
            <w:pPr>
              <w:spacing w:after="40" w:before="0" w:line="259" w:lineRule="auto"/>
            </w:pPr>
            <w:r>
              <w:rPr>
                <w:rFonts w:ascii="Calibri" w:hAnsi="Calibri"/>
                <w:b w:val="0"/>
                <w:i w:val="0"/>
                <w:color w:val="212121"/>
                <w:sz w:val="16"/>
              </w:rPr>
              <w:t>Stool for occult blood</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occult blood</w:t>
            </w:r>
          </w:p>
        </w:tc>
        <w:tc>
          <w:tcPr>
            <w:tcW w:type="dxa" w:w="1036"/>
            <w:vAlign w:val="top"/>
          </w:tcPr>
          <w:p>
            <w:pPr>
              <w:spacing w:after="40" w:before="0" w:line="259" w:lineRule="auto"/>
            </w:pPr>
            <w:r>
              <w:rPr>
                <w:rFonts w:ascii="Calibri" w:hAnsi="Calibri"/>
                <w:b w:val="0"/>
                <w:i w:val="0"/>
                <w:color w:val="212121"/>
                <w:sz w:val="16"/>
              </w:rPr>
              <w:t>Non-specific; prompts colonic evaluation to exclude proximal bleeding</w:t>
            </w:r>
          </w:p>
        </w:tc>
        <w:tc>
          <w:tcPr>
            <w:tcW w:type="dxa" w:w="1036"/>
            <w:vAlign w:val="top"/>
          </w:tcPr>
          <w:p>
            <w:pPr>
              <w:spacing w:after="40" w:before="0" w:line="259" w:lineRule="auto"/>
            </w:pPr>
            <w:r>
              <w:rPr>
                <w:rFonts w:ascii="Calibri" w:hAnsi="Calibri"/>
                <w:b w:val="0"/>
                <w:i w:val="0"/>
                <w:color w:val="212121"/>
                <w:sz w:val="16"/>
              </w:rPr>
              <w:t>Older adults, unexplained anaemia</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Positive result needs colonoscopy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Coagulation</w:t>
            </w:r>
          </w:p>
        </w:tc>
        <w:tc>
          <w:tcPr>
            <w:tcW w:type="dxa" w:w="1036"/>
            <w:vAlign w:val="top"/>
          </w:tcPr>
          <w:p>
            <w:pPr>
              <w:spacing w:after="40" w:before="0" w:line="259" w:lineRule="auto"/>
            </w:pPr>
            <w:r>
              <w:rPr>
                <w:rFonts w:ascii="Calibri" w:hAnsi="Calibri"/>
                <w:b w:val="0"/>
                <w:i w:val="0"/>
                <w:color w:val="212121"/>
                <w:sz w:val="16"/>
              </w:rPr>
              <w:t>PT/INR, platelet count</w:t>
            </w:r>
          </w:p>
        </w:tc>
        <w:tc>
          <w:tcPr>
            <w:tcW w:type="dxa" w:w="892"/>
            <w:vAlign w:val="top"/>
          </w:tcPr>
          <w:p>
            <w:pPr>
              <w:spacing w:after="40" w:before="0" w:line="259" w:lineRule="auto"/>
            </w:pPr>
            <w:r>
              <w:rPr>
                <w:rFonts w:ascii="Calibri" w:hAnsi="Calibri"/>
                <w:b w:val="0"/>
                <w:i w:val="0"/>
                <w:color w:val="212121"/>
                <w:sz w:val="16"/>
              </w:rPr>
              <w:t>Coagulation profile</w:t>
            </w:r>
          </w:p>
        </w:tc>
        <w:tc>
          <w:tcPr>
            <w:tcW w:type="dxa" w:w="950"/>
            <w:vAlign w:val="top"/>
          </w:tcPr>
          <w:p>
            <w:pPr>
              <w:spacing w:after="40" w:before="0" w:line="259" w:lineRule="auto"/>
            </w:pPr>
            <w:r>
              <w:rPr>
                <w:rFonts w:ascii="Calibri" w:hAnsi="Calibri"/>
                <w:b w:val="0"/>
                <w:i w:val="0"/>
                <w:color w:val="212121"/>
                <w:sz w:val="16"/>
              </w:rPr>
              <w:t>INR ~1.0, platelets normal</w:t>
            </w:r>
          </w:p>
        </w:tc>
        <w:tc>
          <w:tcPr>
            <w:tcW w:type="dxa" w:w="950"/>
            <w:vAlign w:val="top"/>
          </w:tcPr>
          <w:p>
            <w:pPr>
              <w:spacing w:after="40" w:before="0" w:line="259" w:lineRule="auto"/>
            </w:pPr>
            <w:r>
              <w:rPr>
                <w:rFonts w:ascii="Calibri" w:hAnsi="Calibri"/>
                <w:b w:val="0"/>
                <w:i w:val="0"/>
                <w:color w:val="212121"/>
                <w:sz w:val="16"/>
              </w:rPr>
              <w:t>Deranged INR, thrombocytopenia</w:t>
            </w:r>
          </w:p>
        </w:tc>
        <w:tc>
          <w:tcPr>
            <w:tcW w:type="dxa" w:w="1036"/>
            <w:vAlign w:val="top"/>
          </w:tcPr>
          <w:p>
            <w:pPr>
              <w:spacing w:after="40" w:before="0" w:line="259" w:lineRule="auto"/>
            </w:pPr>
            <w:r>
              <w:rPr>
                <w:rFonts w:ascii="Calibri" w:hAnsi="Calibri"/>
                <w:b w:val="0"/>
                <w:i w:val="0"/>
                <w:color w:val="212121"/>
                <w:sz w:val="16"/>
              </w:rPr>
              <w:t>Identifies bleeding tendency before banding/surgery</w:t>
            </w:r>
          </w:p>
        </w:tc>
        <w:tc>
          <w:tcPr>
            <w:tcW w:type="dxa" w:w="1036"/>
            <w:vAlign w:val="top"/>
          </w:tcPr>
          <w:p>
            <w:pPr>
              <w:spacing w:after="40" w:before="0" w:line="259" w:lineRule="auto"/>
            </w:pPr>
            <w:r>
              <w:rPr>
                <w:rFonts w:ascii="Calibri" w:hAnsi="Calibri"/>
                <w:b w:val="0"/>
                <w:i w:val="0"/>
                <w:color w:val="212121"/>
                <w:sz w:val="16"/>
              </w:rPr>
              <w:t>Pre-procedure, anticoagulated, cirrhotic</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Pre-procedural safety</w:t>
            </w:r>
          </w:p>
        </w:tc>
        <w:tc>
          <w:tcPr>
            <w:tcW w:type="dxa" w:w="720"/>
            <w:vAlign w:val="top"/>
          </w:tcPr>
          <w:p>
            <w:pPr>
              <w:spacing w:after="40" w:before="0" w:line="259" w:lineRule="auto"/>
            </w:pPr>
            <w:r>
              <w:rPr>
                <w:rFonts w:ascii="Calibri" w:hAnsi="Calibri"/>
                <w:b w:val="0"/>
                <w:i w:val="0"/>
                <w:color w:val="212121"/>
                <w:sz w:val="16"/>
              </w:rPr>
              <w:t>Correct coagulopathy before intervention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Hepatic</w:t>
            </w:r>
          </w:p>
        </w:tc>
        <w:tc>
          <w:tcPr>
            <w:tcW w:type="dxa" w:w="1036"/>
            <w:vAlign w:val="top"/>
          </w:tcPr>
          <w:p>
            <w:pPr>
              <w:spacing w:after="40" w:before="0" w:line="259" w:lineRule="auto"/>
            </w:pPr>
            <w:r>
              <w:rPr>
                <w:rFonts w:ascii="Calibri" w:hAnsi="Calibri"/>
                <w:b w:val="0"/>
                <w:i w:val="0"/>
                <w:color w:val="212121"/>
                <w:sz w:val="16"/>
              </w:rPr>
              <w:t>Liver function / portal imaging</w:t>
            </w:r>
          </w:p>
        </w:tc>
        <w:tc>
          <w:tcPr>
            <w:tcW w:type="dxa" w:w="892"/>
            <w:vAlign w:val="top"/>
          </w:tcPr>
          <w:p>
            <w:pPr>
              <w:spacing w:after="40" w:before="0" w:line="259" w:lineRule="auto"/>
            </w:pPr>
            <w:r>
              <w:rPr>
                <w:rFonts w:ascii="Calibri" w:hAnsi="Calibri"/>
                <w:b w:val="0"/>
                <w:i w:val="0"/>
                <w:color w:val="212121"/>
                <w:sz w:val="16"/>
              </w:rPr>
              <w:t>LFT ± ultrasound Doppler</w:t>
            </w:r>
          </w:p>
        </w:tc>
        <w:tc>
          <w:tcPr>
            <w:tcW w:type="dxa" w:w="950"/>
            <w:vAlign w:val="top"/>
          </w:tcPr>
          <w:p>
            <w:pPr>
              <w:spacing w:after="40" w:before="0" w:line="259" w:lineRule="auto"/>
            </w:pPr>
            <w:r>
              <w:rPr>
                <w:rFonts w:ascii="Calibri" w:hAnsi="Calibri"/>
                <w:b w:val="0"/>
                <w:i w:val="0"/>
                <w:color w:val="212121"/>
                <w:sz w:val="16"/>
              </w:rPr>
              <w:t>Normal LFT, no portal hypertension</w:t>
            </w:r>
          </w:p>
        </w:tc>
        <w:tc>
          <w:tcPr>
            <w:tcW w:type="dxa" w:w="950"/>
            <w:vAlign w:val="top"/>
          </w:tcPr>
          <w:p>
            <w:pPr>
              <w:spacing w:after="40" w:before="0" w:line="259" w:lineRule="auto"/>
            </w:pPr>
            <w:r>
              <w:rPr>
                <w:rFonts w:ascii="Calibri" w:hAnsi="Calibri"/>
                <w:b w:val="0"/>
                <w:i w:val="0"/>
                <w:color w:val="212121"/>
                <w:sz w:val="16"/>
              </w:rPr>
              <w:t>Deranged LFT, splenomegaly, portosystemic collaterals</w:t>
            </w:r>
          </w:p>
        </w:tc>
        <w:tc>
          <w:tcPr>
            <w:tcW w:type="dxa" w:w="1036"/>
            <w:vAlign w:val="top"/>
          </w:tcPr>
          <w:p>
            <w:pPr>
              <w:spacing w:after="40" w:before="0" w:line="259" w:lineRule="auto"/>
            </w:pPr>
            <w:r>
              <w:rPr>
                <w:rFonts w:ascii="Calibri" w:hAnsi="Calibri"/>
                <w:b w:val="0"/>
                <w:i w:val="0"/>
                <w:color w:val="212121"/>
                <w:sz w:val="16"/>
              </w:rPr>
              <w:t>Screens for portal hypertension when rectal varices are suspected rather than piles</w:t>
            </w:r>
          </w:p>
        </w:tc>
        <w:tc>
          <w:tcPr>
            <w:tcW w:type="dxa" w:w="1036"/>
            <w:vAlign w:val="top"/>
          </w:tcPr>
          <w:p>
            <w:pPr>
              <w:spacing w:after="40" w:before="0" w:line="259" w:lineRule="auto"/>
            </w:pPr>
            <w:r>
              <w:rPr>
                <w:rFonts w:ascii="Calibri" w:hAnsi="Calibri"/>
                <w:b w:val="0"/>
                <w:i w:val="0"/>
                <w:color w:val="212121"/>
                <w:sz w:val="16"/>
              </w:rPr>
              <w:t>Suspected cirrhosis, atypical/massive rectal bleeding</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Selective (differential)</w:t>
            </w:r>
          </w:p>
        </w:tc>
        <w:tc>
          <w:tcPr>
            <w:tcW w:type="dxa" w:w="720"/>
            <w:vAlign w:val="top"/>
          </w:tcPr>
          <w:p>
            <w:pPr>
              <w:spacing w:after="40" w:before="0" w:line="259" w:lineRule="auto"/>
            </w:pPr>
            <w:r>
              <w:rPr>
                <w:rFonts w:ascii="Calibri" w:hAnsi="Calibri"/>
                <w:b w:val="0"/>
                <w:i w:val="0"/>
                <w:color w:val="212121"/>
                <w:sz w:val="16"/>
              </w:rPr>
              <w:t>Varices ≠ hemorrhoids; different management</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Bright red bleeding, prolapse, itching, discharge, discomfort</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one or more present</w:t>
            </w:r>
          </w:p>
        </w:tc>
        <w:tc>
          <w:tcPr>
            <w:tcW w:type="dxa" w:w="1036"/>
            <w:vAlign w:val="top"/>
          </w:tcPr>
          <w:p>
            <w:pPr>
              <w:spacing w:after="40" w:before="0" w:line="259" w:lineRule="auto"/>
            </w:pPr>
            <w:r>
              <w:rPr>
                <w:rFonts w:ascii="Calibri" w:hAnsi="Calibri"/>
                <w:b w:val="0"/>
                <w:i w:val="0"/>
                <w:color w:val="212121"/>
                <w:sz w:val="16"/>
              </w:rPr>
              <w:t>Suggests hemorrhoidal disease; painless bleeding is classic</w:t>
            </w:r>
          </w:p>
        </w:tc>
        <w:tc>
          <w:tcPr>
            <w:tcW w:type="dxa" w:w="1036"/>
            <w:vAlign w:val="top"/>
          </w:tcPr>
          <w:p>
            <w:pPr>
              <w:spacing w:after="40" w:before="0" w:line="259" w:lineRule="auto"/>
            </w:pPr>
            <w:r>
              <w:rPr>
                <w:rFonts w:ascii="Calibri" w:hAnsi="Calibri"/>
                <w:b w:val="0"/>
                <w:i w:val="0"/>
                <w:color w:val="212121"/>
                <w:sz w:val="16"/>
              </w:rPr>
              <w:t>All suspected hemorrhoids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Painless bleeding coating the stool is typical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Bowel habit &amp; straining</w:t>
            </w:r>
          </w:p>
        </w:tc>
        <w:tc>
          <w:tcPr>
            <w:tcW w:type="dxa" w:w="979"/>
            <w:vAlign w:val="top"/>
          </w:tcPr>
          <w:p>
            <w:pPr>
              <w:spacing w:after="40" w:before="0" w:line="259" w:lineRule="auto"/>
            </w:pPr>
            <w:r>
              <w:rPr>
                <w:rFonts w:ascii="Calibri" w:hAnsi="Calibri"/>
                <w:b w:val="0"/>
                <w:i w:val="0"/>
                <w:color w:val="212121"/>
                <w:sz w:val="16"/>
              </w:rPr>
              <w:t>Constipation, hard stool, straining, toilet time</w:t>
            </w:r>
          </w:p>
        </w:tc>
        <w:tc>
          <w:tcPr>
            <w:tcW w:type="dxa" w:w="950"/>
            <w:vAlign w:val="top"/>
          </w:tcPr>
          <w:p>
            <w:pPr>
              <w:spacing w:after="40" w:before="0" w:line="259" w:lineRule="auto"/>
            </w:pPr>
            <w:r>
              <w:rPr>
                <w:rFonts w:ascii="Calibri" w:hAnsi="Calibri"/>
                <w:b w:val="0"/>
                <w:i w:val="0"/>
                <w:color w:val="212121"/>
                <w:sz w:val="16"/>
              </w:rPr>
              <w:t>Soft daily stool, no straining</w:t>
            </w:r>
          </w:p>
        </w:tc>
        <w:tc>
          <w:tcPr>
            <w:tcW w:type="dxa" w:w="950"/>
            <w:vAlign w:val="top"/>
          </w:tcPr>
          <w:p>
            <w:pPr>
              <w:spacing w:after="40" w:before="0" w:line="259" w:lineRule="auto"/>
            </w:pPr>
            <w:r>
              <w:rPr>
                <w:rFonts w:ascii="Calibri" w:hAnsi="Calibri"/>
                <w:b w:val="0"/>
                <w:i w:val="0"/>
                <w:color w:val="212121"/>
                <w:sz w:val="16"/>
              </w:rPr>
              <w:t>Hard/infrequent stool, straining, &gt;10 min toilet time</w:t>
            </w:r>
          </w:p>
        </w:tc>
        <w:tc>
          <w:tcPr>
            <w:tcW w:type="dxa" w:w="1036"/>
            <w:vAlign w:val="top"/>
          </w:tcPr>
          <w:p>
            <w:pPr>
              <w:spacing w:after="40" w:before="0" w:line="259" w:lineRule="auto"/>
            </w:pPr>
            <w:r>
              <w:rPr>
                <w:rFonts w:ascii="Calibri" w:hAnsi="Calibri"/>
                <w:b w:val="0"/>
                <w:i w:val="0"/>
                <w:color w:val="212121"/>
                <w:sz w:val="16"/>
              </w:rPr>
              <w:t>Identifies the dominant modifiable driver</w:t>
            </w:r>
          </w:p>
        </w:tc>
        <w:tc>
          <w:tcPr>
            <w:tcW w:type="dxa" w:w="1036"/>
            <w:vAlign w:val="top"/>
          </w:tcPr>
          <w:p>
            <w:pPr>
              <w:spacing w:after="40" w:before="0" w:line="259" w:lineRule="auto"/>
            </w:pPr>
            <w:r>
              <w:rPr>
                <w:rFonts w:ascii="Calibri" w:hAnsi="Calibri"/>
                <w:b w:val="0"/>
                <w:i w:val="0"/>
                <w:color w:val="212121"/>
                <w:sz w:val="16"/>
              </w:rPr>
              <w:t>Constipation-prone, strainers</w:t>
            </w:r>
          </w:p>
        </w:tc>
        <w:tc>
          <w:tcPr>
            <w:tcW w:type="dxa" w:w="720"/>
            <w:vAlign w:val="top"/>
          </w:tcPr>
          <w:p>
            <w:pPr>
              <w:spacing w:after="40" w:before="0" w:line="259" w:lineRule="auto"/>
            </w:pPr>
            <w:r>
              <w:rPr>
                <w:rFonts w:ascii="Calibri" w:hAnsi="Calibri"/>
                <w:b w:val="0"/>
                <w:i w:val="0"/>
                <w:color w:val="212121"/>
                <w:sz w:val="16"/>
              </w:rPr>
              <w:t>Food; Water; Provoking factors</w:t>
            </w:r>
          </w:p>
        </w:tc>
        <w:tc>
          <w:tcPr>
            <w:tcW w:type="dxa" w:w="720"/>
            <w:vAlign w:val="top"/>
          </w:tcPr>
          <w:p>
            <w:pPr>
              <w:spacing w:after="40" w:before="0" w:line="259" w:lineRule="auto"/>
            </w:pPr>
            <w:r>
              <w:rPr>
                <w:rFonts w:ascii="Calibri" w:hAnsi="Calibri"/>
                <w:b w:val="0"/>
                <w:i w:val="0"/>
                <w:color w:val="212121"/>
                <w:sz w:val="16"/>
              </w:rPr>
              <w:t>High (management)</w:t>
            </w:r>
          </w:p>
        </w:tc>
        <w:tc>
          <w:tcPr>
            <w:tcW w:type="dxa" w:w="720"/>
            <w:vAlign w:val="top"/>
          </w:tcPr>
          <w:p>
            <w:pPr>
              <w:spacing w:after="40" w:before="0" w:line="259" w:lineRule="auto"/>
            </w:pPr>
            <w:r>
              <w:rPr>
                <w:rFonts w:ascii="Calibri" w:hAnsi="Calibri"/>
                <w:b w:val="0"/>
                <w:i w:val="0"/>
                <w:color w:val="212121"/>
                <w:sz w:val="16"/>
              </w:rPr>
              <w:t>Use a stool diary / Bristol scale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Alarm / red-flag screen</w:t>
            </w:r>
          </w:p>
        </w:tc>
        <w:tc>
          <w:tcPr>
            <w:tcW w:type="dxa" w:w="979"/>
            <w:vAlign w:val="top"/>
          </w:tcPr>
          <w:p>
            <w:pPr>
              <w:spacing w:after="40" w:before="0" w:line="259" w:lineRule="auto"/>
            </w:pPr>
            <w:r>
              <w:rPr>
                <w:rFonts w:ascii="Calibri" w:hAnsi="Calibri"/>
                <w:b w:val="0"/>
                <w:i w:val="0"/>
                <w:color w:val="212121"/>
                <w:sz w:val="16"/>
              </w:rPr>
              <w:t>Weight loss, altered bowel habit, anaemia, age &gt;40–50, family h/o CRC</w:t>
            </w:r>
          </w:p>
        </w:tc>
        <w:tc>
          <w:tcPr>
            <w:tcW w:type="dxa" w:w="950"/>
            <w:vAlign w:val="top"/>
          </w:tcPr>
          <w:p>
            <w:pPr>
              <w:spacing w:after="40" w:before="0" w:line="259" w:lineRule="auto"/>
            </w:pPr>
            <w:r>
              <w:rPr>
                <w:rFonts w:ascii="Calibri" w:hAnsi="Calibri"/>
                <w:b w:val="0"/>
                <w:i w:val="0"/>
                <w:color w:val="212121"/>
                <w:sz w:val="16"/>
              </w:rPr>
              <w:t>No alarm features</w:t>
            </w:r>
          </w:p>
        </w:tc>
        <w:tc>
          <w:tcPr>
            <w:tcW w:type="dxa" w:w="950"/>
            <w:vAlign w:val="top"/>
          </w:tcPr>
          <w:p>
            <w:pPr>
              <w:spacing w:after="40" w:before="0" w:line="259" w:lineRule="auto"/>
            </w:pPr>
            <w:r>
              <w:rPr>
                <w:rFonts w:ascii="Calibri" w:hAnsi="Calibri"/>
                <w:b w:val="0"/>
                <w:i w:val="0"/>
                <w:color w:val="212121"/>
                <w:sz w:val="16"/>
              </w:rPr>
              <w:t>Any alarm feature present</w:t>
            </w:r>
          </w:p>
        </w:tc>
        <w:tc>
          <w:tcPr>
            <w:tcW w:type="dxa" w:w="1036"/>
            <w:vAlign w:val="top"/>
          </w:tcPr>
          <w:p>
            <w:pPr>
              <w:spacing w:after="40" w:before="0" w:line="259" w:lineRule="auto"/>
            </w:pPr>
            <w:r>
              <w:rPr>
                <w:rFonts w:ascii="Calibri" w:hAnsi="Calibri"/>
                <w:b w:val="0"/>
                <w:i w:val="0"/>
                <w:color w:val="212121"/>
                <w:sz w:val="16"/>
              </w:rPr>
              <w:t>Mandates colonoscopy to exclude colorectal cancer</w:t>
            </w:r>
          </w:p>
        </w:tc>
        <w:tc>
          <w:tcPr>
            <w:tcW w:type="dxa" w:w="1036"/>
            <w:vAlign w:val="top"/>
          </w:tcPr>
          <w:p>
            <w:pPr>
              <w:spacing w:after="40" w:before="0" w:line="259" w:lineRule="auto"/>
            </w:pPr>
            <w:r>
              <w:rPr>
                <w:rFonts w:ascii="Calibri" w:hAnsi="Calibri"/>
                <w:b w:val="0"/>
                <w:i w:val="0"/>
                <w:color w:val="212121"/>
                <w:sz w:val="16"/>
              </w:rPr>
              <w:t>All patients before labelling piles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 (safety)</w:t>
            </w:r>
          </w:p>
        </w:tc>
        <w:tc>
          <w:tcPr>
            <w:tcW w:type="dxa" w:w="720"/>
            <w:vAlign w:val="top"/>
          </w:tcPr>
          <w:p>
            <w:pPr>
              <w:spacing w:after="40" w:before="0" w:line="259" w:lineRule="auto"/>
            </w:pPr>
            <w:r>
              <w:rPr>
                <w:rFonts w:ascii="Calibri" w:hAnsi="Calibri"/>
                <w:b w:val="0"/>
                <w:i w:val="0"/>
                <w:color w:val="212121"/>
                <w:sz w:val="16"/>
              </w:rPr>
              <w:t>Do not attribute bleeding to piles alone in at-risk patients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Obstetric / risk history</w:t>
            </w:r>
          </w:p>
        </w:tc>
        <w:tc>
          <w:tcPr>
            <w:tcW w:type="dxa" w:w="979"/>
            <w:vAlign w:val="top"/>
          </w:tcPr>
          <w:p>
            <w:pPr>
              <w:spacing w:after="40" w:before="0" w:line="259" w:lineRule="auto"/>
            </w:pPr>
            <w:r>
              <w:rPr>
                <w:rFonts w:ascii="Calibri" w:hAnsi="Calibri"/>
                <w:b w:val="0"/>
                <w:i w:val="0"/>
                <w:color w:val="212121"/>
                <w:sz w:val="16"/>
              </w:rPr>
              <w:t>Pregnancy, parity, heavy lifting, chronic cough</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Pregnancy/recent delivery, straining occupation</w:t>
            </w:r>
          </w:p>
        </w:tc>
        <w:tc>
          <w:tcPr>
            <w:tcW w:type="dxa" w:w="1036"/>
            <w:vAlign w:val="top"/>
          </w:tcPr>
          <w:p>
            <w:pPr>
              <w:spacing w:after="40" w:before="0" w:line="259" w:lineRule="auto"/>
            </w:pPr>
            <w:r>
              <w:rPr>
                <w:rFonts w:ascii="Calibri" w:hAnsi="Calibri"/>
                <w:b w:val="0"/>
                <w:i w:val="0"/>
                <w:color w:val="212121"/>
                <w:sz w:val="16"/>
              </w:rPr>
              <w:t>Explains raised intra-abdominal/pelvic pressure</w:t>
            </w:r>
          </w:p>
        </w:tc>
        <w:tc>
          <w:tcPr>
            <w:tcW w:type="dxa" w:w="1036"/>
            <w:vAlign w:val="top"/>
          </w:tcPr>
          <w:p>
            <w:pPr>
              <w:spacing w:after="40" w:before="0" w:line="259" w:lineRule="auto"/>
            </w:pPr>
            <w:r>
              <w:rPr>
                <w:rFonts w:ascii="Calibri" w:hAnsi="Calibri"/>
                <w:b w:val="0"/>
                <w:i w:val="0"/>
                <w:color w:val="212121"/>
                <w:sz w:val="16"/>
              </w:rPr>
              <w:t>Pregnant/postpartum women, labourers</w:t>
            </w:r>
          </w:p>
        </w:tc>
        <w:tc>
          <w:tcPr>
            <w:tcW w:type="dxa" w:w="720"/>
            <w:vAlign w:val="top"/>
          </w:tcPr>
          <w:p>
            <w:pPr>
              <w:spacing w:after="40" w:before="0" w:line="259" w:lineRule="auto"/>
            </w:pPr>
            <w:r>
              <w:rPr>
                <w:rFonts w:ascii="Calibri" w:hAnsi="Calibri"/>
                <w:b w:val="0"/>
                <w:i w:val="0"/>
                <w:color w:val="212121"/>
                <w:sz w:val="16"/>
              </w:rPr>
              <w:t>Provoking factors; Posture</w:t>
            </w:r>
          </w:p>
        </w:tc>
        <w:tc>
          <w:tcPr>
            <w:tcW w:type="dxa" w:w="720"/>
            <w:vAlign w:val="top"/>
          </w:tcPr>
          <w:p>
            <w:pPr>
              <w:spacing w:after="40" w:before="0" w:line="259" w:lineRule="auto"/>
            </w:pPr>
            <w:r>
              <w:rPr>
                <w:rFonts w:ascii="Calibri" w:hAnsi="Calibri"/>
                <w:b w:val="0"/>
                <w:i w:val="0"/>
                <w:color w:val="212121"/>
                <w:sz w:val="16"/>
              </w:rPr>
              <w:t>Contextual</w:t>
            </w:r>
          </w:p>
        </w:tc>
        <w:tc>
          <w:tcPr>
            <w:tcW w:type="dxa" w:w="720"/>
            <w:vAlign w:val="top"/>
          </w:tcPr>
          <w:p>
            <w:pPr>
              <w:spacing w:after="40" w:before="0" w:line="259" w:lineRule="auto"/>
            </w:pPr>
            <w:r>
              <w:rPr>
                <w:rFonts w:ascii="Calibri" w:hAnsi="Calibri"/>
                <w:b w:val="0"/>
                <w:i w:val="0"/>
                <w:color w:val="212121"/>
                <w:sz w:val="16"/>
              </w:rPr>
              <w:t>Guides conservative management in pregnancy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Perianal inspection</w:t>
            </w:r>
          </w:p>
        </w:tc>
        <w:tc>
          <w:tcPr>
            <w:tcW w:type="dxa" w:w="979"/>
            <w:vAlign w:val="top"/>
          </w:tcPr>
          <w:p>
            <w:pPr>
              <w:spacing w:after="40" w:before="0" w:line="259" w:lineRule="auto"/>
            </w:pPr>
            <w:r>
              <w:rPr>
                <w:rFonts w:ascii="Calibri" w:hAnsi="Calibri"/>
                <w:b w:val="0"/>
                <w:i w:val="0"/>
                <w:color w:val="212121"/>
                <w:sz w:val="16"/>
              </w:rPr>
              <w:t>External piles, skin tags, prolapse, thrombosed lump</w:t>
            </w:r>
          </w:p>
        </w:tc>
        <w:tc>
          <w:tcPr>
            <w:tcW w:type="dxa" w:w="950"/>
            <w:vAlign w:val="top"/>
          </w:tcPr>
          <w:p>
            <w:pPr>
              <w:spacing w:after="40" w:before="0" w:line="259" w:lineRule="auto"/>
            </w:pPr>
            <w:r>
              <w:rPr>
                <w:rFonts w:ascii="Calibri" w:hAnsi="Calibri"/>
                <w:b w:val="0"/>
                <w:i w:val="0"/>
                <w:color w:val="212121"/>
                <w:sz w:val="16"/>
              </w:rPr>
              <w:t>Normal perianal skin</w:t>
            </w:r>
          </w:p>
        </w:tc>
        <w:tc>
          <w:tcPr>
            <w:tcW w:type="dxa" w:w="950"/>
            <w:vAlign w:val="top"/>
          </w:tcPr>
          <w:p>
            <w:pPr>
              <w:spacing w:after="40" w:before="0" w:line="259" w:lineRule="auto"/>
            </w:pPr>
            <w:r>
              <w:rPr>
                <w:rFonts w:ascii="Calibri" w:hAnsi="Calibri"/>
                <w:b w:val="0"/>
                <w:i w:val="0"/>
                <w:color w:val="212121"/>
                <w:sz w:val="16"/>
              </w:rPr>
              <w:t>Visible external/prolapsing hemorrhoids, thrombosis, tags</w:t>
            </w:r>
          </w:p>
        </w:tc>
        <w:tc>
          <w:tcPr>
            <w:tcW w:type="dxa" w:w="1036"/>
            <w:vAlign w:val="top"/>
          </w:tcPr>
          <w:p>
            <w:pPr>
              <w:spacing w:after="40" w:before="0" w:line="259" w:lineRule="auto"/>
            </w:pPr>
            <w:r>
              <w:rPr>
                <w:rFonts w:ascii="Calibri" w:hAnsi="Calibri"/>
                <w:b w:val="0"/>
                <w:i w:val="0"/>
                <w:color w:val="212121"/>
                <w:sz w:val="16"/>
              </w:rPr>
              <w:t>Identifies external and prolapsing disease and complications</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Inspect at rest and on straining (Valsalva)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Digital rectal examination</w:t>
            </w:r>
          </w:p>
        </w:tc>
        <w:tc>
          <w:tcPr>
            <w:tcW w:type="dxa" w:w="979"/>
            <w:vAlign w:val="top"/>
          </w:tcPr>
          <w:p>
            <w:pPr>
              <w:spacing w:after="40" w:before="0" w:line="259" w:lineRule="auto"/>
            </w:pPr>
            <w:r>
              <w:rPr>
                <w:rFonts w:ascii="Calibri" w:hAnsi="Calibri"/>
                <w:b w:val="0"/>
                <w:i w:val="0"/>
                <w:color w:val="212121"/>
                <w:sz w:val="16"/>
              </w:rPr>
              <w:t>Sphincter tone, palpable mass, blood on glove</w:t>
            </w:r>
          </w:p>
        </w:tc>
        <w:tc>
          <w:tcPr>
            <w:tcW w:type="dxa" w:w="950"/>
            <w:vAlign w:val="top"/>
          </w:tcPr>
          <w:p>
            <w:pPr>
              <w:spacing w:after="40" w:before="0" w:line="259" w:lineRule="auto"/>
            </w:pPr>
            <w:r>
              <w:rPr>
                <w:rFonts w:ascii="Calibri" w:hAnsi="Calibri"/>
                <w:b w:val="0"/>
                <w:i w:val="0"/>
                <w:color w:val="212121"/>
                <w:sz w:val="16"/>
              </w:rPr>
              <w:t>Normal tone, no mass; soft cushions not palpable</w:t>
            </w:r>
          </w:p>
        </w:tc>
        <w:tc>
          <w:tcPr>
            <w:tcW w:type="dxa" w:w="950"/>
            <w:vAlign w:val="top"/>
          </w:tcPr>
          <w:p>
            <w:pPr>
              <w:spacing w:after="40" w:before="0" w:line="259" w:lineRule="auto"/>
            </w:pPr>
            <w:r>
              <w:rPr>
                <w:rFonts w:ascii="Calibri" w:hAnsi="Calibri"/>
                <w:b w:val="0"/>
                <w:i w:val="0"/>
                <w:color w:val="212121"/>
                <w:sz w:val="16"/>
              </w:rPr>
              <w:t>Palpable rectal mass, blood, tenderness</w:t>
            </w:r>
          </w:p>
        </w:tc>
        <w:tc>
          <w:tcPr>
            <w:tcW w:type="dxa" w:w="1036"/>
            <w:vAlign w:val="top"/>
          </w:tcPr>
          <w:p>
            <w:pPr>
              <w:spacing w:after="40" w:before="0" w:line="259" w:lineRule="auto"/>
            </w:pPr>
            <w:r>
              <w:rPr>
                <w:rFonts w:ascii="Calibri" w:hAnsi="Calibri"/>
                <w:b w:val="0"/>
                <w:i w:val="0"/>
                <w:color w:val="212121"/>
                <w:sz w:val="16"/>
              </w:rPr>
              <w:t>Uncomplicated internal piles are not palpable; a mass suggests other pathology</w:t>
            </w:r>
          </w:p>
        </w:tc>
        <w:tc>
          <w:tcPr>
            <w:tcW w:type="dxa" w:w="1036"/>
            <w:vAlign w:val="top"/>
          </w:tcPr>
          <w:p>
            <w:pPr>
              <w:spacing w:after="40" w:before="0" w:line="259" w:lineRule="auto"/>
            </w:pPr>
            <w:r>
              <w:rPr>
                <w:rFonts w:ascii="Calibri" w:hAnsi="Calibri"/>
                <w:b w:val="0"/>
                <w:i w:val="0"/>
                <w:color w:val="212121"/>
                <w:sz w:val="16"/>
              </w:rPr>
              <w:t>All patients (with bleeding)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A palpable mass is a red flag for carcinoma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Grading on straining</w:t>
            </w:r>
          </w:p>
        </w:tc>
        <w:tc>
          <w:tcPr>
            <w:tcW w:type="dxa" w:w="979"/>
            <w:vAlign w:val="top"/>
          </w:tcPr>
          <w:p>
            <w:pPr>
              <w:spacing w:after="40" w:before="0" w:line="259" w:lineRule="auto"/>
            </w:pPr>
            <w:r>
              <w:rPr>
                <w:rFonts w:ascii="Calibri" w:hAnsi="Calibri"/>
                <w:b w:val="0"/>
                <w:i w:val="0"/>
                <w:color w:val="212121"/>
                <w:sz w:val="16"/>
              </w:rPr>
              <w:t>Goligher grade (I–IV) on Valsalva</w:t>
            </w:r>
          </w:p>
        </w:tc>
        <w:tc>
          <w:tcPr>
            <w:tcW w:type="dxa" w:w="950"/>
            <w:vAlign w:val="top"/>
          </w:tcPr>
          <w:p>
            <w:pPr>
              <w:spacing w:after="40" w:before="0" w:line="259" w:lineRule="auto"/>
            </w:pPr>
            <w:r>
              <w:rPr>
                <w:rFonts w:ascii="Calibri" w:hAnsi="Calibri"/>
                <w:b w:val="0"/>
                <w:i w:val="0"/>
                <w:color w:val="212121"/>
                <w:sz w:val="16"/>
              </w:rPr>
              <w:t>No prolapse (Grade 0/I)</w:t>
            </w:r>
          </w:p>
        </w:tc>
        <w:tc>
          <w:tcPr>
            <w:tcW w:type="dxa" w:w="950"/>
            <w:vAlign w:val="top"/>
          </w:tcPr>
          <w:p>
            <w:pPr>
              <w:spacing w:after="40" w:before="0" w:line="259" w:lineRule="auto"/>
            </w:pPr>
            <w:r>
              <w:rPr>
                <w:rFonts w:ascii="Calibri" w:hAnsi="Calibri"/>
                <w:b w:val="0"/>
                <w:i w:val="0"/>
                <w:color w:val="212121"/>
                <w:sz w:val="16"/>
              </w:rPr>
              <w:t>Grade II–IV prolapse</w:t>
            </w:r>
          </w:p>
        </w:tc>
        <w:tc>
          <w:tcPr>
            <w:tcW w:type="dxa" w:w="1036"/>
            <w:vAlign w:val="top"/>
          </w:tcPr>
          <w:p>
            <w:pPr>
              <w:spacing w:after="40" w:before="0" w:line="259" w:lineRule="auto"/>
            </w:pPr>
            <w:r>
              <w:rPr>
                <w:rFonts w:ascii="Calibri" w:hAnsi="Calibri"/>
                <w:b w:val="0"/>
                <w:i w:val="0"/>
                <w:color w:val="212121"/>
                <w:sz w:val="16"/>
              </w:rPr>
              <w:t>Determines conservative vs procedural vs surgical treatment</w:t>
            </w:r>
          </w:p>
        </w:tc>
        <w:tc>
          <w:tcPr>
            <w:tcW w:type="dxa" w:w="1036"/>
            <w:vAlign w:val="top"/>
          </w:tcPr>
          <w:p>
            <w:pPr>
              <w:spacing w:after="40" w:before="0" w:line="259" w:lineRule="auto"/>
            </w:pPr>
            <w:r>
              <w:rPr>
                <w:rFonts w:ascii="Calibri" w:hAnsi="Calibri"/>
                <w:b w:val="0"/>
                <w:i w:val="0"/>
                <w:color w:val="212121"/>
                <w:sz w:val="16"/>
              </w:rPr>
              <w:t>Prolapse-predominant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Therapeutic planning</w:t>
            </w:r>
          </w:p>
        </w:tc>
        <w:tc>
          <w:tcPr>
            <w:tcW w:type="dxa" w:w="720"/>
            <w:vAlign w:val="top"/>
          </w:tcPr>
          <w:p>
            <w:pPr>
              <w:spacing w:after="40" w:before="0" w:line="259" w:lineRule="auto"/>
            </w:pPr>
            <w:r>
              <w:rPr>
                <w:rFonts w:ascii="Calibri" w:hAnsi="Calibri"/>
                <w:b w:val="0"/>
                <w:i w:val="0"/>
                <w:color w:val="212121"/>
                <w:sz w:val="16"/>
              </w:rPr>
              <w:t>Confirm grade with proctoscopy</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Painless bright red rectal bleeding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Fresh blood coating the stool, on the toilet paper or dripping into the pan at the end of defecation — the classic symptom of internal hemorrhoids.</w:t>
            </w:r>
          </w:p>
        </w:tc>
      </w:tr>
      <w:tr>
        <w:trPr>
          <w:cantSplit/>
        </w:trPr>
        <w:tc>
          <w:tcPr>
            <w:tcW w:type="dxa" w:w="2304"/>
            <w:vAlign w:val="top"/>
          </w:tcPr>
          <w:p>
            <w:pPr>
              <w:spacing w:after="40" w:before="0" w:line="259" w:lineRule="auto"/>
            </w:pPr>
            <w:r>
              <w:rPr>
                <w:rFonts w:ascii="Calibri" w:hAnsi="Calibri"/>
                <w:b/>
                <w:i w:val="0"/>
                <w:color w:val="212121"/>
                <w:sz w:val="19"/>
              </w:rPr>
              <w:t>Perianal lump / prolapse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soft swelling felt at the anus, appearing on straining and reducing spontaneously or needing to be pushed back (Goligher grade dependent).</w:t>
            </w:r>
          </w:p>
        </w:tc>
      </w:tr>
      <w:tr>
        <w:trPr>
          <w:cantSplit/>
        </w:trPr>
        <w:tc>
          <w:tcPr>
            <w:tcW w:type="dxa" w:w="2304"/>
            <w:vAlign w:val="top"/>
          </w:tcPr>
          <w:p>
            <w:pPr>
              <w:spacing w:after="40" w:before="0" w:line="259" w:lineRule="auto"/>
            </w:pPr>
            <w:r>
              <w:rPr>
                <w:rFonts w:ascii="Calibri" w:hAnsi="Calibri"/>
                <w:b/>
                <w:i w:val="0"/>
                <w:color w:val="212121"/>
                <w:sz w:val="19"/>
              </w:rPr>
              <w:t>Anal itching (pruritus ani)</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Irritation from mucus and moisture around prolapsing cushions; aggravated by spicy food and over-wiping.</w:t>
            </w:r>
          </w:p>
        </w:tc>
      </w:tr>
      <w:tr>
        <w:trPr>
          <w:cantSplit/>
        </w:trPr>
        <w:tc>
          <w:tcPr>
            <w:tcW w:type="dxa" w:w="2304"/>
            <w:vAlign w:val="top"/>
          </w:tcPr>
          <w:p>
            <w:pPr>
              <w:spacing w:after="40" w:before="0" w:line="259" w:lineRule="auto"/>
            </w:pPr>
            <w:r>
              <w:rPr>
                <w:rFonts w:ascii="Calibri" w:hAnsi="Calibri"/>
                <w:b/>
                <w:i w:val="0"/>
                <w:color w:val="212121"/>
                <w:sz w:val="19"/>
              </w:rPr>
              <w:t>Mucus discharge / perianal moisture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Leakage of mucus from prolapsed cushions, causing dampness and soiling of undergarments.</w:t>
            </w:r>
          </w:p>
        </w:tc>
      </w:tr>
      <w:tr>
        <w:trPr>
          <w:cantSplit/>
        </w:trPr>
        <w:tc>
          <w:tcPr>
            <w:tcW w:type="dxa" w:w="2304"/>
            <w:vAlign w:val="top"/>
          </w:tcPr>
          <w:p>
            <w:pPr>
              <w:spacing w:after="40" w:before="0" w:line="259" w:lineRule="auto"/>
            </w:pPr>
            <w:r>
              <w:rPr>
                <w:rFonts w:ascii="Calibri" w:hAnsi="Calibri"/>
                <w:b/>
                <w:i w:val="0"/>
                <w:color w:val="212121"/>
                <w:sz w:val="19"/>
              </w:rPr>
              <w:t>Sensation of incomplete evacuation / fullness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feeling of a mass or of not fully emptying the rectum, prompting further straining.</w:t>
            </w:r>
          </w:p>
        </w:tc>
      </w:tr>
      <w:tr>
        <w:trPr>
          <w:cantSplit/>
        </w:trPr>
        <w:tc>
          <w:tcPr>
            <w:tcW w:type="dxa" w:w="2304"/>
            <w:vAlign w:val="top"/>
          </w:tcPr>
          <w:p>
            <w:pPr>
              <w:spacing w:after="40" w:before="0" w:line="259" w:lineRule="auto"/>
            </w:pPr>
            <w:r>
              <w:rPr>
                <w:rFonts w:ascii="Calibri" w:hAnsi="Calibri"/>
                <w:b/>
                <w:i w:val="0"/>
                <w:color w:val="212121"/>
                <w:sz w:val="19"/>
              </w:rPr>
              <w:t>Perianal discomfort or soreness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Dull ache or heaviness rather than sharp pain; uncomplicated internal hemorrhoids are usually painless.</w:t>
            </w:r>
          </w:p>
        </w:tc>
      </w:tr>
      <w:tr>
        <w:trPr>
          <w:cantSplit/>
        </w:trPr>
        <w:tc>
          <w:tcPr>
            <w:tcW w:type="dxa" w:w="2304"/>
            <w:vAlign w:val="top"/>
          </w:tcPr>
          <w:p>
            <w:pPr>
              <w:spacing w:after="40" w:before="0" w:line="259" w:lineRule="auto"/>
            </w:pPr>
            <w:r>
              <w:rPr>
                <w:rFonts w:ascii="Calibri" w:hAnsi="Calibri"/>
                <w:b/>
                <w:i w:val="0"/>
                <w:color w:val="212121"/>
                <w:sz w:val="19"/>
              </w:rPr>
              <w:t>A swelling after defecation that reduces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Prolapse that appears with passing stool and then returns, typical of Grade II–III disease.</w:t>
            </w:r>
          </w:p>
        </w:tc>
      </w:tr>
      <w:tr>
        <w:trPr>
          <w:cantSplit/>
        </w:trPr>
        <w:tc>
          <w:tcPr>
            <w:tcW w:type="dxa" w:w="2304"/>
            <w:vAlign w:val="top"/>
          </w:tcPr>
          <w:p>
            <w:pPr>
              <w:spacing w:after="40" w:before="0" w:line="259" w:lineRule="auto"/>
            </w:pPr>
            <w:r>
              <w:rPr>
                <w:rFonts w:ascii="Calibri" w:hAnsi="Calibri"/>
                <w:b/>
                <w:i w:val="0"/>
                <w:color w:val="212121"/>
                <w:sz w:val="19"/>
              </w:rPr>
              <w:t>Difficulty with perianal hygiene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Skin tags and prolapse make cleaning difficult, perpetuating irritation and itching.</w:t>
            </w:r>
          </w:p>
        </w:tc>
      </w:tr>
      <w:tr>
        <w:trPr>
          <w:cantSplit/>
        </w:trPr>
        <w:tc>
          <w:tcPr>
            <w:tcW w:type="dxa" w:w="2304"/>
            <w:vAlign w:val="top"/>
          </w:tcPr>
          <w:p>
            <w:pPr>
              <w:spacing w:after="40" w:before="0" w:line="259" w:lineRule="auto"/>
            </w:pPr>
            <w:r>
              <w:rPr>
                <w:rFonts w:ascii="Calibri" w:hAnsi="Calibri"/>
                <w:b/>
                <w:i w:val="0"/>
                <w:color w:val="212121"/>
                <w:sz w:val="19"/>
              </w:rPr>
              <w:t>Acute severe anal pain with a tender lump</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a thrombosed external hemorrhoid — a bluish, exquisitely tender perianal swelling, most painful in the first 48–72 hours.</w:t>
            </w:r>
          </w:p>
        </w:tc>
      </w:tr>
      <w:tr>
        <w:trPr>
          <w:cantSplit/>
        </w:trPr>
        <w:tc>
          <w:tcPr>
            <w:tcW w:type="dxa" w:w="2304"/>
            <w:vAlign w:val="top"/>
          </w:tcPr>
          <w:p>
            <w:pPr>
              <w:spacing w:after="40" w:before="0" w:line="259" w:lineRule="auto"/>
            </w:pPr>
            <w:r>
              <w:rPr>
                <w:rFonts w:ascii="Calibri" w:hAnsi="Calibri"/>
                <w:b/>
                <w:i w:val="0"/>
                <w:color w:val="212121"/>
                <w:sz w:val="19"/>
              </w:rPr>
              <w:t>Fatigue and breathlessness (from anaemia)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Chronic blood loss can cause iron-deficiency anaemia with tiredness, pallor and exertional breathlessness.</w:t>
            </w:r>
          </w:p>
        </w:tc>
      </w:tr>
      <w:tr>
        <w:trPr>
          <w:cantSplit/>
        </w:trPr>
        <w:tc>
          <w:tcPr>
            <w:tcW w:type="dxa" w:w="2304"/>
            <w:vAlign w:val="top"/>
          </w:tcPr>
          <w:p>
            <w:pPr>
              <w:spacing w:after="40" w:before="0" w:line="259" w:lineRule="auto"/>
            </w:pPr>
            <w:r>
              <w:rPr>
                <w:rFonts w:ascii="Calibri" w:hAnsi="Calibri"/>
                <w:b/>
                <w:i w:val="0"/>
                <w:color w:val="212121"/>
                <w:sz w:val="19"/>
              </w:rPr>
              <w:t>Faecal soiling / minor incontinence to mucus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Large prolapsing hemorrhoids can prevent complete anal closure, causing leakage.</w:t>
            </w:r>
          </w:p>
        </w:tc>
      </w:tr>
      <w:tr>
        <w:trPr>
          <w:cantSplit/>
        </w:trPr>
        <w:tc>
          <w:tcPr>
            <w:tcW w:type="dxa" w:w="2304"/>
            <w:vAlign w:val="top"/>
          </w:tcPr>
          <w:p>
            <w:pPr>
              <w:spacing w:after="40" w:before="0" w:line="259" w:lineRule="auto"/>
            </w:pPr>
            <w:r>
              <w:rPr>
                <w:rFonts w:ascii="Calibri" w:hAnsi="Calibri"/>
                <w:b/>
                <w:i w:val="0"/>
                <w:color w:val="212121"/>
                <w:sz w:val="19"/>
              </w:rPr>
              <w:t>Constant severe pain with an irreducible mass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Indicates strangulated or gangrenous Grade IV hemorrhoids — a surgical emergency.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Visible external hemorrhoids / skin tags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Perianal swellings or residual tags seen on inspection at the anal verge.</w:t>
            </w:r>
          </w:p>
        </w:tc>
      </w:tr>
      <w:tr>
        <w:trPr>
          <w:cantSplit/>
        </w:trPr>
        <w:tc>
          <w:tcPr>
            <w:tcW w:type="dxa" w:w="3456"/>
            <w:vAlign w:val="top"/>
          </w:tcPr>
          <w:p>
            <w:pPr>
              <w:spacing w:after="40" w:before="0" w:line="259" w:lineRule="auto"/>
            </w:pPr>
            <w:r>
              <w:rPr>
                <w:rFonts w:ascii="Calibri" w:hAnsi="Calibri"/>
                <w:b/>
                <w:i w:val="0"/>
                <w:color w:val="212121"/>
                <w:sz w:val="19"/>
              </w:rPr>
              <w:t>Prolapsing internal hemorrhoids on straining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Reducible or irreducible mucosal cushions appearing at the anus on Valsalva, graded by Goligher.</w:t>
            </w:r>
          </w:p>
        </w:tc>
      </w:tr>
      <w:tr>
        <w:trPr>
          <w:cantSplit/>
        </w:trPr>
        <w:tc>
          <w:tcPr>
            <w:tcW w:type="dxa" w:w="3456"/>
            <w:vAlign w:val="top"/>
          </w:tcPr>
          <w:p>
            <w:pPr>
              <w:spacing w:after="40" w:before="0" w:line="259" w:lineRule="auto"/>
            </w:pPr>
            <w:r>
              <w:rPr>
                <w:rFonts w:ascii="Calibri" w:hAnsi="Calibri"/>
                <w:b/>
                <w:i w:val="0"/>
                <w:color w:val="212121"/>
                <w:sz w:val="19"/>
              </w:rPr>
              <w:t>Bright red blood on glove or paper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Fresh blood on the examining glove or toilet tissue rather than dark, altered blood.</w:t>
            </w:r>
          </w:p>
        </w:tc>
      </w:tr>
      <w:tr>
        <w:trPr>
          <w:cantSplit/>
        </w:trPr>
        <w:tc>
          <w:tcPr>
            <w:tcW w:type="dxa" w:w="3456"/>
            <w:vAlign w:val="top"/>
          </w:tcPr>
          <w:p>
            <w:pPr>
              <w:spacing w:after="40" w:before="0" w:line="259" w:lineRule="auto"/>
            </w:pPr>
            <w:r>
              <w:rPr>
                <w:rFonts w:ascii="Calibri" w:hAnsi="Calibri"/>
                <w:b/>
                <w:i w:val="0"/>
                <w:color w:val="212121"/>
                <w:sz w:val="19"/>
              </w:rPr>
              <w:t>Internal hemorrhoids on proctoscopy (3, 7, 11 o’clock)</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Congested, bulging cushions seen at the classic positions through the proctoscope.</w:t>
            </w:r>
          </w:p>
        </w:tc>
      </w:tr>
      <w:tr>
        <w:trPr>
          <w:cantSplit/>
        </w:trPr>
        <w:tc>
          <w:tcPr>
            <w:tcW w:type="dxa" w:w="3456"/>
            <w:vAlign w:val="top"/>
          </w:tcPr>
          <w:p>
            <w:pPr>
              <w:spacing w:after="40" w:before="0" w:line="259" w:lineRule="auto"/>
            </w:pPr>
            <w:r>
              <w:rPr>
                <w:rFonts w:ascii="Calibri" w:hAnsi="Calibri"/>
                <w:b/>
                <w:i w:val="0"/>
                <w:color w:val="212121"/>
                <w:sz w:val="19"/>
              </w:rPr>
              <w:t>Thrombosed external hemorrhoid</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tense, tender, bluish-purple perianal lump — a clot within an external hemorrhoid.</w:t>
            </w:r>
          </w:p>
        </w:tc>
      </w:tr>
      <w:tr>
        <w:trPr>
          <w:cantSplit/>
        </w:trPr>
        <w:tc>
          <w:tcPr>
            <w:tcW w:type="dxa" w:w="3456"/>
            <w:vAlign w:val="top"/>
          </w:tcPr>
          <w:p>
            <w:pPr>
              <w:spacing w:after="40" w:before="0" w:line="259" w:lineRule="auto"/>
            </w:pPr>
            <w:r>
              <w:rPr>
                <w:rFonts w:ascii="Calibri" w:hAnsi="Calibri"/>
                <w:b/>
                <w:i w:val="0"/>
                <w:color w:val="212121"/>
                <w:sz w:val="19"/>
              </w:rPr>
              <w:t>Normal digital rectal examination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Soft internal hemorrhoids are usually not palpable; a normal DRE with fresh bleeding is consistent with piles.</w:t>
            </w:r>
          </w:p>
        </w:tc>
      </w:tr>
      <w:tr>
        <w:trPr>
          <w:cantSplit/>
        </w:trPr>
        <w:tc>
          <w:tcPr>
            <w:tcW w:type="dxa" w:w="3456"/>
            <w:vAlign w:val="top"/>
          </w:tcPr>
          <w:p>
            <w:pPr>
              <w:spacing w:after="40" w:before="0" w:line="259" w:lineRule="auto"/>
            </w:pPr>
            <w:r>
              <w:rPr>
                <w:rFonts w:ascii="Calibri" w:hAnsi="Calibri"/>
                <w:b/>
                <w:i w:val="0"/>
                <w:color w:val="212121"/>
                <w:sz w:val="19"/>
              </w:rPr>
              <w:t>Perianal excoriation / dermatitis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Redness and skin breakdown from chronic moisture, mucus and scratching (pruritus ani).</w:t>
            </w:r>
          </w:p>
        </w:tc>
      </w:tr>
      <w:tr>
        <w:trPr>
          <w:cantSplit/>
        </w:trPr>
        <w:tc>
          <w:tcPr>
            <w:tcW w:type="dxa" w:w="3456"/>
            <w:vAlign w:val="top"/>
          </w:tcPr>
          <w:p>
            <w:pPr>
              <w:spacing w:after="40" w:before="0" w:line="259" w:lineRule="auto"/>
            </w:pPr>
            <w:r>
              <w:rPr>
                <w:rFonts w:ascii="Calibri" w:hAnsi="Calibri"/>
                <w:b/>
                <w:i w:val="0"/>
                <w:color w:val="212121"/>
                <w:sz w:val="19"/>
              </w:rPr>
              <w:t>Pallor / signs of anaemia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Conjunctival and palmar pallor from chronic blood loss in long-standing bleeding piles.</w:t>
            </w:r>
          </w:p>
        </w:tc>
      </w:tr>
      <w:tr>
        <w:trPr>
          <w:cantSplit/>
        </w:trPr>
        <w:tc>
          <w:tcPr>
            <w:tcW w:type="dxa" w:w="3456"/>
            <w:vAlign w:val="top"/>
          </w:tcPr>
          <w:p>
            <w:pPr>
              <w:spacing w:after="40" w:before="0" w:line="259" w:lineRule="auto"/>
            </w:pPr>
            <w:r>
              <w:rPr>
                <w:rFonts w:ascii="Calibri" w:hAnsi="Calibri"/>
                <w:b/>
                <w:i w:val="0"/>
                <w:color w:val="212121"/>
                <w:sz w:val="19"/>
              </w:rPr>
              <w:t>Strangulated / ulcerated hemorrhoid with necrosis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An irreducible, dusky, necrotic prolapse indicating strangulation — requires urgent surgery.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bright red rectal bleeding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Prolapse (Goligher grade II–IV)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thrombosed external hemorrhoid (severe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Irreducible / incarcerated prolapse</w:t>
            </w:r>
          </w:p>
        </w:tc>
        <w:tc>
          <w:tcPr>
            <w:tcW w:type="dxa" w:w="2980"/>
            <w:vAlign w:val="top"/>
          </w:tcPr>
          <w:p>
            <w:pPr>
              <w:spacing w:after="40" w:before="0" w:line="259" w:lineRule="auto"/>
            </w:pPr>
            <w:r>
              <w:rPr>
                <w:rFonts w:ascii="Calibri" w:hAnsi="Calibri"/>
                <w:b w:val="0"/>
                <w:i w:val="0"/>
                <w:color w:val="212121"/>
                <w:sz w:val="19"/>
              </w:rPr>
              <w:t>Direct consequences of engorgement, prolapse and clotting within the anal cushions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Iron-deficiency anaemia from chronic blood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Strangulation and ulceration of prolapsed hemorrhoids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Perianal skin tags, pruritus ani and dermatitis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Mucus soiling and minor faecal leakage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infection / perianal sepsis (uncommon)</w:t>
            </w:r>
          </w:p>
        </w:tc>
        <w:tc>
          <w:tcPr>
            <w:tcW w:type="dxa" w:w="2980"/>
            <w:vAlign w:val="top"/>
          </w:tcPr>
          <w:p>
            <w:pPr>
              <w:spacing w:after="40" w:before="0" w:line="259" w:lineRule="auto"/>
            </w:pPr>
            <w:r>
              <w:rPr>
                <w:rFonts w:ascii="Calibri" w:hAnsi="Calibri"/>
                <w:b w:val="0"/>
                <w:i w:val="0"/>
                <w:color w:val="212121"/>
                <w:sz w:val="19"/>
              </w:rPr>
              <w:t>Result from ongoing bleeding, prolapse, moisture and, rarely, thrombosis with compromise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Gangrene of strangulated Grade IV hemorrhoids (surgical emergency)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symptomatic anaemia requiring transfusion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recurrent disease with repeated procedures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Post-operative complications — anal stenosis, incontinence, urinary retention, delayed haemorrhage, rarely sepsis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Missed colorectal cancer if bleeding is wrongly attributed to piles</w:t>
            </w:r>
          </w:p>
        </w:tc>
        <w:tc>
          <w:tcPr>
            <w:tcW w:type="dxa" w:w="2980"/>
            <w:vAlign w:val="top"/>
          </w:tcPr>
          <w:p>
            <w:pPr>
              <w:spacing w:after="40" w:before="0" w:line="259" w:lineRule="auto"/>
            </w:pPr>
            <w:r>
              <w:rPr>
                <w:rFonts w:ascii="Calibri" w:hAnsi="Calibri"/>
                <w:b w:val="0"/>
                <w:i w:val="0"/>
                <w:color w:val="212121"/>
                <w:sz w:val="19"/>
              </w:rPr>
              <w:t>Irreversible or high-morbidity outcomes of longstanding, complicated or mismanaged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Chronic constipation / functional bowel disorder</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The dominant coexisting condition; hard stool and straining drive hemorrhoids.</w:t>
            </w:r>
          </w:p>
          <w:p>
            <w:pPr>
              <w:spacing w:after="40" w:before="0" w:line="259" w:lineRule="auto"/>
            </w:pPr>
            <w:r>
              <w:rPr>
                <w:rFonts w:ascii="Calibri" w:hAnsi="Calibri"/>
                <w:b/>
                <w:i w:val="0"/>
                <w:color w:val="212121"/>
                <w:sz w:val="19"/>
              </w:rPr>
              <w:t>~57–78%</w:t>
            </w:r>
          </w:p>
        </w:tc>
      </w:tr>
      <w:tr>
        <w:trPr>
          <w:cantSplit/>
        </w:trPr>
        <w:tc>
          <w:tcPr>
            <w:tcW w:type="dxa" w:w="2232"/>
            <w:vAlign w:val="top"/>
          </w:tcPr>
          <w:p>
            <w:pPr>
              <w:spacing w:after="40" w:before="0" w:line="259" w:lineRule="auto"/>
            </w:pPr>
            <w:r>
              <w:rPr>
                <w:rFonts w:ascii="Calibri" w:hAnsi="Calibri"/>
                <w:b/>
                <w:i w:val="0"/>
                <w:color w:val="212121"/>
                <w:sz w:val="19"/>
              </w:rPr>
              <w:t>Low-fibre dietary pattern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Highly prevalent lifestyle association producing hard stool and straining.</w:t>
            </w:r>
          </w:p>
          <w:p>
            <w:pPr>
              <w:spacing w:after="40" w:before="0" w:line="259" w:lineRule="auto"/>
            </w:pPr>
            <w:r>
              <w:rPr>
                <w:rFonts w:ascii="Calibri" w:hAnsi="Calibri"/>
                <w:b/>
                <w:i w:val="0"/>
                <w:color w:val="212121"/>
                <w:sz w:val="19"/>
              </w:rPr>
              <w:t>~65–70%</w:t>
            </w:r>
          </w:p>
        </w:tc>
      </w:tr>
      <w:tr>
        <w:trPr>
          <w:cantSplit/>
        </w:trPr>
        <w:tc>
          <w:tcPr>
            <w:tcW w:type="dxa" w:w="2232"/>
            <w:vAlign w:val="top"/>
          </w:tcPr>
          <w:p>
            <w:pPr>
              <w:spacing w:after="40" w:before="0" w:line="259" w:lineRule="auto"/>
            </w:pPr>
            <w:r>
              <w:rPr>
                <w:rFonts w:ascii="Calibri" w:hAnsi="Calibri"/>
                <w:b/>
                <w:i w:val="0"/>
                <w:color w:val="212121"/>
                <w:sz w:val="19"/>
              </w:rPr>
              <w:t>Iron-deficiency anaemia</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Consequence of chronic hemorrhoidal bleeding, especially with delayed care.</w:t>
            </w:r>
          </w:p>
        </w:tc>
      </w:tr>
      <w:tr>
        <w:trPr>
          <w:cantSplit/>
        </w:trPr>
        <w:tc>
          <w:tcPr>
            <w:tcW w:type="dxa" w:w="2232"/>
            <w:vAlign w:val="top"/>
          </w:tcPr>
          <w:p>
            <w:pPr>
              <w:spacing w:after="40" w:before="0" w:line="259" w:lineRule="auto"/>
            </w:pPr>
            <w:r>
              <w:rPr>
                <w:rFonts w:ascii="Calibri" w:hAnsi="Calibri"/>
                <w:b/>
                <w:i w:val="0"/>
                <w:color w:val="212121"/>
                <w:sz w:val="19"/>
              </w:rPr>
              <w:t>Pregnancy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Physiological state markedly increasing hemorrhoids via pelvic pressure and progesterone.</w:t>
            </w:r>
          </w:p>
          <w:p>
            <w:pPr>
              <w:spacing w:after="40" w:before="0" w:line="259" w:lineRule="auto"/>
            </w:pPr>
            <w:r>
              <w:rPr>
                <w:rFonts w:ascii="Calibri" w:hAnsi="Calibri"/>
                <w:b/>
                <w:i w:val="0"/>
                <w:color w:val="212121"/>
                <w:sz w:val="19"/>
              </w:rPr>
              <w:t>Up to ~85% (literature)</w:t>
            </w:r>
          </w:p>
        </w:tc>
      </w:tr>
      <w:tr>
        <w:trPr>
          <w:cantSplit/>
        </w:trPr>
        <w:tc>
          <w:tcPr>
            <w:tcW w:type="dxa" w:w="2232"/>
            <w:vAlign w:val="top"/>
          </w:tcPr>
          <w:p>
            <w:pPr>
              <w:spacing w:after="40" w:before="0" w:line="259" w:lineRule="auto"/>
            </w:pPr>
            <w:r>
              <w:rPr>
                <w:rFonts w:ascii="Calibri" w:hAnsi="Calibri"/>
                <w:b/>
                <w:i w:val="0"/>
                <w:color w:val="212121"/>
                <w:sz w:val="19"/>
              </w:rPr>
              <w:t>Obesity / high BMI</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Raises intra-abdominal pressure; independent risk factor (~3.5% risk per BMI unit).</w:t>
            </w:r>
          </w:p>
          <w:p>
            <w:pPr>
              <w:spacing w:after="40" w:before="0" w:line="259" w:lineRule="auto"/>
            </w:pPr>
            <w:r>
              <w:rPr>
                <w:rFonts w:ascii="Calibri" w:hAnsi="Calibri"/>
                <w:b/>
                <w:i w:val="0"/>
                <w:color w:val="212121"/>
                <w:sz w:val="19"/>
              </w:rPr>
              <w:t>~18–36%</w:t>
            </w:r>
          </w:p>
        </w:tc>
      </w:tr>
      <w:tr>
        <w:trPr>
          <w:cantSplit/>
        </w:trPr>
        <w:tc>
          <w:tcPr>
            <w:tcW w:type="dxa" w:w="2232"/>
            <w:vAlign w:val="top"/>
          </w:tcPr>
          <w:p>
            <w:pPr>
              <w:spacing w:after="40" w:before="0" w:line="259" w:lineRule="auto"/>
            </w:pPr>
            <w:r>
              <w:rPr>
                <w:rFonts w:ascii="Calibri" w:hAnsi="Calibri"/>
                <w:b/>
                <w:i w:val="0"/>
                <w:color w:val="212121"/>
                <w:sz w:val="19"/>
              </w:rPr>
              <w:t>Anal fissure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Frequently coexists with hemorrhoids from hard stool and straining.</w:t>
            </w:r>
          </w:p>
        </w:tc>
      </w:tr>
      <w:tr>
        <w:trPr>
          <w:cantSplit/>
        </w:trPr>
        <w:tc>
          <w:tcPr>
            <w:tcW w:type="dxa" w:w="2232"/>
            <w:vAlign w:val="top"/>
          </w:tcPr>
          <w:p>
            <w:pPr>
              <w:spacing w:after="40" w:before="0" w:line="259" w:lineRule="auto"/>
            </w:pPr>
            <w:r>
              <w:rPr>
                <w:rFonts w:ascii="Calibri" w:hAnsi="Calibri"/>
                <w:b/>
                <w:i w:val="0"/>
                <w:color w:val="212121"/>
                <w:sz w:val="19"/>
              </w:rPr>
              <w:t>Portal hypertension (rectal varices)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Produces anorectal varices, NOT true hemorrhoids — an important differential.</w:t>
            </w:r>
          </w:p>
          <w:p>
            <w:pPr>
              <w:spacing w:after="40" w:before="0" w:line="259" w:lineRule="auto"/>
            </w:pPr>
            <w:r>
              <w:rPr>
                <w:rFonts w:ascii="Calibri" w:hAnsi="Calibri"/>
                <w:b/>
                <w:i w:val="0"/>
                <w:color w:val="212121"/>
                <w:sz w:val="19"/>
              </w:rPr>
              <w:t>Varices in 44–78% of portal HTN</w:t>
            </w:r>
          </w:p>
        </w:tc>
      </w:tr>
      <w:tr>
        <w:trPr>
          <w:cantSplit/>
        </w:trPr>
        <w:tc>
          <w:tcPr>
            <w:tcW w:type="dxa" w:w="2232"/>
            <w:vAlign w:val="top"/>
          </w:tcPr>
          <w:p>
            <w:pPr>
              <w:spacing w:after="40" w:before="0" w:line="259" w:lineRule="auto"/>
            </w:pPr>
            <w:r>
              <w:rPr>
                <w:rFonts w:ascii="Calibri" w:hAnsi="Calibri"/>
                <w:b/>
                <w:i w:val="0"/>
                <w:color w:val="212121"/>
                <w:sz w:val="19"/>
              </w:rPr>
              <w:t>Benign prostatic hyperplasia / chronic cough (COPD)</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Cause straining and raised intra-abdominal pressure that aggravate hemorrhoids.</w:t>
            </w:r>
          </w:p>
        </w:tc>
      </w:tr>
      <w:tr>
        <w:trPr>
          <w:cantSplit/>
        </w:trPr>
        <w:tc>
          <w:tcPr>
            <w:tcW w:type="dxa" w:w="2232"/>
            <w:vAlign w:val="top"/>
          </w:tcPr>
          <w:p>
            <w:pPr>
              <w:spacing w:after="40" w:before="0" w:line="259" w:lineRule="auto"/>
            </w:pPr>
            <w:r>
              <w:rPr>
                <w:rFonts w:ascii="Calibri" w:hAnsi="Calibri"/>
                <w:b/>
                <w:i w:val="0"/>
                <w:color w:val="212121"/>
                <w:sz w:val="19"/>
              </w:rPr>
              <w:t>Colorectal neoplasia (to exclude)</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Shares the symptom of rectal bleeding; must be excluded in at-risk patients before diagnosing piles.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most hemorrhoids improve with simple stool-softening and toileting measures, and that surgery is needed only for higher grades or complications.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straining and do not spend long periods on the toilet — leave the toilet if a bowel motion does not come within a few minutes and avoid reading or using a phone there.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Respond promptly to the urge to defecate rather than delaying, which hardens the stool.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 foot-stool or a squatting posture to straighten the anorectal angle and reduce straining.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alarm features — change in bowel habit, weight loss, dark blood, anaemia or age over 40–50 — and seek evaluation to exclude colorectal cancer rather than assuming it is only piles.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perianal area clean and dry; wash gently with water and avoid harsh soaps and vigorous wiping.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 with piles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Habitual strainers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adults with bleeding</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 dietary fibre to 25–35 g/day with whole grains, millets (ragi, jowar, bajra), pulses, fruits and vegetables to soften and bulk the stool.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a soluble-fibre supplement (psyllium/ispaghula husk) if diet alone is insufficient — fibre reduces bleeding and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Drink 2–3 litres of water daily, more in hot weather or with manual work, to keep stool soft.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refined, low-fibre foods (polished rice, maida, fried and fast foods) and reduce very spicy food if it aggravates itching or discomfort.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Introduce fibre gradually with adequate fluids to avoid bloating.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Constipation-prone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Low-fibre eaters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Manual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bleeders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Favour a habitual high-fibre, well-hydrated diet to prevent the hard stool and straining that cause piles.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a serving of fruit, salad or vegetables at each meal and prefer whole grains over refined cereals.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meal timing to support a predictable, easy bowel habit.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spicy and heavily processed foods occasional rather than daily.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Urban office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 family history of piles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Higher-risk sedentary adults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at least 150 minutes/week of moderate activity (brisk walking, cycling, swimming) to keep the bowel regular and avoid constipation.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Break up prolonged sitting with short walks every 30–60 minutes, especially for desk workers and drivers.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lifting with breath-holding (Valsalva); if lifting is unavoidable, breathe out during effort.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weight (Asian BMI &lt; 23) to reduce intra-abdominal pressure.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prolonged-sitting jobs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stress, which can disturb bowel habit and encourage prolonged straining on the toilet.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delay medical review out of embarrassment — hemorrhoids are common and treatable.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the anxiety and quality-of-life impact of chronic bleeding or prolapse through reassurance and timely treatment.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delaying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symptomatic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daily routine that supports a consistent morning bowel habit.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late-night meals that disturb the next day’s bowel pattern.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irregular routines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reduce chronic cough that raises intra-abdominal pressure and to lower overall gut and cardiovascular harm.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nicotine-replacement therapy and behavioural support or quit-lines to aid cessation.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chronic cough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COPD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low-risk limits and stay well hydrated, as alcohol dehydrates and can harden stool.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binge drinking, which can disturb bowel habit and aggravate symptoms.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Regular/heavy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constipation</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jptcp.com/index.php/jptcp/article/download/10174/9482/20853" TargetMode="External"/><Relationship Id="rId10" Type="http://schemas.openxmlformats.org/officeDocument/2006/relationships/hyperlink" Target="https://www.ncbi.nlm.nih.gov/books/NBK537182/" TargetMode="External"/><Relationship Id="rId11" Type="http://schemas.openxmlformats.org/officeDocument/2006/relationships/hyperlink" Target="https://surgical.medresearch.in/index.php/ijoso/article/view/82" TargetMode="External"/><Relationship Id="rId12" Type="http://schemas.openxmlformats.org/officeDocument/2006/relationships/hyperlink" Target="https://link.springer.com/article/10.1186/s12876-024-03228-5" TargetMode="External"/><Relationship Id="rId13" Type="http://schemas.openxmlformats.org/officeDocument/2006/relationships/hyperlink" Target="https://jccpractice.com/article/prevalence-and-determinants-of-haemorrhoids-among-patients-attending-general-surgery-department-of-a-tertiary-care-hospital-1012/" TargetMode="External"/><Relationship Id="rId14" Type="http://schemas.openxmlformats.org/officeDocument/2006/relationships/hyperlink" Target="https://pmc.ncbi.nlm.nih.gov/articles/PMC4583402/" TargetMode="External"/><Relationship Id="rId15" Type="http://schemas.openxmlformats.org/officeDocument/2006/relationships/hyperlink" Target="https://www.ijsurgery.com/index.php/isj/article/view/2532" TargetMode="External"/><Relationship Id="rId16" Type="http://schemas.openxmlformats.org/officeDocument/2006/relationships/hyperlink" Target="https://pubmed.ncbi.nlm.nih.gov/21932016/" TargetMode="External"/><Relationship Id="rId17" Type="http://schemas.openxmlformats.org/officeDocument/2006/relationships/hyperlink" Target="https://en.wikipedia.org/wiki/Anorectal_var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