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Functional Dyspepsia</w:t>
      </w:r>
    </w:p>
    <w:p>
      <w:pPr>
        <w:spacing w:before="0" w:after="160"/>
      </w:pPr>
      <w:r>
        <w:rPr>
          <w:rFonts w:ascii="Calibri" w:hAnsi="Calibri"/>
          <w:b/>
          <w:i w:val="0"/>
          <w:color w:val="212121"/>
          <w:sz w:val="22"/>
        </w:rPr>
        <w:t xml:space="preserve">AKA </w:t>
      </w:r>
      <w:r>
        <w:rPr>
          <w:rFonts w:ascii="Calibri" w:hAnsi="Calibri"/>
          <w:b w:val="0"/>
          <w:i w:val="0"/>
          <w:color w:val="212121"/>
          <w:sz w:val="22"/>
        </w:rPr>
        <w:t>i.e., FD, Non-ulcer dyspepsia, Non-organic dyspepsia, Idiopathic dyspepsia, Functional indigestion, Nervous stomach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Functional dyspepsia (FD) is a chronic disorder of gut-brain interaction (a functional gastrointestinal disorder) defined by one or more of postprandial fullness, early satiation, epigastric pain or epigastric burning, arising from the gastroduodenal region, in the absence of any structural, systemic or metabolic disease (including a normal upper GI endoscopy) that readily explains the symptoms. The symptoms are generated by disordered gastric accommodation and emptying, duodenal low-grade inflammation (eosinophilia and mast-cell activation), visceral hypersensitivity, gut-brain axis dysregulation and Helicobacter pylori-associated gastritis, rather than by ulceration or malignancy.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Dyspepsia is among the most common gastrointestinal complaints in India. Community surveys of uninvestigated dyspepsia across India and Asia report a prevalence of roughly 8% to 30%, and a landmark Mumbai door-to-door survey of 2,549 people found dyspepsia in 30.4% (35% in those above 40 years versus 26.5% below 40). A rural Odisha community study reported dyspepsia in 29.6%, of whom about 56% had functional (endoscopy-negative) dyspepsia. Applying the stricter Rome IV criteria, functional dyspepsia was found in about 15.2% of north-Indian college students, against a Rome IV global pooled prevalence of 7.2%. Postprandial distress syndrome is the dominant subtype and women are affected more often than 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Functional dyspepsia is a positive clinical diagnosis based on the Rome IV criteria, made after a normal upper GI endoscopy (or after excluding organic disease when endoscopy is not indicated). The Rome IV criteria require, for the last 3 months with symptom onset at least 6 months earlier: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one or more of bothersome postprandial fullness, bothersome early satiation, bothersome epigastric pain, or bothersome epigastric burning, severe enough to affect usual activities;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 evidence of structural, systemic or metabolic disease (including a normal upper GI endoscopy) that is likely to explain the symptoms;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postprandial distress syndrome (PDS) sub-criteria: bothersome postprandial fullness and/or early satiation, on at least 3 days per week;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epigastric pain syndrome (EPS) sub-criteria: bothersome epigastric pain and/or epigastric burning, on at least 1 day per week;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alarm / red-flag features (unintentional weight loss, dysphagia, odynophagia, persistent vomiting, iron-deficiency anaemia, GI bleeding, palpable mass or lymphadenopathy, family history of upper-GI cancer, onset after 60 years) which mandate endoscopy to exclude organic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Functional dyspepsia is classified by the Rome IV framework into two overlapping subtypes based on the relationship of symptoms to meals, which helps direct treatment:</w:t>
      </w:r>
    </w:p>
    <w:p>
      <w:pPr>
        <w:spacing w:before="0" w:after="80"/>
      </w:pPr>
      <w:r>
        <w:rPr>
          <w:rFonts w:ascii="Calibri" w:hAnsi="Calibri"/>
          <w:b w:val="0"/>
          <w:i w:val="0"/>
          <w:color w:val="212121"/>
          <w:sz w:val="21"/>
        </w:rPr>
        <w:t>(1) Postprandial distress syndrome (PDS) - meal-induced postprandial fullness and/or early satiation occurring on at least 3 days per week; this is the commonest subtype and often reflects impaired gastric accommodation and delayed emptying;</w:t>
      </w:r>
    </w:p>
    <w:p>
      <w:pPr>
        <w:spacing w:before="0" w:after="80"/>
      </w:pPr>
      <w:r>
        <w:rPr>
          <w:rFonts w:ascii="Calibri" w:hAnsi="Calibri"/>
          <w:b w:val="0"/>
          <w:i w:val="0"/>
          <w:color w:val="212121"/>
          <w:sz w:val="21"/>
        </w:rPr>
        <w:t>(2) Epigastric pain syndrome (EPS) - epigastric pain and/or burning occurring on at least 1 day per week, not exclusively meal-related and not relieved by defecation or passing gas;</w:t>
      </w:r>
    </w:p>
    <w:p>
      <w:pPr>
        <w:spacing w:before="0" w:after="80"/>
      </w:pPr>
      <w:r>
        <w:rPr>
          <w:rFonts w:ascii="Calibri" w:hAnsi="Calibri"/>
          <w:b w:val="0"/>
          <w:i w:val="0"/>
          <w:color w:val="212121"/>
          <w:sz w:val="21"/>
        </w:rPr>
        <w:t>(3) Overlap (PDS + EPS) - patients meeting criteria for both syndromes, who tend to have more severe symptoms and greater psychological comorbidity. In the Rome IV global study PDS accounted for about 66.6% of FD, EPS 15.3% and overlap 18.1%. A recognised post-infectious subtype (onset after acute gastroenteritis) is characterised by early satiety, weight loss and duodenal eosinophilia.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Impaired gastric motor function: Delayed gastric emptying and impaired fundic accommodation to a meal (the stomach fails to relax normally after eating) produce postprandial fullness and early satiety, particularly in PDS.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Visceral hypersensitivity: A lowered threshold for pain on gastric distension and abnormal duodenal sensing of acid, lipids and nutrients amplify epigastric pain and burning.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Duodenal low-grade inflammation and dysbiosis: Increased duodenal eosinophils and mast cells, impaired mucosal barrier and an altered microbiota (sometimes following acute gastroenteritis) drive immune activation and post-infectious FD.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Helicobacter pylori-associated gastritis: H. pylori causes chronic active gastritis and altered acid secretion; a subset of patients (H. pylori-associated dyspepsia) improve durably after eradication.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Gut-brain axis dysregulation and psychosocial factors: Anxiety, depression, somatisation, stress and early-life adversity heighten amygdala activation and HPA-axis/cortisol responses, worsening symptom perception bidirectionally.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Dietary and lifestyle triggers: Spicy, fried and high-fat foods, irregular or rushed meals, skipped meals, smoking, tobacco and alcohol precipitate or aggravate symptoms.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predisposition: Familial aggregation and candidate variants (e.g., GNbeta3, serotonin and immune genes) confer a modest, weaker-than-IBS heritable susceptibility.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 18-40 y)</w:t>
            </w:r>
          </w:p>
        </w:tc>
        <w:tc>
          <w:tcPr>
            <w:tcW w:type="dxa" w:w="4276"/>
            <w:vAlign w:val="top"/>
          </w:tcPr>
          <w:p>
            <w:pPr>
              <w:spacing w:after="60" w:line="259" w:lineRule="auto"/>
            </w:pPr>
            <w:r>
              <w:rPr>
                <w:rFonts w:ascii="Calibri" w:hAnsi="Calibri"/>
                <w:b w:val="0"/>
                <w:i w:val="0"/>
                <w:color w:val="212121"/>
                <w:sz w:val="19"/>
              </w:rPr>
              <w:t>FD is commonest in the economically productive years, when irregular and rushed meals, junk food, work and academic stress, and gut-brain sensitivity peak. These disrupt normal gastric accommodation and duodenal signalling, producing meal-related fullness and epigastric pain without structural disease.</w:t>
            </w:r>
          </w:p>
          <w:p>
            <w:pPr>
              <w:spacing w:after="40" w:before="60" w:line="259" w:lineRule="auto"/>
            </w:pPr>
            <w:r>
              <w:rPr>
                <w:rFonts w:ascii="Calibri" w:hAnsi="Calibri"/>
                <w:b w:val="0"/>
                <w:i w:val="0"/>
                <w:color w:val="212121"/>
                <w:sz w:val="19"/>
              </w:rPr>
              <w:t>Rome IV functional dyspepsia was found in about 15.2% of north-Indian college students, and global prevalence is highest at 9.5% in those aged 18-35, falling to 3.9% by 65+.</w:t>
            </w:r>
          </w:p>
          <w:p>
            <w:pPr>
              <w:spacing w:after="40" w:line="252" w:lineRule="auto"/>
            </w:pPr>
            <w:hyperlink r:id="rId9">
              <w:r>
                <w:rPr>
                  <w:rFonts w:ascii="Calibri" w:hAnsi="Calibri" w:cs="Calibri"/>
                  <w:sz w:val="18"/>
                  <w:color w:val="1155CC"/>
                  <w:u w:val="single"/>
                </w:rPr>
                <w:t xml:space="preserve">Indian J Gastroenterol - Rome IV FGIDs in college students</w:t>
              </w:r>
            </w:hyperlink>
          </w:p>
          <w:p>
            <w:pPr>
              <w:spacing w:before="60" w:after="40"/>
            </w:pPr>
            <w:r>
              <w:rPr>
                <w:rFonts w:ascii="Calibri" w:hAnsi="Calibri"/>
                <w:b w:val="0"/>
                <w:i w:val="0"/>
                <w:color w:val="5A5A5A"/>
                <w:sz w:val="18"/>
              </w:rPr>
              <w:t>#gutbrain  #youngadults  #workstress  #pds  #functionalgi</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w:t>
            </w:r>
          </w:p>
        </w:tc>
        <w:tc>
          <w:tcPr>
            <w:tcW w:type="dxa" w:w="4276"/>
            <w:vAlign w:val="top"/>
          </w:tcPr>
          <w:p>
            <w:pPr>
              <w:spacing w:after="60" w:line="259" w:lineRule="auto"/>
            </w:pPr>
            <w:r>
              <w:rPr>
                <w:rFonts w:ascii="Calibri" w:hAnsi="Calibri"/>
                <w:b w:val="0"/>
                <w:i w:val="0"/>
                <w:color w:val="212121"/>
                <w:sz w:val="19"/>
              </w:rPr>
              <w:t>New-onset dyspepsia after 60 is far more likely to be organic (peptic ulcer, gastric malignancy) than functional, and interacts with polypharmacy (NSAIDs, aspirin). Guidelines therefore mandate endoscopy before attributing symptoms to FD.</w:t>
            </w:r>
          </w:p>
          <w:p>
            <w:pPr>
              <w:spacing w:after="40" w:before="60" w:line="259" w:lineRule="auto"/>
            </w:pPr>
            <w:r>
              <w:rPr>
                <w:rFonts w:ascii="Calibri" w:hAnsi="Calibri"/>
                <w:b w:val="0"/>
                <w:i w:val="0"/>
                <w:color w:val="212121"/>
                <w:sz w:val="19"/>
              </w:rPr>
              <w:t>ACG/AAFP guidance recommends upper GI endoscopy for all patients aged 60 years or older presenting with dyspepsia, regardless of alarm features, to exclude malignancy.</w:t>
            </w:r>
          </w:p>
          <w:p>
            <w:pPr>
              <w:spacing w:after="40" w:line="252" w:lineRule="auto"/>
            </w:pPr>
            <w:hyperlink r:id="rId10">
              <w:r>
                <w:rPr>
                  <w:rFonts w:ascii="Calibri" w:hAnsi="Calibri" w:cs="Calibri"/>
                  <w:sz w:val="18"/>
                  <w:color w:val="1155CC"/>
                  <w:u w:val="single"/>
                </w:rPr>
                <w:t xml:space="preserve">AFP - functional dyspepsia evaluation &amp; management</w:t>
              </w:r>
            </w:hyperlink>
          </w:p>
          <w:p>
            <w:pPr>
              <w:spacing w:before="60" w:after="40"/>
            </w:pPr>
            <w:r>
              <w:rPr>
                <w:rFonts w:ascii="Calibri" w:hAnsi="Calibri"/>
                <w:b w:val="0"/>
                <w:i w:val="0"/>
                <w:color w:val="5A5A5A"/>
                <w:sz w:val="18"/>
              </w:rPr>
              <w:t>#elderly  #alarmfeatures  #endoscopy  #excludeorganic  #redflags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show greater visceral sensitivity, slower gastric emptying and more impaired accommodation; ovarian hormones (oestrogen, progesterone) modulate gastric motor function and pain perception, and psychological comorbidity is more prevalent.</w:t>
            </w:r>
          </w:p>
          <w:p>
            <w:pPr>
              <w:spacing w:after="40" w:before="60" w:line="259" w:lineRule="auto"/>
            </w:pPr>
            <w:r>
              <w:rPr>
                <w:rFonts w:ascii="Calibri" w:hAnsi="Calibri"/>
                <w:b w:val="0"/>
                <w:i w:val="0"/>
                <w:color w:val="212121"/>
                <w:sz w:val="19"/>
              </w:rPr>
              <w:t>Global Rome IV functional dyspepsia prevalence was 8.7% in women versus 5.7% in men (OR 1.56); Indian FGID surveys similarly show female predominance (32.3% vs 17.6%).</w:t>
            </w:r>
          </w:p>
          <w:p>
            <w:pPr>
              <w:spacing w:after="40" w:line="252" w:lineRule="auto"/>
            </w:pPr>
            <w:hyperlink r:id="rId11">
              <w:r>
                <w:rPr>
                  <w:rFonts w:ascii="Calibri" w:hAnsi="Calibri" w:cs="Calibri"/>
                  <w:sz w:val="18"/>
                  <w:color w:val="1155CC"/>
                  <w:u w:val="single"/>
                </w:rPr>
                <w:t xml:space="preserve">Rome IV Global Epidemiology Study - FD</w:t>
              </w:r>
            </w:hyperlink>
          </w:p>
          <w:p>
            <w:pPr>
              <w:spacing w:before="60" w:after="40"/>
            </w:pPr>
            <w:r>
              <w:rPr>
                <w:rFonts w:ascii="Calibri" w:hAnsi="Calibri"/>
                <w:b w:val="0"/>
                <w:i w:val="0"/>
                <w:color w:val="5A5A5A"/>
                <w:sz w:val="18"/>
              </w:rPr>
              <w:t>#female  #hormonal  #visceralsensitivity  #slowemptying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students &amp; white-collar workers</w:t>
            </w:r>
          </w:p>
        </w:tc>
        <w:tc>
          <w:tcPr>
            <w:tcW w:type="dxa" w:w="4276"/>
            <w:vAlign w:val="top"/>
          </w:tcPr>
          <w:p>
            <w:pPr>
              <w:spacing w:after="60" w:line="259" w:lineRule="auto"/>
            </w:pPr>
            <w:r>
              <w:rPr>
                <w:rFonts w:ascii="Calibri" w:hAnsi="Calibri"/>
                <w:b w:val="0"/>
                <w:i w:val="0"/>
                <w:color w:val="212121"/>
                <w:sz w:val="19"/>
              </w:rPr>
              <w:t>Academic and occupational stress, skipped and irregular meals, junk food, dining out and stimulant beverages characterise urban student and office populations, all of which drive gut-brain dysregulation and meal-related symptoms.</w:t>
            </w:r>
          </w:p>
          <w:p>
            <w:pPr>
              <w:spacing w:after="40" w:before="60" w:line="259" w:lineRule="auto"/>
            </w:pPr>
            <w:r>
              <w:rPr>
                <w:rFonts w:ascii="Calibri" w:hAnsi="Calibri"/>
                <w:b w:val="0"/>
                <w:i w:val="0"/>
                <w:color w:val="212121"/>
                <w:sz w:val="19"/>
              </w:rPr>
              <w:t>Junk-food intake, tea/coffee consumption, poor physical activity, anxiety and insomnia were independent predictors of functional GI disorders including FD in Indian college students.</w:t>
            </w:r>
          </w:p>
          <w:p>
            <w:pPr>
              <w:spacing w:after="40" w:line="252" w:lineRule="auto"/>
            </w:pPr>
            <w:hyperlink r:id="rId9">
              <w:r>
                <w:rPr>
                  <w:rFonts w:ascii="Calibri" w:hAnsi="Calibri" w:cs="Calibri"/>
                  <w:sz w:val="18"/>
                  <w:color w:val="1155CC"/>
                  <w:u w:val="single"/>
                </w:rPr>
                <w:t xml:space="preserve">Indian J Gastroenterol - risk factors in students</w:t>
              </w:r>
            </w:hyperlink>
          </w:p>
          <w:p>
            <w:pPr>
              <w:spacing w:before="60" w:after="40"/>
            </w:pPr>
            <w:r>
              <w:rPr>
                <w:rFonts w:ascii="Calibri" w:hAnsi="Calibri"/>
                <w:b w:val="0"/>
                <w:i w:val="0"/>
                <w:color w:val="5A5A5A"/>
                <w:sz w:val="18"/>
              </w:rPr>
              <w:t>#urban  #students  #stress  #junkfood  #lifestyle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Urban metros (e.g., Mumbai)</w:t>
            </w:r>
          </w:p>
        </w:tc>
        <w:tc>
          <w:tcPr>
            <w:tcW w:type="dxa" w:w="4276"/>
            <w:vAlign w:val="top"/>
          </w:tcPr>
          <w:p>
            <w:pPr>
              <w:spacing w:after="60" w:line="259" w:lineRule="auto"/>
            </w:pPr>
            <w:r>
              <w:rPr>
                <w:rFonts w:ascii="Calibri" w:hAnsi="Calibri"/>
                <w:b w:val="0"/>
                <w:i w:val="0"/>
                <w:color w:val="212121"/>
                <w:sz w:val="19"/>
              </w:rPr>
              <w:t>Dense urban living combines chronic stress, sedentary work, processed and restaurant food, erratic meal timing and disturbed sleep, sustaining a high dyspepsia burden.</w:t>
            </w:r>
          </w:p>
          <w:p>
            <w:pPr>
              <w:spacing w:after="40" w:before="60" w:line="259" w:lineRule="auto"/>
            </w:pPr>
            <w:r>
              <w:rPr>
                <w:rFonts w:ascii="Calibri" w:hAnsi="Calibri"/>
                <w:b w:val="0"/>
                <w:i w:val="0"/>
                <w:color w:val="212121"/>
                <w:sz w:val="19"/>
              </w:rPr>
              <w:t>A Mumbai door-to-door community survey of 2,549 subjects found dyspepsia in 30.4%, and it was more common above age 40 (35%) than below (26.5%).</w:t>
            </w:r>
          </w:p>
          <w:p>
            <w:pPr>
              <w:spacing w:after="40" w:line="252" w:lineRule="auto"/>
            </w:pPr>
            <w:hyperlink r:id="rId12">
              <w:r>
                <w:rPr>
                  <w:rFonts w:ascii="Calibri" w:hAnsi="Calibri" w:cs="Calibri"/>
                  <w:sz w:val="18"/>
                  <w:color w:val="1155CC"/>
                  <w:u w:val="single"/>
                </w:rPr>
                <w:t xml:space="preserve">J Neurogastroenterol Motil - dyspepsia epidemiology in Asia</w:t>
              </w:r>
            </w:hyperlink>
          </w:p>
          <w:p>
            <w:pPr>
              <w:spacing w:before="60" w:after="40"/>
            </w:pPr>
            <w:r>
              <w:rPr>
                <w:rFonts w:ascii="Calibri" w:hAnsi="Calibri"/>
                <w:b w:val="0"/>
                <w:i w:val="0"/>
                <w:color w:val="5A5A5A"/>
                <w:sz w:val="18"/>
              </w:rPr>
              <w:t>#urbanmetro  #mumbai  #processedfood  #stress  #dyspepsia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Rural tobacco-using communities (e.g., Odisha)</w:t>
            </w:r>
          </w:p>
        </w:tc>
        <w:tc>
          <w:tcPr>
            <w:tcW w:type="dxa" w:w="4276"/>
            <w:vAlign w:val="top"/>
          </w:tcPr>
          <w:p>
            <w:pPr>
              <w:spacing w:after="60" w:line="259" w:lineRule="auto"/>
            </w:pPr>
            <w:r>
              <w:rPr>
                <w:rFonts w:ascii="Calibri" w:hAnsi="Calibri"/>
                <w:b w:val="0"/>
                <w:i w:val="0"/>
                <w:color w:val="212121"/>
                <w:sz w:val="19"/>
              </w:rPr>
              <w:t>High use of smoked and smokeless tobacco (chewing tobacco, gudakhu) and habitual strong tea, together with poorer water hygiene favouring H. pylori transmission, drive dyspepsia in rural India.</w:t>
            </w:r>
          </w:p>
          <w:p>
            <w:pPr>
              <w:spacing w:after="40" w:before="60" w:line="259" w:lineRule="auto"/>
            </w:pPr>
            <w:r>
              <w:rPr>
                <w:rFonts w:ascii="Calibri" w:hAnsi="Calibri"/>
                <w:b w:val="0"/>
                <w:i w:val="0"/>
                <w:color w:val="212121"/>
                <w:sz w:val="19"/>
              </w:rPr>
              <w:t>In a rural Odisha community study dyspepsia affected 29.6%, with smoking tobacco the only independent risk factor on multivariate analysis, and functional dyspepsia in 56% of those endoscoped.</w:t>
            </w:r>
          </w:p>
          <w:p>
            <w:pPr>
              <w:spacing w:after="40" w:line="252" w:lineRule="auto"/>
            </w:pPr>
            <w:hyperlink r:id="rId13">
              <w:r>
                <w:rPr>
                  <w:rFonts w:ascii="Calibri" w:hAnsi="Calibri" w:cs="Calibri"/>
                  <w:sz w:val="18"/>
                  <w:color w:val="1155CC"/>
                  <w:u w:val="single"/>
                </w:rPr>
                <w:t xml:space="preserve">Community study - dyspepsia in rural Odisha</w:t>
              </w:r>
            </w:hyperlink>
          </w:p>
          <w:p>
            <w:pPr>
              <w:spacing w:before="60" w:after="40"/>
            </w:pPr>
            <w:r>
              <w:rPr>
                <w:rFonts w:ascii="Calibri" w:hAnsi="Calibri"/>
                <w:b w:val="0"/>
                <w:i w:val="0"/>
                <w:color w:val="5A5A5A"/>
                <w:sz w:val="18"/>
              </w:rPr>
              <w:t>#ruralindia  #tobacco  #gudakhu  #hpylori  #waterhygiene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 desk workers, students</w:t>
            </w:r>
          </w:p>
        </w:tc>
        <w:tc>
          <w:tcPr>
            <w:tcW w:type="dxa" w:w="4276"/>
            <w:vAlign w:val="top"/>
          </w:tcPr>
          <w:p>
            <w:pPr>
              <w:spacing w:after="60" w:line="259" w:lineRule="auto"/>
            </w:pPr>
            <w:r>
              <w:rPr>
                <w:rFonts w:ascii="Calibri" w:hAnsi="Calibri"/>
                <w:b w:val="0"/>
                <w:i w:val="0"/>
                <w:color w:val="212121"/>
                <w:sz w:val="19"/>
              </w:rPr>
              <w:t>Low physical activity slows gastric emptying and colonic transit, worsens bloating and postprandial fullness, and removes the stress-buffering and motility-stimulating benefits of exercise on the gut-brain axis.</w:t>
            </w:r>
          </w:p>
          <w:p>
            <w:pPr>
              <w:spacing w:after="40" w:before="60" w:line="259" w:lineRule="auto"/>
            </w:pPr>
            <w:r>
              <w:rPr>
                <w:rFonts w:ascii="Calibri" w:hAnsi="Calibri"/>
                <w:b w:val="0"/>
                <w:i w:val="0"/>
                <w:color w:val="212121"/>
                <w:sz w:val="19"/>
              </w:rPr>
              <w:t>Poor physical activity was an independent predictor of functional GI disorders including FD in Indian college students.</w:t>
            </w:r>
          </w:p>
          <w:p>
            <w:pPr>
              <w:spacing w:after="40" w:line="252" w:lineRule="auto"/>
            </w:pPr>
            <w:hyperlink r:id="rId9">
              <w:r>
                <w:rPr>
                  <w:rFonts w:ascii="Calibri" w:hAnsi="Calibri" w:cs="Calibri"/>
                  <w:sz w:val="18"/>
                  <w:color w:val="1155CC"/>
                  <w:u w:val="single"/>
                </w:rPr>
                <w:t xml:space="preserve">Indian J Gastroenterol - low activity predicts FGIDs</w:t>
              </w:r>
            </w:hyperlink>
          </w:p>
          <w:p>
            <w:pPr>
              <w:spacing w:before="60" w:after="40"/>
            </w:pPr>
            <w:r>
              <w:rPr>
                <w:rFonts w:ascii="Calibri" w:hAnsi="Calibri"/>
                <w:b w:val="0"/>
                <w:i w:val="0"/>
                <w:color w:val="5A5A5A"/>
                <w:sz w:val="18"/>
              </w:rPr>
              <w:t>#sedentary  #slowemptying  #bloating  #exercise  #gutmotility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Current smokers &amp; smokeless-tobacco users</w:t>
            </w:r>
          </w:p>
        </w:tc>
        <w:tc>
          <w:tcPr>
            <w:tcW w:type="dxa" w:w="4276"/>
            <w:vAlign w:val="top"/>
          </w:tcPr>
          <w:p>
            <w:pPr>
              <w:spacing w:after="60" w:line="259" w:lineRule="auto"/>
            </w:pPr>
            <w:r>
              <w:rPr>
                <w:rFonts w:ascii="Calibri" w:hAnsi="Calibri"/>
                <w:b w:val="0"/>
                <w:i w:val="0"/>
                <w:color w:val="212121"/>
                <w:sz w:val="19"/>
              </w:rPr>
              <w:t>Nicotine reduces lower-oesophageal and pyloric tone, delays gastric emptying, impairs mucosal defence and accommodation, and promotes H. pylori-related gastritis, aggravating epigastric symptoms.</w:t>
            </w:r>
          </w:p>
          <w:p>
            <w:pPr>
              <w:spacing w:after="40" w:before="60" w:line="259" w:lineRule="auto"/>
            </w:pPr>
            <w:r>
              <w:rPr>
                <w:rFonts w:ascii="Calibri" w:hAnsi="Calibri"/>
                <w:b w:val="0"/>
                <w:i w:val="0"/>
                <w:color w:val="212121"/>
                <w:sz w:val="19"/>
              </w:rPr>
              <w:t>Smoking tobacco was the only independent risk factor for dyspepsia on multivariate analysis in a rural Indian community study.</w:t>
            </w:r>
          </w:p>
          <w:p>
            <w:pPr>
              <w:spacing w:after="40" w:line="252" w:lineRule="auto"/>
            </w:pPr>
            <w:hyperlink r:id="rId13">
              <w:r>
                <w:rPr>
                  <w:rFonts w:ascii="Calibri" w:hAnsi="Calibri" w:cs="Calibri"/>
                  <w:sz w:val="18"/>
                  <w:color w:val="1155CC"/>
                  <w:u w:val="single"/>
                </w:rPr>
                <w:t xml:space="preserve">Community study - smoking &amp; dyspepsia, Odisha</w:t>
              </w:r>
            </w:hyperlink>
          </w:p>
          <w:p>
            <w:pPr>
              <w:spacing w:before="60" w:after="40"/>
            </w:pPr>
            <w:r>
              <w:rPr>
                <w:rFonts w:ascii="Calibri" w:hAnsi="Calibri"/>
                <w:b w:val="0"/>
                <w:i w:val="0"/>
                <w:color w:val="5A5A5A"/>
                <w:sz w:val="18"/>
              </w:rPr>
              <w:t>#smoking  #tobacco  #nicotine  #mucosaldefence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directly irritates the gastroduodenal mucosa, stimulates acid secretion, delays emptying and provokes epigastric burning, nausea and early satiety, particularly on an empty stomach or with spirits.</w:t>
            </w:r>
          </w:p>
          <w:p>
            <w:pPr>
              <w:spacing w:after="40" w:before="60" w:line="259" w:lineRule="auto"/>
            </w:pPr>
            <w:r>
              <w:rPr>
                <w:rFonts w:ascii="Calibri" w:hAnsi="Calibri"/>
                <w:b w:val="0"/>
                <w:i w:val="0"/>
                <w:color w:val="212121"/>
                <w:sz w:val="19"/>
              </w:rPr>
              <w:t>Heavy alcohol use is associated with dyspeptic symptoms and mucosal injury; moderate intake shows less consistent effects.</w:t>
            </w:r>
          </w:p>
          <w:p>
            <w:pPr>
              <w:spacing w:before="60" w:after="40"/>
            </w:pPr>
            <w:r>
              <w:rPr>
                <w:rFonts w:ascii="Calibri" w:hAnsi="Calibri"/>
                <w:b w:val="0"/>
                <w:i w:val="0"/>
                <w:color w:val="5A5A5A"/>
                <w:sz w:val="18"/>
              </w:rPr>
              <w:t>#alcohol  #mucosalirritation  #epigastricburning  #nausea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 circadian</w:t>
            </w:r>
          </w:p>
        </w:tc>
        <w:tc>
          <w:tcPr>
            <w:tcW w:type="dxa" w:w="2160"/>
            <w:vAlign w:val="top"/>
          </w:tcPr>
          <w:p>
            <w:pPr>
              <w:spacing w:after="40" w:before="0" w:line="259" w:lineRule="auto"/>
            </w:pPr>
            <w:r>
              <w:rPr>
                <w:rFonts w:ascii="Calibri" w:hAnsi="Calibri"/>
                <w:b w:val="0"/>
                <w:i w:val="0"/>
                <w:color w:val="212121"/>
                <w:sz w:val="19"/>
              </w:rPr>
              <w:t>Poor sleepers, insomniacs, shift workers</w:t>
            </w:r>
          </w:p>
        </w:tc>
        <w:tc>
          <w:tcPr>
            <w:tcW w:type="dxa" w:w="4276"/>
            <w:vAlign w:val="top"/>
          </w:tcPr>
          <w:p>
            <w:pPr>
              <w:spacing w:after="60" w:line="259" w:lineRule="auto"/>
            </w:pPr>
            <w:r>
              <w:rPr>
                <w:rFonts w:ascii="Calibri" w:hAnsi="Calibri"/>
                <w:b w:val="0"/>
                <w:i w:val="0"/>
                <w:color w:val="212121"/>
                <w:sz w:val="19"/>
              </w:rPr>
              <w:t>Disturbed sleep dysregulates the gut-brain axis and autonomic tone, lowers the visceral pain threshold and slows gastric motility, worsening epigastric pain and fullness in a bidirectional loop.</w:t>
            </w:r>
          </w:p>
          <w:p>
            <w:pPr>
              <w:spacing w:after="40" w:before="60" w:line="259" w:lineRule="auto"/>
            </w:pPr>
            <w:r>
              <w:rPr>
                <w:rFonts w:ascii="Calibri" w:hAnsi="Calibri"/>
                <w:b w:val="0"/>
                <w:i w:val="0"/>
                <w:color w:val="212121"/>
                <w:sz w:val="19"/>
              </w:rPr>
              <w:t>In a population cohort, sleep disturbance without depression carried a 4.07-fold higher hazard of developing functional dyspepsia (95% CI 3.92-4.24); insomnia independently predicted FGIDs in Indian students.</w:t>
            </w:r>
          </w:p>
          <w:p>
            <w:pPr>
              <w:spacing w:after="40" w:line="252" w:lineRule="auto"/>
            </w:pPr>
            <w:hyperlink r:id="rId14">
              <w:r>
                <w:rPr>
                  <w:rFonts w:ascii="Calibri" w:hAnsi="Calibri" w:cs="Calibri"/>
                  <w:sz w:val="18"/>
                  <w:color w:val="1155CC"/>
                  <w:u w:val="single"/>
                </w:rPr>
                <w:t xml:space="preserve">Sci Reports - sleep disturbance &amp; FD cohort</w:t>
              </w:r>
            </w:hyperlink>
          </w:p>
          <w:p>
            <w:pPr>
              <w:spacing w:before="60" w:after="40"/>
            </w:pPr>
            <w:r>
              <w:rPr>
                <w:rFonts w:ascii="Calibri" w:hAnsi="Calibri"/>
                <w:b w:val="0"/>
                <w:i w:val="0"/>
                <w:color w:val="5A5A5A"/>
                <w:sz w:val="18"/>
              </w:rPr>
              <w:t>#sleep  #insomnia  #shiftwork  #gutbrain  #visceralpain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Spicy, fried &amp; high-fat food eaters</w:t>
            </w:r>
          </w:p>
        </w:tc>
        <w:tc>
          <w:tcPr>
            <w:tcW w:type="dxa" w:w="4276"/>
            <w:vAlign w:val="top"/>
          </w:tcPr>
          <w:p>
            <w:pPr>
              <w:spacing w:after="60" w:line="259" w:lineRule="auto"/>
            </w:pPr>
            <w:r>
              <w:rPr>
                <w:rFonts w:ascii="Calibri" w:hAnsi="Calibri"/>
                <w:b w:val="0"/>
                <w:i w:val="0"/>
                <w:color w:val="212121"/>
                <w:sz w:val="19"/>
              </w:rPr>
              <w:t>Capsaicin in chillies activates TRPV1 nociceptors and lowers the pain threshold, while fatty and fried foods delay gastric emptying and trigger cholecystokinin-mediated fullness and nausea - highly relevant to the Indian palate.</w:t>
            </w:r>
          </w:p>
          <w:p>
            <w:pPr>
              <w:spacing w:after="40" w:before="60" w:line="259" w:lineRule="auto"/>
            </w:pPr>
            <w:r>
              <w:rPr>
                <w:rFonts w:ascii="Calibri" w:hAnsi="Calibri"/>
                <w:b w:val="0"/>
                <w:i w:val="0"/>
                <w:color w:val="212121"/>
                <w:sz w:val="19"/>
              </w:rPr>
              <w:t>In meta-analysis, spicy food raised functional dyspepsia risk (OR 1.32), epigastric pain (OR 1.46) and epigastric burning (OR 1.47).</w:t>
            </w:r>
          </w:p>
          <w:p>
            <w:pPr>
              <w:spacing w:after="40" w:line="252" w:lineRule="auto"/>
            </w:pPr>
            <w:hyperlink r:id="rId15">
              <w:r>
                <w:rPr>
                  <w:rFonts w:ascii="Calibri" w:hAnsi="Calibri" w:cs="Calibri"/>
                  <w:sz w:val="18"/>
                  <w:color w:val="1155CC"/>
                  <w:u w:val="single"/>
                </w:rPr>
                <w:t xml:space="preserve">J Health Popul Nutr - diet &amp; FD meta-analysis</w:t>
              </w:r>
            </w:hyperlink>
          </w:p>
          <w:p>
            <w:pPr>
              <w:spacing w:before="60" w:after="40"/>
            </w:pPr>
            <w:r>
              <w:rPr>
                <w:rFonts w:ascii="Calibri" w:hAnsi="Calibri"/>
                <w:b w:val="0"/>
                <w:i w:val="0"/>
                <w:color w:val="5A5A5A"/>
                <w:sz w:val="18"/>
              </w:rPr>
              <w:t>#spicyfood  #capsaicin  #highfat  #fried  #trpv1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Eating behaviour</w:t>
            </w:r>
          </w:p>
        </w:tc>
        <w:tc>
          <w:tcPr>
            <w:tcW w:type="dxa" w:w="2160"/>
            <w:vAlign w:val="top"/>
          </w:tcPr>
          <w:p>
            <w:pPr>
              <w:spacing w:after="40" w:before="0" w:line="259" w:lineRule="auto"/>
            </w:pPr>
            <w:r>
              <w:rPr>
                <w:rFonts w:ascii="Calibri" w:hAnsi="Calibri"/>
                <w:b w:val="0"/>
                <w:i w:val="0"/>
                <w:color w:val="212121"/>
                <w:sz w:val="19"/>
              </w:rPr>
              <w:t>Fast eaters &amp; irregular / skipped meals</w:t>
            </w:r>
          </w:p>
        </w:tc>
        <w:tc>
          <w:tcPr>
            <w:tcW w:type="dxa" w:w="4276"/>
            <w:vAlign w:val="top"/>
          </w:tcPr>
          <w:p>
            <w:pPr>
              <w:spacing w:after="60" w:line="259" w:lineRule="auto"/>
            </w:pPr>
            <w:r>
              <w:rPr>
                <w:rFonts w:ascii="Calibri" w:hAnsi="Calibri"/>
                <w:b w:val="0"/>
                <w:i w:val="0"/>
                <w:color w:val="212121"/>
                <w:sz w:val="19"/>
              </w:rPr>
              <w:t>Rapid ingestion and skipped or erratic meals disrupt normal gastric accommodation and the rhythm of emptying, promoting aerophagia, postprandial fullness and early satiety.</w:t>
            </w:r>
          </w:p>
          <w:p>
            <w:pPr>
              <w:spacing w:after="40" w:before="60" w:line="259" w:lineRule="auto"/>
            </w:pPr>
            <w:r>
              <w:rPr>
                <w:rFonts w:ascii="Calibri" w:hAnsi="Calibri"/>
                <w:b w:val="0"/>
                <w:i w:val="0"/>
                <w:color w:val="212121"/>
                <w:sz w:val="19"/>
              </w:rPr>
              <w:t>Eating a meal in under 10 minutes raised chronic dyspepsia risk by about 49%, whereas higher meal frequency was protective (OR 0.52).</w:t>
            </w:r>
          </w:p>
          <w:p>
            <w:pPr>
              <w:spacing w:after="40" w:line="252" w:lineRule="auto"/>
            </w:pPr>
            <w:hyperlink r:id="rId15">
              <w:r>
                <w:rPr>
                  <w:rFonts w:ascii="Calibri" w:hAnsi="Calibri" w:cs="Calibri"/>
                  <w:sz w:val="18"/>
                  <w:color w:val="1155CC"/>
                  <w:u w:val="single"/>
                </w:rPr>
                <w:t xml:space="preserve">J Health Popul Nutr - eating speed &amp; FD</w:t>
              </w:r>
            </w:hyperlink>
          </w:p>
          <w:p>
            <w:pPr>
              <w:spacing w:before="60" w:after="40"/>
            </w:pPr>
            <w:r>
              <w:rPr>
                <w:rFonts w:ascii="Calibri" w:hAnsi="Calibri"/>
                <w:b w:val="0"/>
                <w:i w:val="0"/>
                <w:color w:val="5A5A5A"/>
                <w:sz w:val="18"/>
              </w:rPr>
              <w:t>#eatingspeed  #irregularmeals  #skippingmeals  #accommodation  #aerophagia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Beverages</w:t>
            </w:r>
          </w:p>
        </w:tc>
        <w:tc>
          <w:tcPr>
            <w:tcW w:type="dxa" w:w="2160"/>
            <w:vAlign w:val="top"/>
          </w:tcPr>
          <w:p>
            <w:pPr>
              <w:spacing w:after="40" w:before="0" w:line="259" w:lineRule="auto"/>
            </w:pPr>
            <w:r>
              <w:rPr>
                <w:rFonts w:ascii="Calibri" w:hAnsi="Calibri"/>
                <w:b w:val="0"/>
                <w:i w:val="0"/>
                <w:color w:val="212121"/>
                <w:sz w:val="19"/>
              </w:rPr>
              <w:t>Heavy tea / coffee (caffeine) consumers</w:t>
            </w:r>
          </w:p>
        </w:tc>
        <w:tc>
          <w:tcPr>
            <w:tcW w:type="dxa" w:w="4276"/>
            <w:vAlign w:val="top"/>
          </w:tcPr>
          <w:p>
            <w:pPr>
              <w:spacing w:after="60" w:line="259" w:lineRule="auto"/>
            </w:pPr>
            <w:r>
              <w:rPr>
                <w:rFonts w:ascii="Calibri" w:hAnsi="Calibri"/>
                <w:b w:val="0"/>
                <w:i w:val="0"/>
                <w:color w:val="212121"/>
                <w:sz w:val="19"/>
              </w:rPr>
              <w:t>Caffeine stimulates gastric acid secretion and can lower oesophageal sphincter tone; frequent chai and coffee, often on an empty stomach, provoke epigastric burning and reflux-overlap symptoms in susceptible people.</w:t>
            </w:r>
          </w:p>
          <w:p>
            <w:pPr>
              <w:spacing w:after="40" w:before="60" w:line="259" w:lineRule="auto"/>
            </w:pPr>
            <w:r>
              <w:rPr>
                <w:rFonts w:ascii="Calibri" w:hAnsi="Calibri"/>
                <w:b w:val="0"/>
                <w:i w:val="0"/>
                <w:color w:val="212121"/>
                <w:sz w:val="19"/>
              </w:rPr>
              <w:t>Tea/coffee intake was an independent predictor of functional GI disorders including FD in Indian college students (though some meta-analyses report neutral-to-protective effects).</w:t>
            </w:r>
          </w:p>
          <w:p>
            <w:pPr>
              <w:spacing w:after="40" w:line="252" w:lineRule="auto"/>
            </w:pPr>
            <w:hyperlink r:id="rId9">
              <w:r>
                <w:rPr>
                  <w:rFonts w:ascii="Calibri" w:hAnsi="Calibri" w:cs="Calibri"/>
                  <w:sz w:val="18"/>
                  <w:color w:val="1155CC"/>
                  <w:u w:val="single"/>
                </w:rPr>
                <w:t xml:space="preserve">Indian J Gastroenterol - caffeine predicts FGIDs</w:t>
              </w:r>
            </w:hyperlink>
          </w:p>
          <w:p>
            <w:pPr>
              <w:spacing w:before="60" w:after="40"/>
            </w:pPr>
            <w:r>
              <w:rPr>
                <w:rFonts w:ascii="Calibri" w:hAnsi="Calibri"/>
                <w:b w:val="0"/>
                <w:i w:val="0"/>
                <w:color w:val="5A5A5A"/>
                <w:sz w:val="18"/>
              </w:rPr>
              <w:t>#caffeine  #chai  #coffee  #acidsecretion  #emptystomach</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FD / functional GI disorder</w:t>
            </w:r>
          </w:p>
        </w:tc>
        <w:tc>
          <w:tcPr>
            <w:tcW w:type="dxa" w:w="4276"/>
            <w:vAlign w:val="top"/>
          </w:tcPr>
          <w:p>
            <w:pPr>
              <w:spacing w:after="60" w:line="259" w:lineRule="auto"/>
            </w:pPr>
            <w:r>
              <w:rPr>
                <w:rFonts w:ascii="Calibri" w:hAnsi="Calibri"/>
                <w:b w:val="0"/>
                <w:i w:val="0"/>
                <w:color w:val="212121"/>
                <w:sz w:val="19"/>
              </w:rPr>
              <w:t>FD aggregates in families through both shared genes (e.g., GNbeta3, serotonin and immune-related variants affecting motility and pain) and shared environment and learned illness behaviour, though the heritable component is weaker than in IBS.</w:t>
            </w:r>
          </w:p>
          <w:p>
            <w:pPr>
              <w:spacing w:after="40" w:before="60" w:line="259" w:lineRule="auto"/>
            </w:pPr>
            <w:r>
              <w:rPr>
                <w:rFonts w:ascii="Calibri" w:hAnsi="Calibri"/>
                <w:b w:val="0"/>
                <w:i w:val="0"/>
                <w:color w:val="212121"/>
                <w:sz w:val="19"/>
              </w:rPr>
              <w:t>Familial clustering and candidate-gene associations indicate a modest heritable susceptibility in addition to shared environmental exposure.</w:t>
            </w:r>
          </w:p>
          <w:p>
            <w:pPr>
              <w:spacing w:before="60" w:after="40"/>
            </w:pPr>
            <w:r>
              <w:rPr>
                <w:rFonts w:ascii="Calibri" w:hAnsi="Calibri"/>
                <w:b w:val="0"/>
                <w:i w:val="0"/>
                <w:color w:val="5A5A5A"/>
                <w:sz w:val="18"/>
              </w:rPr>
              <w:t>#familyhistory  #heritability  #gnbeta3  #serotonin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Helicobacter pylori infection</w:t>
            </w:r>
          </w:p>
        </w:tc>
        <w:tc>
          <w:tcPr>
            <w:tcW w:type="dxa" w:w="2160"/>
            <w:vAlign w:val="top"/>
          </w:tcPr>
          <w:p>
            <w:pPr>
              <w:spacing w:after="40" w:before="0" w:line="259" w:lineRule="auto"/>
            </w:pPr>
            <w:r>
              <w:rPr>
                <w:rFonts w:ascii="Calibri" w:hAnsi="Calibri"/>
                <w:b w:val="0"/>
                <w:i w:val="0"/>
                <w:color w:val="212121"/>
                <w:sz w:val="19"/>
              </w:rPr>
              <w:t>Patients with H. pylori gastritis</w:t>
            </w:r>
          </w:p>
        </w:tc>
        <w:tc>
          <w:tcPr>
            <w:tcW w:type="dxa" w:w="4276"/>
            <w:vAlign w:val="top"/>
          </w:tcPr>
          <w:p>
            <w:pPr>
              <w:spacing w:after="60" w:line="259" w:lineRule="auto"/>
            </w:pPr>
            <w:r>
              <w:rPr>
                <w:rFonts w:ascii="Calibri" w:hAnsi="Calibri"/>
                <w:b w:val="0"/>
                <w:i w:val="0"/>
                <w:color w:val="212121"/>
                <w:sz w:val="19"/>
              </w:rPr>
              <w:t>H. pylori causes chronic active gastritis, altered acid secretion and duodenal inflammation; a distinct subset (H. pylori-associated dyspepsia) obtains durable relief after eradication, so test-and-treat is first-line under 60.</w:t>
            </w:r>
          </w:p>
          <w:p>
            <w:pPr>
              <w:spacing w:after="40" w:before="60" w:line="259" w:lineRule="auto"/>
            </w:pPr>
            <w:r>
              <w:rPr>
                <w:rFonts w:ascii="Calibri" w:hAnsi="Calibri"/>
                <w:b w:val="0"/>
                <w:i w:val="0"/>
                <w:color w:val="212121"/>
                <w:sz w:val="19"/>
              </w:rPr>
              <w:t>In an Indian cohort 76.89% (253/329) of functional dyspepsia patients were H. pylori positive; eradication yields about a 50% symptom improvement (NNT ~8), though benefit is not universal.</w:t>
            </w:r>
          </w:p>
          <w:p>
            <w:pPr>
              <w:spacing w:after="40" w:line="252" w:lineRule="auto"/>
            </w:pPr>
            <w:hyperlink r:id="rId16">
              <w:r>
                <w:rPr>
                  <w:rFonts w:ascii="Calibri" w:hAnsi="Calibri" w:cs="Calibri"/>
                  <w:sz w:val="18"/>
                  <w:color w:val="1155CC"/>
                  <w:u w:val="single"/>
                </w:rPr>
                <w:t xml:space="preserve">Indian J Gastroenterol - H. pylori eradication in FD</w:t>
              </w:r>
            </w:hyperlink>
          </w:p>
          <w:p>
            <w:pPr>
              <w:spacing w:before="60" w:after="40"/>
            </w:pPr>
            <w:r>
              <w:rPr>
                <w:rFonts w:ascii="Calibri" w:hAnsi="Calibri"/>
                <w:b w:val="0"/>
                <w:i w:val="0"/>
                <w:color w:val="5A5A5A"/>
                <w:sz w:val="18"/>
              </w:rPr>
              <w:t>#hpylori  #gastritis  #testandtreat  #eradication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w:t>
            </w:r>
          </w:p>
        </w:tc>
        <w:tc>
          <w:tcPr>
            <w:tcW w:type="dxa" w:w="2160"/>
            <w:vAlign w:val="top"/>
          </w:tcPr>
          <w:p>
            <w:pPr>
              <w:spacing w:after="40" w:before="0" w:line="259" w:lineRule="auto"/>
            </w:pPr>
            <w:r>
              <w:rPr>
                <w:rFonts w:ascii="Calibri" w:hAnsi="Calibri"/>
                <w:b w:val="0"/>
                <w:i w:val="0"/>
                <w:color w:val="212121"/>
                <w:sz w:val="19"/>
              </w:rPr>
              <w:t>Patients with anxiety disorders</w:t>
            </w:r>
          </w:p>
        </w:tc>
        <w:tc>
          <w:tcPr>
            <w:tcW w:type="dxa" w:w="4276"/>
            <w:vAlign w:val="top"/>
          </w:tcPr>
          <w:p>
            <w:pPr>
              <w:spacing w:after="60" w:line="259" w:lineRule="auto"/>
            </w:pPr>
            <w:r>
              <w:rPr>
                <w:rFonts w:ascii="Calibri" w:hAnsi="Calibri"/>
                <w:b w:val="0"/>
                <w:i w:val="0"/>
                <w:color w:val="212121"/>
                <w:sz w:val="19"/>
              </w:rPr>
              <w:t>Anxiety amplifies amygdala activation and HPA-axis/cortisol responses and heightens visceral hypersensitivity; the relationship with FD is bidirectional, with each worsening the other.</w:t>
            </w:r>
          </w:p>
          <w:p>
            <w:pPr>
              <w:spacing w:after="40" w:before="60" w:line="259" w:lineRule="auto"/>
            </w:pPr>
            <w:r>
              <w:rPr>
                <w:rFonts w:ascii="Calibri" w:hAnsi="Calibri"/>
                <w:b w:val="0"/>
                <w:i w:val="0"/>
                <w:color w:val="212121"/>
                <w:sz w:val="19"/>
              </w:rPr>
              <w:t>Anxiety was present in 30.4% of people with functional dyspepsia versus 10.2% of those without, in the Rome IV global study.</w:t>
            </w:r>
          </w:p>
          <w:p>
            <w:pPr>
              <w:spacing w:after="40" w:line="252" w:lineRule="auto"/>
            </w:pPr>
            <w:hyperlink r:id="rId11">
              <w:r>
                <w:rPr>
                  <w:rFonts w:ascii="Calibri" w:hAnsi="Calibri" w:cs="Calibri"/>
                  <w:sz w:val="18"/>
                  <w:color w:val="1155CC"/>
                  <w:u w:val="single"/>
                </w:rPr>
                <w:t xml:space="preserve">Rome IV Global Study - anxiety in FD</w:t>
              </w:r>
            </w:hyperlink>
          </w:p>
          <w:p>
            <w:pPr>
              <w:spacing w:before="60" w:after="40"/>
            </w:pPr>
            <w:r>
              <w:rPr>
                <w:rFonts w:ascii="Calibri" w:hAnsi="Calibri"/>
                <w:b w:val="0"/>
                <w:i w:val="0"/>
                <w:color w:val="5A5A5A"/>
                <w:sz w:val="18"/>
              </w:rPr>
              <w:t>#anxiety  #gutbrain  #hpaaxis  #visceralpain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depressive disorders</w:t>
            </w:r>
          </w:p>
        </w:tc>
        <w:tc>
          <w:tcPr>
            <w:tcW w:type="dxa" w:w="4276"/>
            <w:vAlign w:val="top"/>
          </w:tcPr>
          <w:p>
            <w:pPr>
              <w:spacing w:after="60" w:line="259" w:lineRule="auto"/>
            </w:pPr>
            <w:r>
              <w:rPr>
                <w:rFonts w:ascii="Calibri" w:hAnsi="Calibri"/>
                <w:b w:val="0"/>
                <w:i w:val="0"/>
                <w:color w:val="212121"/>
                <w:sz w:val="19"/>
              </w:rPr>
              <w:t>Depression and FD are bidirectionally linked through the gut-brain axis and shared inflammatory and behavioural pathways; mood disorder amplifies symptoms and reduces treatment response.</w:t>
            </w:r>
          </w:p>
          <w:p>
            <w:pPr>
              <w:spacing w:after="40" w:before="60" w:line="259" w:lineRule="auto"/>
            </w:pPr>
            <w:r>
              <w:rPr>
                <w:rFonts w:ascii="Calibri" w:hAnsi="Calibri"/>
                <w:b w:val="0"/>
                <w:i w:val="0"/>
                <w:color w:val="212121"/>
                <w:sz w:val="19"/>
              </w:rPr>
              <w:t>Depression was present in 30.2% of people with functional dyspepsia versus 9.9% of those without, in the Rome IV global study.</w:t>
            </w:r>
          </w:p>
          <w:p>
            <w:pPr>
              <w:spacing w:after="40" w:line="252" w:lineRule="auto"/>
            </w:pPr>
            <w:hyperlink r:id="rId11">
              <w:r>
                <w:rPr>
                  <w:rFonts w:ascii="Calibri" w:hAnsi="Calibri" w:cs="Calibri"/>
                  <w:sz w:val="18"/>
                  <w:color w:val="1155CC"/>
                  <w:u w:val="single"/>
                </w:rPr>
                <w:t xml:space="preserve">Rome IV Global Study - depression in FD</w:t>
              </w:r>
            </w:hyperlink>
          </w:p>
          <w:p>
            <w:pPr>
              <w:spacing w:before="60" w:after="40"/>
            </w:pPr>
            <w:r>
              <w:rPr>
                <w:rFonts w:ascii="Calibri" w:hAnsi="Calibri"/>
                <w:b w:val="0"/>
                <w:i w:val="0"/>
                <w:color w:val="5A5A5A"/>
                <w:sz w:val="18"/>
              </w:rPr>
              <w:t>#depression  #gutbrain  #mentalhealth  #comorbidity  #treatmentresponse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Irritable bowel syndrome</w:t>
            </w:r>
          </w:p>
        </w:tc>
        <w:tc>
          <w:tcPr>
            <w:tcW w:type="dxa" w:w="2160"/>
            <w:vAlign w:val="top"/>
          </w:tcPr>
          <w:p>
            <w:pPr>
              <w:spacing w:after="40" w:before="0" w:line="259" w:lineRule="auto"/>
            </w:pPr>
            <w:r>
              <w:rPr>
                <w:rFonts w:ascii="Calibri" w:hAnsi="Calibri"/>
                <w:b w:val="0"/>
                <w:i w:val="0"/>
                <w:color w:val="212121"/>
                <w:sz w:val="19"/>
              </w:rPr>
              <w:t>Patients with IBS</w:t>
            </w:r>
          </w:p>
        </w:tc>
        <w:tc>
          <w:tcPr>
            <w:tcW w:type="dxa" w:w="4276"/>
            <w:vAlign w:val="top"/>
          </w:tcPr>
          <w:p>
            <w:pPr>
              <w:spacing w:after="60" w:line="259" w:lineRule="auto"/>
            </w:pPr>
            <w:r>
              <w:rPr>
                <w:rFonts w:ascii="Calibri" w:hAnsi="Calibri"/>
                <w:b w:val="0"/>
                <w:i w:val="0"/>
                <w:color w:val="212121"/>
                <w:sz w:val="19"/>
              </w:rPr>
              <w:t>FD and IBS share disordered gut-brain interaction and frequently overlap, compounding upper- and lower-GI symptoms, increasing severity and lowering quality of life.</w:t>
            </w:r>
          </w:p>
          <w:p>
            <w:pPr>
              <w:spacing w:after="40" w:before="60" w:line="259" w:lineRule="auto"/>
            </w:pPr>
            <w:r>
              <w:rPr>
                <w:rFonts w:ascii="Calibri" w:hAnsi="Calibri"/>
                <w:b w:val="0"/>
                <w:i w:val="0"/>
                <w:color w:val="212121"/>
                <w:sz w:val="19"/>
              </w:rPr>
              <w:t>IBS overlaps in about 26.1% of functional dyspepsia patients globally, and Asian series report dyspepsia-IBS overlap as high as 49%.</w:t>
            </w:r>
          </w:p>
          <w:p>
            <w:pPr>
              <w:spacing w:after="40" w:line="252" w:lineRule="auto"/>
            </w:pPr>
            <w:hyperlink r:id="rId11">
              <w:r>
                <w:rPr>
                  <w:rFonts w:ascii="Calibri" w:hAnsi="Calibri" w:cs="Calibri"/>
                  <w:sz w:val="18"/>
                  <w:color w:val="1155CC"/>
                  <w:u w:val="single"/>
                </w:rPr>
                <w:t xml:space="preserve">Rome IV Global Study - FD-IBS overlap</w:t>
              </w:r>
            </w:hyperlink>
          </w:p>
          <w:p>
            <w:pPr>
              <w:spacing w:before="60" w:after="40"/>
            </w:pPr>
            <w:r>
              <w:rPr>
                <w:rFonts w:ascii="Calibri" w:hAnsi="Calibri"/>
                <w:b w:val="0"/>
                <w:i w:val="0"/>
                <w:color w:val="5A5A5A"/>
                <w:sz w:val="18"/>
              </w:rPr>
              <w:t>#ibs  #overlap  #gutbrain  #lowerGI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GERD / functional heartburn</w:t>
            </w:r>
          </w:p>
        </w:tc>
        <w:tc>
          <w:tcPr>
            <w:tcW w:type="dxa" w:w="2160"/>
            <w:vAlign w:val="top"/>
          </w:tcPr>
          <w:p>
            <w:pPr>
              <w:spacing w:after="40" w:before="0" w:line="259" w:lineRule="auto"/>
            </w:pPr>
            <w:r>
              <w:rPr>
                <w:rFonts w:ascii="Calibri" w:hAnsi="Calibri"/>
                <w:b w:val="0"/>
                <w:i w:val="0"/>
                <w:color w:val="212121"/>
                <w:sz w:val="19"/>
              </w:rPr>
              <w:t>Patients with reflux disease</w:t>
            </w:r>
          </w:p>
        </w:tc>
        <w:tc>
          <w:tcPr>
            <w:tcW w:type="dxa" w:w="4276"/>
            <w:vAlign w:val="top"/>
          </w:tcPr>
          <w:p>
            <w:pPr>
              <w:spacing w:after="60" w:line="259" w:lineRule="auto"/>
            </w:pPr>
            <w:r>
              <w:rPr>
                <w:rFonts w:ascii="Calibri" w:hAnsi="Calibri"/>
                <w:b w:val="0"/>
                <w:i w:val="0"/>
                <w:color w:val="212121"/>
                <w:sz w:val="19"/>
              </w:rPr>
              <w:t>Reflux and FD frequently coexist as overlapping disorders of gut-brain interaction, sharing visceral hypersensitivity and dysmotility across the upper GI tract, which blurs symptom boundaries.</w:t>
            </w:r>
          </w:p>
          <w:p>
            <w:pPr>
              <w:spacing w:after="40" w:before="60" w:line="259" w:lineRule="auto"/>
            </w:pPr>
            <w:r>
              <w:rPr>
                <w:rFonts w:ascii="Calibri" w:hAnsi="Calibri"/>
                <w:b w:val="0"/>
                <w:i w:val="0"/>
                <w:color w:val="212121"/>
                <w:sz w:val="19"/>
              </w:rPr>
              <w:t>Functional heartburn overlaps about 9.0% of FD in the global study, and dyspepsia-GERD overlap is reported at 2.3-8.4% in Asian population surveys.</w:t>
            </w:r>
          </w:p>
          <w:p>
            <w:pPr>
              <w:spacing w:after="40" w:line="252" w:lineRule="auto"/>
            </w:pPr>
            <w:hyperlink r:id="rId12">
              <w:r>
                <w:rPr>
                  <w:rFonts w:ascii="Calibri" w:hAnsi="Calibri" w:cs="Calibri"/>
                  <w:sz w:val="18"/>
                  <w:color w:val="1155CC"/>
                  <w:u w:val="single"/>
                </w:rPr>
                <w:t xml:space="preserve">J Neurogastroenterol Motil - dyspepsia-GERD overlap</w:t>
              </w:r>
            </w:hyperlink>
          </w:p>
          <w:p>
            <w:pPr>
              <w:spacing w:before="60" w:after="40"/>
            </w:pPr>
            <w:r>
              <w:rPr>
                <w:rFonts w:ascii="Calibri" w:hAnsi="Calibri"/>
                <w:b w:val="0"/>
                <w:i w:val="0"/>
                <w:color w:val="5A5A5A"/>
                <w:sz w:val="18"/>
              </w:rPr>
              <w:t>#gerd  #reflux  #heartburn  #overlap  #dysmotility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activity stimulates gastric and intestinal motility, eases postprandial fullness and buffers stress; low physical activity independently predicted functional GI disorders including FD in Indian students, and inactivity worsens symptoms.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Spicy, fried and high-fat foods, large, rushed or skipped meals and carbonated drinks provoke symptoms; spicy food raises FD risk (OR 1.32) and fast eating (&lt;10 min) raises dyspepsia risk by ~49%, while higher meal frequency is protective (OR 0.52).</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disturbance dysregulates the gut-brain axis and slows gastric motility; a population cohort found a ~4-fold higher hazard of developing FD (aHR 4.07) with sleep disorder, and poor sleep worsens next-day symptoms bidirectionally.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and smokeless tobacco delay gastric emptying, impair mucosal defence and promote H. pylori gastritis; smoking tobacco was the only independent risk factor for dyspepsia in a rural Indian community study.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irritates the gastroduodenal mucosa, stimulates acid and provokes epigastric burning and nausea, especially spirits and drinking on an empty stomach; heavy use is most strongly linked to symptoms.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depression, somatisation and stress are bidirectionally linked to FD via the gut-brain axis; each was present in about 30% of FD patients (versus ~10% without) in the Rome IV global study.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digestion and can dilute gastric acid, but direct evidence linking water intake to FD prevention or relief is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stimulates gastric acid secretion and can lower sphincter tone; frequent tea/coffee intake predicted FGIDs in Indian students, though meta-analyses report inconsistent (neutral-to-protective) effects.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Food- and water-hygiene reduces H. pylori acquisition and acute gastroenteritis, and thus H. pylori-associated and post-infectious FD - relevant in India where transmission and enteric infection are common.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Specific meals (spicy, fatty, large), acute gastroenteritis, NSAIDs and aspirin, psychological stress, smoking and alcohol precipitate or flare symptoms.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Lying down or slouching soon after meals can aggravate postprandial fullness and reflux-overlap symptoms; staying upright and taking a short walk after eating may help.</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with FD, sedentary workers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90 min/week</w:t>
            </w:r>
          </w:p>
        </w:tc>
        <w:tc>
          <w:tcPr>
            <w:tcW w:type="dxa" w:w="1468"/>
            <w:vAlign w:val="top"/>
          </w:tcPr>
          <w:p>
            <w:pPr>
              <w:spacing w:after="60" w:line="259" w:lineRule="auto"/>
            </w:pPr>
            <w:r>
              <w:rPr>
                <w:rFonts w:ascii="Calibri" w:hAnsi="Calibri"/>
                <w:b w:val="0"/>
                <w:i w:val="0"/>
                <w:color w:val="212121"/>
                <w:sz w:val="19"/>
              </w:rPr>
              <w:t>Regular activity aids emptying and eases fullness; low activity predicts FGIDs</w:t>
            </w:r>
          </w:p>
          <w:p>
            <w:pPr>
              <w:spacing w:after="40" w:line="252" w:lineRule="auto"/>
            </w:pPr>
            <w:hyperlink r:id="rId9">
              <w:r>
                <w:rPr>
                  <w:rFonts w:ascii="Calibri" w:hAnsi="Calibri" w:cs="Calibri"/>
                  <w:sz w:val="18"/>
                  <w:color w:val="1155CC"/>
                  <w:u w:val="single"/>
                </w:rPr>
                <w:t xml:space="preserve">https://link.springer.com/article/10.1007/s12664-020-01106-y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&lt; 18.5 (from food avoidance) or &gt;= 25</w:t>
            </w:r>
          </w:p>
        </w:tc>
        <w:tc>
          <w:tcPr>
            <w:tcW w:type="dxa" w:w="1468"/>
            <w:vAlign w:val="top"/>
          </w:tcPr>
          <w:p>
            <w:pPr>
              <w:spacing w:after="40" w:before="0" w:line="259" w:lineRule="auto"/>
            </w:pPr>
            <w:r>
              <w:rPr>
                <w:rFonts w:ascii="Calibri" w:hAnsi="Calibri"/>
                <w:b w:val="0"/>
                <w:i w:val="0"/>
                <w:color w:val="212121"/>
                <w:sz w:val="19"/>
              </w:rPr>
              <w:t>Early-satiety food avoidance can cause weight loss; obesity worsens reflux overlap</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Spicy / fried / high-fat trigger load</w:t>
            </w:r>
          </w:p>
        </w:tc>
        <w:tc>
          <w:tcPr>
            <w:tcW w:type="dxa" w:w="1655"/>
            <w:vAlign w:val="top"/>
          </w:tcPr>
          <w:p>
            <w:pPr>
              <w:spacing w:after="40" w:before="0" w:line="259" w:lineRule="auto"/>
            </w:pPr>
            <w:r>
              <w:rPr>
                <w:rFonts w:ascii="Calibri" w:hAnsi="Calibri"/>
                <w:b w:val="0"/>
                <w:i w:val="0"/>
                <w:color w:val="212121"/>
                <w:sz w:val="19"/>
              </w:rPr>
              <w:t>Spicy-food eaters, PDS/EPS</w:t>
            </w:r>
          </w:p>
        </w:tc>
        <w:tc>
          <w:tcPr>
            <w:tcW w:type="dxa" w:w="1512"/>
            <w:vAlign w:val="top"/>
          </w:tcPr>
          <w:p>
            <w:pPr>
              <w:spacing w:after="40" w:before="0" w:line="259" w:lineRule="auto"/>
            </w:pPr>
            <w:r>
              <w:rPr>
                <w:rFonts w:ascii="Calibri" w:hAnsi="Calibri"/>
                <w:b w:val="0"/>
                <w:i w:val="0"/>
                <w:color w:val="212121"/>
                <w:sz w:val="19"/>
              </w:rPr>
              <w:t>Low; identify and limit personal triggers</w:t>
            </w:r>
          </w:p>
        </w:tc>
        <w:tc>
          <w:tcPr>
            <w:tcW w:type="dxa" w:w="1512"/>
            <w:vAlign w:val="top"/>
          </w:tcPr>
          <w:p>
            <w:pPr>
              <w:spacing w:after="40" w:before="0" w:line="259" w:lineRule="auto"/>
            </w:pPr>
            <w:r>
              <w:rPr>
                <w:rFonts w:ascii="Calibri" w:hAnsi="Calibri"/>
                <w:b w:val="0"/>
                <w:i w:val="0"/>
                <w:color w:val="212121"/>
                <w:sz w:val="19"/>
              </w:rPr>
              <w:t>Frequent chillies, fried &amp; high-fat meals</w:t>
            </w:r>
          </w:p>
        </w:tc>
        <w:tc>
          <w:tcPr>
            <w:tcW w:type="dxa" w:w="1468"/>
            <w:vAlign w:val="top"/>
          </w:tcPr>
          <w:p>
            <w:pPr>
              <w:spacing w:after="60" w:line="259" w:lineRule="auto"/>
            </w:pPr>
            <w:r>
              <w:rPr>
                <w:rFonts w:ascii="Calibri" w:hAnsi="Calibri"/>
                <w:b w:val="0"/>
                <w:i w:val="0"/>
                <w:color w:val="212121"/>
                <w:sz w:val="19"/>
              </w:rPr>
              <w:t>Spicy food raises FD risk (OR 1.32) and epigastric pain (OR 1.46)</w:t>
            </w:r>
          </w:p>
          <w:p>
            <w:pPr>
              <w:spacing w:after="40" w:line="252" w:lineRule="auto"/>
            </w:pPr>
            <w:hyperlink r:id="rId15">
              <w:r>
                <w:rPr>
                  <w:rFonts w:ascii="Calibri" w:hAnsi="Calibri" w:cs="Calibri"/>
                  <w:sz w:val="18"/>
                  <w:color w:val="1155CC"/>
                  <w:u w:val="single"/>
                </w:rPr>
                <w:t xml:space="preserve">https://link.springer.com/article/10.1186/s41043-025-01223-4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Meal pattern &amp; eating speed</w:t>
            </w:r>
          </w:p>
        </w:tc>
        <w:tc>
          <w:tcPr>
            <w:tcW w:type="dxa" w:w="1655"/>
            <w:vAlign w:val="top"/>
          </w:tcPr>
          <w:p>
            <w:pPr>
              <w:spacing w:after="40" w:before="0" w:line="259" w:lineRule="auto"/>
            </w:pPr>
            <w:r>
              <w:rPr>
                <w:rFonts w:ascii="Calibri" w:hAnsi="Calibri"/>
                <w:b w:val="0"/>
                <w:i w:val="0"/>
                <w:color w:val="212121"/>
                <w:sz w:val="19"/>
              </w:rPr>
              <w:t>Fast eaters, irregular meals</w:t>
            </w:r>
          </w:p>
        </w:tc>
        <w:tc>
          <w:tcPr>
            <w:tcW w:type="dxa" w:w="1512"/>
            <w:vAlign w:val="top"/>
          </w:tcPr>
          <w:p>
            <w:pPr>
              <w:spacing w:after="40" w:before="0" w:line="259" w:lineRule="auto"/>
            </w:pPr>
            <w:r>
              <w:rPr>
                <w:rFonts w:ascii="Calibri" w:hAnsi="Calibri"/>
                <w:b w:val="0"/>
                <w:i w:val="0"/>
                <w:color w:val="212121"/>
                <w:sz w:val="19"/>
              </w:rPr>
              <w:t>Small, regular, unhurried meals (&gt;10 min)</w:t>
            </w:r>
          </w:p>
        </w:tc>
        <w:tc>
          <w:tcPr>
            <w:tcW w:type="dxa" w:w="1512"/>
            <w:vAlign w:val="top"/>
          </w:tcPr>
          <w:p>
            <w:pPr>
              <w:spacing w:after="40" w:before="0" w:line="259" w:lineRule="auto"/>
            </w:pPr>
            <w:r>
              <w:rPr>
                <w:rFonts w:ascii="Calibri" w:hAnsi="Calibri"/>
                <w:b w:val="0"/>
                <w:i w:val="0"/>
                <w:color w:val="212121"/>
                <w:sz w:val="19"/>
              </w:rPr>
              <w:t>Rushed (&lt;10 min), skipped or large late meals</w:t>
            </w:r>
          </w:p>
        </w:tc>
        <w:tc>
          <w:tcPr>
            <w:tcW w:type="dxa" w:w="1468"/>
            <w:vAlign w:val="top"/>
          </w:tcPr>
          <w:p>
            <w:pPr>
              <w:spacing w:after="60" w:line="259" w:lineRule="auto"/>
            </w:pPr>
            <w:r>
              <w:rPr>
                <w:rFonts w:ascii="Calibri" w:hAnsi="Calibri"/>
                <w:b w:val="0"/>
                <w:i w:val="0"/>
                <w:color w:val="212121"/>
                <w:sz w:val="19"/>
              </w:rPr>
              <w:t>Fast eating raises dyspepsia risk ~49%; higher meal frequency protective (OR 0.52)</w:t>
            </w:r>
          </w:p>
          <w:p>
            <w:pPr>
              <w:spacing w:after="40" w:line="252" w:lineRule="auto"/>
            </w:pPr>
            <w:hyperlink r:id="rId15">
              <w:r>
                <w:rPr>
                  <w:rFonts w:ascii="Calibri" w:hAnsi="Calibri" w:cs="Calibri"/>
                  <w:sz w:val="18"/>
                  <w:color w:val="1155CC"/>
                  <w:u w:val="single"/>
                </w:rPr>
                <w:t xml:space="preserve">https://link.springer.com/article/10.1186/s41043-025-01223-4</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 (hours/night)</w:t>
            </w:r>
          </w:p>
        </w:tc>
        <w:tc>
          <w:tcPr>
            <w:tcW w:type="dxa" w:w="1655"/>
            <w:vAlign w:val="top"/>
          </w:tcPr>
          <w:p>
            <w:pPr>
              <w:spacing w:after="40" w:before="0" w:line="259" w:lineRule="auto"/>
            </w:pPr>
            <w:r>
              <w:rPr>
                <w:rFonts w:ascii="Calibri" w:hAnsi="Calibri"/>
                <w:b w:val="0"/>
                <w:i w:val="0"/>
                <w:color w:val="212121"/>
                <w:sz w:val="19"/>
              </w:rPr>
              <w:t>Adults with FD, shift workers</w:t>
            </w:r>
          </w:p>
        </w:tc>
        <w:tc>
          <w:tcPr>
            <w:tcW w:type="dxa" w:w="1512"/>
            <w:vAlign w:val="top"/>
          </w:tcPr>
          <w:p>
            <w:pPr>
              <w:spacing w:after="40" w:before="0" w:line="259" w:lineRule="auto"/>
            </w:pPr>
            <w:r>
              <w:rPr>
                <w:rFonts w:ascii="Calibri" w:hAnsi="Calibri"/>
                <w:b w:val="0"/>
                <w:i w:val="0"/>
                <w:color w:val="212121"/>
                <w:sz w:val="19"/>
              </w:rPr>
              <w:t>7-9 h, good quality</w:t>
            </w:r>
          </w:p>
        </w:tc>
        <w:tc>
          <w:tcPr>
            <w:tcW w:type="dxa" w:w="1512"/>
            <w:vAlign w:val="top"/>
          </w:tcPr>
          <w:p>
            <w:pPr>
              <w:spacing w:after="40" w:before="0" w:line="259" w:lineRule="auto"/>
            </w:pPr>
            <w:r>
              <w:rPr>
                <w:rFonts w:ascii="Calibri" w:hAnsi="Calibri"/>
                <w:b w:val="0"/>
                <w:i w:val="0"/>
                <w:color w:val="212121"/>
                <w:sz w:val="19"/>
              </w:rPr>
              <w:t>&lt; 6 h or poor quality / shift work</w:t>
            </w:r>
          </w:p>
        </w:tc>
        <w:tc>
          <w:tcPr>
            <w:tcW w:type="dxa" w:w="1468"/>
            <w:vAlign w:val="top"/>
          </w:tcPr>
          <w:p>
            <w:pPr>
              <w:spacing w:after="60" w:line="259" w:lineRule="auto"/>
            </w:pPr>
            <w:r>
              <w:rPr>
                <w:rFonts w:ascii="Calibri" w:hAnsi="Calibri"/>
                <w:b w:val="0"/>
                <w:i w:val="0"/>
                <w:color w:val="212121"/>
                <w:sz w:val="19"/>
              </w:rPr>
              <w:t>Sleep disturbance carries ~4-fold higher hazard of FD (aHR 4.07)</w:t>
            </w:r>
          </w:p>
          <w:p>
            <w:pPr>
              <w:spacing w:after="40" w:line="252" w:lineRule="auto"/>
            </w:pPr>
            <w:hyperlink r:id="rId14">
              <w:r>
                <w:rPr>
                  <w:rFonts w:ascii="Calibri" w:hAnsi="Calibri" w:cs="Calibri"/>
                  <w:sz w:val="18"/>
                  <w:color w:val="1155CC"/>
                  <w:u w:val="single"/>
                </w:rPr>
                <w:t xml:space="preserve">https://www.nature.com/articles/s41598-021-98169-4</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Adults with FD, tobacco users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cigarette or any smokeless tobacco/day</w:t>
            </w:r>
          </w:p>
        </w:tc>
        <w:tc>
          <w:tcPr>
            <w:tcW w:type="dxa" w:w="1468"/>
            <w:vAlign w:val="top"/>
          </w:tcPr>
          <w:p>
            <w:pPr>
              <w:spacing w:after="60" w:line="259" w:lineRule="auto"/>
            </w:pPr>
            <w:r>
              <w:rPr>
                <w:rFonts w:ascii="Calibri" w:hAnsi="Calibri"/>
                <w:b w:val="0"/>
                <w:i w:val="0"/>
                <w:color w:val="212121"/>
                <w:sz w:val="19"/>
              </w:rPr>
              <w:t>Smoking tobacco independently predicted dyspepsia in rural India</w:t>
            </w:r>
          </w:p>
          <w:p>
            <w:pPr>
              <w:spacing w:after="40" w:line="252" w:lineRule="auto"/>
            </w:pPr>
            <w:hyperlink r:id="rId13">
              <w:r>
                <w:rPr>
                  <w:rFonts w:ascii="Calibri" w:hAnsi="Calibri" w:cs="Calibri"/>
                  <w:sz w:val="18"/>
                  <w:color w:val="1155CC"/>
                  <w:u w:val="single"/>
                </w:rPr>
                <w:t xml:space="preserve">https://ouci.dntb.gov.ua/en/works/7qjRRK54/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Regular/heavy drinkers</w:t>
            </w:r>
          </w:p>
        </w:tc>
        <w:tc>
          <w:tcPr>
            <w:tcW w:type="dxa" w:w="1512"/>
            <w:vAlign w:val="top"/>
          </w:tcPr>
          <w:p>
            <w:pPr>
              <w:spacing w:after="40" w:before="0" w:line="259" w:lineRule="auto"/>
            </w:pPr>
            <w:r>
              <w:rPr>
                <w:rFonts w:ascii="Calibri" w:hAnsi="Calibri"/>
                <w:b w:val="0"/>
                <w:i w:val="0"/>
                <w:color w:val="212121"/>
                <w:sz w:val="19"/>
              </w:rPr>
              <w:t>&lt;= 1-2 drinks; avoid on empty stomach</w:t>
            </w:r>
          </w:p>
        </w:tc>
        <w:tc>
          <w:tcPr>
            <w:tcW w:type="dxa" w:w="1512"/>
            <w:vAlign w:val="top"/>
          </w:tcPr>
          <w:p>
            <w:pPr>
              <w:spacing w:after="40" w:before="0" w:line="259" w:lineRule="auto"/>
            </w:pPr>
            <w:r>
              <w:rPr>
                <w:rFonts w:ascii="Calibri" w:hAnsi="Calibri"/>
                <w:b w:val="0"/>
                <w:i w:val="0"/>
                <w:color w:val="212121"/>
                <w:sz w:val="19"/>
              </w:rPr>
              <w:t>Heavy or spirits, especially fasting</w:t>
            </w:r>
          </w:p>
        </w:tc>
        <w:tc>
          <w:tcPr>
            <w:tcW w:type="dxa" w:w="1468"/>
            <w:vAlign w:val="top"/>
          </w:tcPr>
          <w:p>
            <w:pPr>
              <w:spacing w:after="40" w:before="0" w:line="259" w:lineRule="auto"/>
            </w:pPr>
            <w:r>
              <w:rPr>
                <w:rFonts w:ascii="Calibri" w:hAnsi="Calibri"/>
                <w:b w:val="0"/>
                <w:i w:val="0"/>
                <w:color w:val="212121"/>
                <w:sz w:val="19"/>
              </w:rPr>
              <w:t>Alcohol irritates mucosa and provokes epigastric burning/nausea</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Tea/coffee cups per day</w:t>
            </w:r>
          </w:p>
        </w:tc>
        <w:tc>
          <w:tcPr>
            <w:tcW w:type="dxa" w:w="1655"/>
            <w:vAlign w:val="top"/>
          </w:tcPr>
          <w:p>
            <w:pPr>
              <w:spacing w:after="40" w:before="0" w:line="259" w:lineRule="auto"/>
            </w:pPr>
            <w:r>
              <w:rPr>
                <w:rFonts w:ascii="Calibri" w:hAnsi="Calibri"/>
                <w:b w:val="0"/>
                <w:i w:val="0"/>
                <w:color w:val="212121"/>
                <w:sz w:val="19"/>
              </w:rPr>
              <w:t>Adults with FD, students</w:t>
            </w:r>
          </w:p>
        </w:tc>
        <w:tc>
          <w:tcPr>
            <w:tcW w:type="dxa" w:w="1512"/>
            <w:vAlign w:val="top"/>
          </w:tcPr>
          <w:p>
            <w:pPr>
              <w:spacing w:after="40" w:before="0" w:line="259" w:lineRule="auto"/>
            </w:pPr>
            <w:r>
              <w:rPr>
                <w:rFonts w:ascii="Calibri" w:hAnsi="Calibri"/>
                <w:b w:val="0"/>
                <w:i w:val="0"/>
                <w:color w:val="212121"/>
                <w:sz w:val="19"/>
              </w:rPr>
              <w:t>&lt;= 2-3 cups/day, with food</w:t>
            </w:r>
          </w:p>
        </w:tc>
        <w:tc>
          <w:tcPr>
            <w:tcW w:type="dxa" w:w="1512"/>
            <w:vAlign w:val="top"/>
          </w:tcPr>
          <w:p>
            <w:pPr>
              <w:spacing w:after="40" w:before="0" w:line="259" w:lineRule="auto"/>
            </w:pPr>
            <w:r>
              <w:rPr>
                <w:rFonts w:ascii="Calibri" w:hAnsi="Calibri"/>
                <w:b w:val="0"/>
                <w:i w:val="0"/>
                <w:color w:val="212121"/>
                <w:sz w:val="19"/>
              </w:rPr>
              <w:t>&gt; 3 cups/day or on empty stomach</w:t>
            </w:r>
          </w:p>
        </w:tc>
        <w:tc>
          <w:tcPr>
            <w:tcW w:type="dxa" w:w="1468"/>
            <w:vAlign w:val="top"/>
          </w:tcPr>
          <w:p>
            <w:pPr>
              <w:spacing w:after="60" w:line="259" w:lineRule="auto"/>
            </w:pPr>
            <w:r>
              <w:rPr>
                <w:rFonts w:ascii="Calibri" w:hAnsi="Calibri"/>
                <w:b w:val="0"/>
                <w:i w:val="0"/>
                <w:color w:val="212121"/>
                <w:sz w:val="19"/>
              </w:rPr>
              <w:t>Caffeine stimulates acid; frequent intake predicted FGIDs in students</w:t>
            </w:r>
          </w:p>
          <w:p>
            <w:pPr>
              <w:spacing w:after="40" w:line="252" w:lineRule="auto"/>
            </w:pPr>
            <w:hyperlink r:id="rId9">
              <w:r>
                <w:rPr>
                  <w:rFonts w:ascii="Calibri" w:hAnsi="Calibri" w:cs="Calibri"/>
                  <w:sz w:val="18"/>
                  <w:color w:val="1155CC"/>
                  <w:u w:val="single"/>
                </w:rPr>
                <w:t xml:space="preserve">https://link.springer.com/article/10.1007/s12664-020-01106-y</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Fluid intake (L/day)</w:t>
            </w:r>
          </w:p>
        </w:tc>
        <w:tc>
          <w:tcPr>
            <w:tcW w:type="dxa" w:w="1655"/>
            <w:vAlign w:val="top"/>
          </w:tcPr>
          <w:p>
            <w:pPr>
              <w:spacing w:after="40" w:before="0" w:line="259" w:lineRule="auto"/>
            </w:pPr>
            <w:r>
              <w:rPr>
                <w:rFonts w:ascii="Calibri" w:hAnsi="Calibri"/>
                <w:b w:val="0"/>
                <w:i w:val="0"/>
                <w:color w:val="212121"/>
                <w:sz w:val="19"/>
              </w:rPr>
              <w:t>Adults with FD</w:t>
            </w:r>
          </w:p>
        </w:tc>
        <w:tc>
          <w:tcPr>
            <w:tcW w:type="dxa" w:w="1512"/>
            <w:vAlign w:val="top"/>
          </w:tcPr>
          <w:p>
            <w:pPr>
              <w:spacing w:after="40" w:before="0" w:line="259" w:lineRule="auto"/>
            </w:pPr>
            <w:r>
              <w:rPr>
                <w:rFonts w:ascii="Calibri" w:hAnsi="Calibri"/>
                <w:b w:val="0"/>
                <w:i w:val="0"/>
                <w:color w:val="212121"/>
                <w:sz w:val="19"/>
              </w:rPr>
              <w:t>~2-3 L/day, sipped between meals</w:t>
            </w:r>
          </w:p>
        </w:tc>
        <w:tc>
          <w:tcPr>
            <w:tcW w:type="dxa" w:w="1512"/>
            <w:vAlign w:val="top"/>
          </w:tcPr>
          <w:p>
            <w:pPr>
              <w:spacing w:after="40" w:before="0" w:line="259" w:lineRule="auto"/>
            </w:pPr>
            <w:r>
              <w:rPr>
                <w:rFonts w:ascii="Calibri" w:hAnsi="Calibri"/>
                <w:b w:val="0"/>
                <w:i w:val="0"/>
                <w:color w:val="212121"/>
                <w:sz w:val="19"/>
              </w:rPr>
              <w:t>Large volumes with meals worsening fullness</w:t>
            </w:r>
          </w:p>
        </w:tc>
        <w:tc>
          <w:tcPr>
            <w:tcW w:type="dxa" w:w="1468"/>
            <w:vAlign w:val="top"/>
          </w:tcPr>
          <w:p>
            <w:pPr>
              <w:spacing w:after="40" w:before="0" w:line="259" w:lineRule="auto"/>
            </w:pPr>
            <w:r>
              <w:rPr>
                <w:rFonts w:ascii="Calibri" w:hAnsi="Calibri"/>
                <w:b w:val="0"/>
                <w:i w:val="0"/>
                <w:color w:val="212121"/>
                <w:sz w:val="19"/>
              </w:rPr>
              <w:t>Adequate hydration supports digestion; avoid gulping during meals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screen (GAD-7 / PHQ-9)</w:t>
            </w:r>
          </w:p>
        </w:tc>
        <w:tc>
          <w:tcPr>
            <w:tcW w:type="dxa" w:w="1655"/>
            <w:vAlign w:val="top"/>
          </w:tcPr>
          <w:p>
            <w:pPr>
              <w:spacing w:after="40" w:before="0" w:line="259" w:lineRule="auto"/>
            </w:pPr>
            <w:r>
              <w:rPr>
                <w:rFonts w:ascii="Calibri" w:hAnsi="Calibri"/>
                <w:b w:val="0"/>
                <w:i w:val="0"/>
                <w:color w:val="212121"/>
                <w:sz w:val="19"/>
              </w:rPr>
              <w:t>All FD patients</w:t>
            </w:r>
          </w:p>
        </w:tc>
        <w:tc>
          <w:tcPr>
            <w:tcW w:type="dxa" w:w="1512"/>
            <w:vAlign w:val="top"/>
          </w:tcPr>
          <w:p>
            <w:pPr>
              <w:spacing w:after="40" w:before="0" w:line="259" w:lineRule="auto"/>
            </w:pPr>
            <w:r>
              <w:rPr>
                <w:rFonts w:ascii="Calibri" w:hAnsi="Calibri"/>
                <w:b w:val="0"/>
                <w:i w:val="0"/>
                <w:color w:val="212121"/>
                <w:sz w:val="19"/>
              </w:rPr>
              <w:t>GAD-7 &lt; 5 and PHQ-9 &lt; 5</w:t>
            </w:r>
          </w:p>
        </w:tc>
        <w:tc>
          <w:tcPr>
            <w:tcW w:type="dxa" w:w="1512"/>
            <w:vAlign w:val="top"/>
          </w:tcPr>
          <w:p>
            <w:pPr>
              <w:spacing w:after="40" w:before="0" w:line="259" w:lineRule="auto"/>
            </w:pPr>
            <w:r>
              <w:rPr>
                <w:rFonts w:ascii="Calibri" w:hAnsi="Calibri"/>
                <w:b w:val="0"/>
                <w:i w:val="0"/>
                <w:color w:val="212121"/>
                <w:sz w:val="19"/>
              </w:rPr>
              <w:t>GAD-7 &gt;= 10 or PHQ-9 &gt;= 10</w:t>
            </w:r>
          </w:p>
        </w:tc>
        <w:tc>
          <w:tcPr>
            <w:tcW w:type="dxa" w:w="1468"/>
            <w:vAlign w:val="top"/>
          </w:tcPr>
          <w:p>
            <w:pPr>
              <w:spacing w:after="60" w:line="259" w:lineRule="auto"/>
            </w:pPr>
            <w:r>
              <w:rPr>
                <w:rFonts w:ascii="Calibri" w:hAnsi="Calibri"/>
                <w:b w:val="0"/>
                <w:i w:val="0"/>
                <w:color w:val="212121"/>
                <w:sz w:val="19"/>
              </w:rPr>
              <w:t>~30% of FD patients have anxiety or depression (vs ~10% without)</w:t>
            </w:r>
          </w:p>
          <w:p>
            <w:pPr>
              <w:spacing w:after="40" w:line="252" w:lineRule="auto"/>
            </w:pPr>
            <w:hyperlink r:id="rId11">
              <w:r>
                <w:rPr>
                  <w:rFonts w:ascii="Calibri" w:hAnsi="Calibri" w:cs="Calibri"/>
                  <w:sz w:val="18"/>
                  <w:color w:val="1155CC"/>
                  <w:u w:val="single"/>
                </w:rPr>
                <w:t xml:space="preserve">https://pmc.ncbi.nlm.nih.gov/articles/PMC12239946/</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Symptom severity (e.g., Nepean/Leeds Dyspepsia Index)</w:t>
            </w:r>
          </w:p>
        </w:tc>
        <w:tc>
          <w:tcPr>
            <w:tcW w:type="dxa" w:w="1655"/>
            <w:vAlign w:val="top"/>
          </w:tcPr>
          <w:p>
            <w:pPr>
              <w:spacing w:after="40" w:before="0" w:line="259" w:lineRule="auto"/>
            </w:pPr>
            <w:r>
              <w:rPr>
                <w:rFonts w:ascii="Calibri" w:hAnsi="Calibri"/>
                <w:b w:val="0"/>
                <w:i w:val="0"/>
                <w:color w:val="212121"/>
                <w:sz w:val="19"/>
              </w:rPr>
              <w:t>All FD patients</w:t>
            </w:r>
          </w:p>
        </w:tc>
        <w:tc>
          <w:tcPr>
            <w:tcW w:type="dxa" w:w="1512"/>
            <w:vAlign w:val="top"/>
          </w:tcPr>
          <w:p>
            <w:pPr>
              <w:spacing w:after="40" w:before="0" w:line="259" w:lineRule="auto"/>
            </w:pPr>
            <w:r>
              <w:rPr>
                <w:rFonts w:ascii="Calibri" w:hAnsi="Calibri"/>
                <w:b w:val="0"/>
                <w:i w:val="0"/>
                <w:color w:val="212121"/>
                <w:sz w:val="19"/>
              </w:rPr>
              <w:t>Low / minimal symptom score</w:t>
            </w:r>
          </w:p>
        </w:tc>
        <w:tc>
          <w:tcPr>
            <w:tcW w:type="dxa" w:w="1512"/>
            <w:vAlign w:val="top"/>
          </w:tcPr>
          <w:p>
            <w:pPr>
              <w:spacing w:after="40" w:before="0" w:line="259" w:lineRule="auto"/>
            </w:pPr>
            <w:r>
              <w:rPr>
                <w:rFonts w:ascii="Calibri" w:hAnsi="Calibri"/>
                <w:b w:val="0"/>
                <w:i w:val="0"/>
                <w:color w:val="212121"/>
                <w:sz w:val="19"/>
              </w:rPr>
              <w:t>Moderate-severe score or frequent flares</w:t>
            </w:r>
          </w:p>
        </w:tc>
        <w:tc>
          <w:tcPr>
            <w:tcW w:type="dxa" w:w="1468"/>
            <w:vAlign w:val="top"/>
          </w:tcPr>
          <w:p>
            <w:pPr>
              <w:spacing w:after="40" w:before="0" w:line="259" w:lineRule="auto"/>
            </w:pPr>
            <w:r>
              <w:rPr>
                <w:rFonts w:ascii="Calibri" w:hAnsi="Calibri"/>
                <w:b w:val="0"/>
                <w:i w:val="0"/>
                <w:color w:val="212121"/>
                <w:sz w:val="19"/>
              </w:rPr>
              <w:t>Tracks symptom burden against triggers and treatment response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H. pylori (UBT / stool antigen / RUT)</w:t>
            </w:r>
          </w:p>
        </w:tc>
        <w:tc>
          <w:tcPr>
            <w:tcW w:type="dxa" w:w="892"/>
            <w:vAlign w:val="top"/>
          </w:tcPr>
          <w:p>
            <w:pPr>
              <w:spacing w:after="40" w:before="0" w:line="259" w:lineRule="auto"/>
            </w:pPr>
            <w:r>
              <w:rPr>
                <w:rFonts w:ascii="Calibri" w:hAnsi="Calibri"/>
                <w:b w:val="0"/>
                <w:i w:val="0"/>
                <w:color w:val="212121"/>
                <w:sz w:val="16"/>
              </w:rPr>
              <w:t>H. pylori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Positive test supports test-and-treat; eradication cures a subset (H. pylori-associated dyspepsia)</w:t>
            </w:r>
          </w:p>
        </w:tc>
        <w:tc>
          <w:tcPr>
            <w:tcW w:type="dxa" w:w="1036"/>
            <w:vAlign w:val="top"/>
          </w:tcPr>
          <w:p>
            <w:pPr>
              <w:spacing w:after="40" w:before="0" w:line="259" w:lineRule="auto"/>
            </w:pPr>
            <w:r>
              <w:rPr>
                <w:rFonts w:ascii="Calibri" w:hAnsi="Calibri"/>
                <w:b w:val="0"/>
                <w:i w:val="0"/>
                <w:color w:val="212121"/>
                <w:sz w:val="16"/>
              </w:rPr>
              <w:t>FD patients &lt; 60 without alarm features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High (first-line under 60)</w:t>
            </w:r>
          </w:p>
        </w:tc>
        <w:tc>
          <w:tcPr>
            <w:tcW w:type="dxa" w:w="720"/>
            <w:vAlign w:val="top"/>
          </w:tcPr>
          <w:p>
            <w:pPr>
              <w:spacing w:after="40" w:before="0" w:line="259" w:lineRule="auto"/>
            </w:pPr>
            <w:r>
              <w:rPr>
                <w:rFonts w:ascii="Calibri" w:hAnsi="Calibri"/>
                <w:b w:val="0"/>
                <w:i w:val="0"/>
                <w:color w:val="212121"/>
                <w:sz w:val="16"/>
              </w:rPr>
              <w:t>Stop PPI 2 weeks and antibiotics/bismuth 4 weeks before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Full Blood Count</w:t>
            </w:r>
          </w:p>
        </w:tc>
        <w:tc>
          <w:tcPr>
            <w:tcW w:type="dxa" w:w="950"/>
            <w:vAlign w:val="top"/>
          </w:tcPr>
          <w:p>
            <w:pPr>
              <w:spacing w:after="40" w:before="0" w:line="259" w:lineRule="auto"/>
            </w:pPr>
            <w:r>
              <w:rPr>
                <w:rFonts w:ascii="Calibri" w:hAnsi="Calibri"/>
                <w:b w:val="0"/>
                <w:i w:val="0"/>
                <w:color w:val="212121"/>
                <w:sz w:val="16"/>
              </w:rPr>
              <w:t>Hb, indices normal</w:t>
            </w:r>
          </w:p>
        </w:tc>
        <w:tc>
          <w:tcPr>
            <w:tcW w:type="dxa" w:w="950"/>
            <w:vAlign w:val="top"/>
          </w:tcPr>
          <w:p>
            <w:pPr>
              <w:spacing w:after="40" w:before="0" w:line="259" w:lineRule="auto"/>
            </w:pPr>
            <w:r>
              <w:rPr>
                <w:rFonts w:ascii="Calibri" w:hAnsi="Calibri"/>
                <w:b w:val="0"/>
                <w:i w:val="0"/>
                <w:color w:val="212121"/>
                <w:sz w:val="16"/>
              </w:rPr>
              <w:t>Iron-deficiency anaemia</w:t>
            </w:r>
          </w:p>
        </w:tc>
        <w:tc>
          <w:tcPr>
            <w:tcW w:type="dxa" w:w="1036"/>
            <w:vAlign w:val="top"/>
          </w:tcPr>
          <w:p>
            <w:pPr>
              <w:spacing w:after="40" w:before="0" w:line="259" w:lineRule="auto"/>
            </w:pPr>
            <w:r>
              <w:rPr>
                <w:rFonts w:ascii="Calibri" w:hAnsi="Calibri"/>
                <w:b w:val="0"/>
                <w:i w:val="0"/>
                <w:color w:val="212121"/>
                <w:sz w:val="16"/>
              </w:rPr>
              <w:t>FD shows a normal CBC; anaemia is an alarm feature suggesting ulcer or malignancy</w:t>
            </w:r>
          </w:p>
        </w:tc>
        <w:tc>
          <w:tcPr>
            <w:tcW w:type="dxa" w:w="1036"/>
            <w:vAlign w:val="top"/>
          </w:tcPr>
          <w:p>
            <w:pPr>
              <w:spacing w:after="40" w:before="0" w:line="259" w:lineRule="auto"/>
            </w:pPr>
            <w:r>
              <w:rPr>
                <w:rFonts w:ascii="Calibri" w:hAnsi="Calibri"/>
                <w:b w:val="0"/>
                <w:i w:val="0"/>
                <w:color w:val="212121"/>
                <w:sz w:val="16"/>
              </w:rPr>
              <w:t>All suspected FD, patients with red flags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 / exclusion</w:t>
            </w:r>
          </w:p>
        </w:tc>
        <w:tc>
          <w:tcPr>
            <w:tcW w:type="dxa" w:w="720"/>
            <w:vAlign w:val="top"/>
          </w:tcPr>
          <w:p>
            <w:pPr>
              <w:spacing w:after="40" w:before="0" w:line="259" w:lineRule="auto"/>
            </w:pPr>
            <w:r>
              <w:rPr>
                <w:rFonts w:ascii="Calibri" w:hAnsi="Calibri"/>
                <w:b w:val="0"/>
                <w:i w:val="0"/>
                <w:color w:val="212121"/>
                <w:sz w:val="16"/>
              </w:rPr>
              <w:t>Anaemia mandates endoscopy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Upper GI endoscopy (+ biopsy)</w:t>
            </w:r>
          </w:p>
        </w:tc>
        <w:tc>
          <w:tcPr>
            <w:tcW w:type="dxa" w:w="892"/>
            <w:vAlign w:val="top"/>
          </w:tcPr>
          <w:p>
            <w:pPr>
              <w:spacing w:after="40" w:before="0" w:line="259" w:lineRule="auto"/>
            </w:pPr>
            <w:r>
              <w:rPr>
                <w:rFonts w:ascii="Calibri" w:hAnsi="Calibri"/>
                <w:b w:val="0"/>
                <w:i w:val="0"/>
                <w:color w:val="212121"/>
                <w:sz w:val="16"/>
              </w:rPr>
              <w:t>Oesophago-gastro-duodenoscopy</w:t>
            </w:r>
          </w:p>
        </w:tc>
        <w:tc>
          <w:tcPr>
            <w:tcW w:type="dxa" w:w="950"/>
            <w:vAlign w:val="top"/>
          </w:tcPr>
          <w:p>
            <w:pPr>
              <w:spacing w:after="40" w:before="0" w:line="259" w:lineRule="auto"/>
            </w:pPr>
            <w:r>
              <w:rPr>
                <w:rFonts w:ascii="Calibri" w:hAnsi="Calibri"/>
                <w:b w:val="0"/>
                <w:i w:val="0"/>
                <w:color w:val="212121"/>
                <w:sz w:val="16"/>
              </w:rPr>
              <w:t>Macroscopically normal mucosa</w:t>
            </w:r>
          </w:p>
        </w:tc>
        <w:tc>
          <w:tcPr>
            <w:tcW w:type="dxa" w:w="950"/>
            <w:vAlign w:val="top"/>
          </w:tcPr>
          <w:p>
            <w:pPr>
              <w:spacing w:after="40" w:before="0" w:line="259" w:lineRule="auto"/>
            </w:pPr>
            <w:r>
              <w:rPr>
                <w:rFonts w:ascii="Calibri" w:hAnsi="Calibri"/>
                <w:b w:val="0"/>
                <w:i w:val="0"/>
                <w:color w:val="212121"/>
                <w:sz w:val="16"/>
              </w:rPr>
              <w:t>Ulcer, erosion, mass, oesophagitis, malignancy</w:t>
            </w:r>
          </w:p>
        </w:tc>
        <w:tc>
          <w:tcPr>
            <w:tcW w:type="dxa" w:w="1036"/>
            <w:vAlign w:val="top"/>
          </w:tcPr>
          <w:p>
            <w:pPr>
              <w:spacing w:after="40" w:before="0" w:line="259" w:lineRule="auto"/>
            </w:pPr>
            <w:r>
              <w:rPr>
                <w:rFonts w:ascii="Calibri" w:hAnsi="Calibri"/>
                <w:b w:val="0"/>
                <w:i w:val="0"/>
                <w:color w:val="212121"/>
                <w:sz w:val="16"/>
              </w:rPr>
              <w:t>Normal endoscopy is required to confirm FD; abnormal findings reclassify as organic dyspepsia</w:t>
            </w:r>
          </w:p>
        </w:tc>
        <w:tc>
          <w:tcPr>
            <w:tcW w:type="dxa" w:w="1036"/>
            <w:vAlign w:val="top"/>
          </w:tcPr>
          <w:p>
            <w:pPr>
              <w:spacing w:after="40" w:before="0" w:line="259" w:lineRule="auto"/>
            </w:pPr>
            <w:r>
              <w:rPr>
                <w:rFonts w:ascii="Calibri" w:hAnsi="Calibri"/>
                <w:b w:val="0"/>
                <w:i w:val="0"/>
                <w:color w:val="212121"/>
                <w:sz w:val="16"/>
              </w:rPr>
              <w:t>Age &gt;= 60, alarm features, refractory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(rule-out)</w:t>
            </w:r>
          </w:p>
        </w:tc>
        <w:tc>
          <w:tcPr>
            <w:tcW w:type="dxa" w:w="720"/>
            <w:vAlign w:val="top"/>
          </w:tcPr>
          <w:p>
            <w:pPr>
              <w:spacing w:after="40" w:before="0" w:line="259" w:lineRule="auto"/>
            </w:pPr>
            <w:r>
              <w:rPr>
                <w:rFonts w:ascii="Calibri" w:hAnsi="Calibri"/>
                <w:b w:val="0"/>
                <w:i w:val="0"/>
                <w:color w:val="212121"/>
                <w:sz w:val="16"/>
              </w:rPr>
              <w:t>Not routine in typical young patients without red flags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Anti-tTG IgA (+ total IgA)</w:t>
            </w:r>
          </w:p>
        </w:tc>
        <w:tc>
          <w:tcPr>
            <w:tcW w:type="dxa" w:w="892"/>
            <w:vAlign w:val="top"/>
          </w:tcPr>
          <w:p>
            <w:pPr>
              <w:spacing w:after="40" w:before="0" w:line="259" w:lineRule="auto"/>
            </w:pPr>
            <w:r>
              <w:rPr>
                <w:rFonts w:ascii="Calibri" w:hAnsi="Calibri"/>
                <w:b w:val="0"/>
                <w:i w:val="0"/>
                <w:color w:val="212121"/>
                <w:sz w:val="16"/>
              </w:rPr>
              <w:t>Coeliac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anti-tTG / anti-endomysial</w:t>
            </w:r>
          </w:p>
        </w:tc>
        <w:tc>
          <w:tcPr>
            <w:tcW w:type="dxa" w:w="1036"/>
            <w:vAlign w:val="top"/>
          </w:tcPr>
          <w:p>
            <w:pPr>
              <w:spacing w:after="40" w:before="0" w:line="259" w:lineRule="auto"/>
            </w:pPr>
            <w:r>
              <w:rPr>
                <w:rFonts w:ascii="Calibri" w:hAnsi="Calibri"/>
                <w:b w:val="0"/>
                <w:i w:val="0"/>
                <w:color w:val="212121"/>
                <w:sz w:val="16"/>
              </w:rPr>
              <w:t>Screens for coeliac disease, which can mimic dyspepsia; positive needs duodenal biopsy</w:t>
            </w:r>
          </w:p>
        </w:tc>
        <w:tc>
          <w:tcPr>
            <w:tcW w:type="dxa" w:w="1036"/>
            <w:vAlign w:val="top"/>
          </w:tcPr>
          <w:p>
            <w:pPr>
              <w:spacing w:after="40" w:before="0" w:line="259" w:lineRule="auto"/>
            </w:pPr>
            <w:r>
              <w:rPr>
                <w:rFonts w:ascii="Calibri" w:hAnsi="Calibri"/>
                <w:b w:val="0"/>
                <w:i w:val="0"/>
                <w:color w:val="212121"/>
                <w:sz w:val="16"/>
              </w:rPr>
              <w:t>Refractory FD, associated diarrhoea/anaemia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 exclusion</w:t>
            </w:r>
          </w:p>
        </w:tc>
        <w:tc>
          <w:tcPr>
            <w:tcW w:type="dxa" w:w="720"/>
            <w:vAlign w:val="top"/>
          </w:tcPr>
          <w:p>
            <w:pPr>
              <w:spacing w:after="40" w:before="0" w:line="259" w:lineRule="auto"/>
            </w:pPr>
            <w:r>
              <w:rPr>
                <w:rFonts w:ascii="Calibri" w:hAnsi="Calibri"/>
                <w:b w:val="0"/>
                <w:i w:val="0"/>
                <w:color w:val="212121"/>
                <w:sz w:val="16"/>
              </w:rPr>
              <w:t>Check on a gluten-containing diet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LFTs, serum lipase/amylase</w:t>
            </w:r>
          </w:p>
        </w:tc>
        <w:tc>
          <w:tcPr>
            <w:tcW w:type="dxa" w:w="892"/>
            <w:vAlign w:val="top"/>
          </w:tcPr>
          <w:p>
            <w:pPr>
              <w:spacing w:after="40" w:before="0" w:line="259" w:lineRule="auto"/>
            </w:pPr>
            <w:r>
              <w:rPr>
                <w:rFonts w:ascii="Calibri" w:hAnsi="Calibri"/>
                <w:b w:val="0"/>
                <w:i w:val="0"/>
                <w:color w:val="212121"/>
                <w:sz w:val="16"/>
              </w:rPr>
              <w:t>Hepatobiliary-pancreatic panel</w:t>
            </w:r>
          </w:p>
        </w:tc>
        <w:tc>
          <w:tcPr>
            <w:tcW w:type="dxa" w:w="950"/>
            <w:vAlign w:val="top"/>
          </w:tcPr>
          <w:p>
            <w:pPr>
              <w:spacing w:after="40" w:before="0" w:line="259" w:lineRule="auto"/>
            </w:pPr>
            <w:r>
              <w:rPr>
                <w:rFonts w:ascii="Calibri" w:hAnsi="Calibri"/>
                <w:b w:val="0"/>
                <w:i w:val="0"/>
                <w:color w:val="212121"/>
                <w:sz w:val="16"/>
              </w:rPr>
              <w:t>Within normal limits</w:t>
            </w:r>
          </w:p>
        </w:tc>
        <w:tc>
          <w:tcPr>
            <w:tcW w:type="dxa" w:w="950"/>
            <w:vAlign w:val="top"/>
          </w:tcPr>
          <w:p>
            <w:pPr>
              <w:spacing w:after="40" w:before="0" w:line="259" w:lineRule="auto"/>
            </w:pPr>
            <w:r>
              <w:rPr>
                <w:rFonts w:ascii="Calibri" w:hAnsi="Calibri"/>
                <w:b w:val="0"/>
                <w:i w:val="0"/>
                <w:color w:val="212121"/>
                <w:sz w:val="16"/>
              </w:rPr>
              <w:t>Raised transaminases/ALP or lipase</w:t>
            </w:r>
          </w:p>
        </w:tc>
        <w:tc>
          <w:tcPr>
            <w:tcW w:type="dxa" w:w="1036"/>
            <w:vAlign w:val="top"/>
          </w:tcPr>
          <w:p>
            <w:pPr>
              <w:spacing w:after="40" w:before="0" w:line="259" w:lineRule="auto"/>
            </w:pPr>
            <w:r>
              <w:rPr>
                <w:rFonts w:ascii="Calibri" w:hAnsi="Calibri"/>
                <w:b w:val="0"/>
                <w:i w:val="0"/>
                <w:color w:val="212121"/>
                <w:sz w:val="16"/>
              </w:rPr>
              <w:t>Excludes biliary and pancreatic disease presenting as epigastric pain</w:t>
            </w:r>
          </w:p>
        </w:tc>
        <w:tc>
          <w:tcPr>
            <w:tcW w:type="dxa" w:w="1036"/>
            <w:vAlign w:val="top"/>
          </w:tcPr>
          <w:p>
            <w:pPr>
              <w:spacing w:after="40" w:before="0" w:line="259" w:lineRule="auto"/>
            </w:pPr>
            <w:r>
              <w:rPr>
                <w:rFonts w:ascii="Calibri" w:hAnsi="Calibri"/>
                <w:b w:val="0"/>
                <w:i w:val="0"/>
                <w:color w:val="212121"/>
                <w:sz w:val="16"/>
              </w:rPr>
              <w:t>Epigastric-pain predominant, atypical features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Consider abdominal ultrasound if biliary cause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Fasting glucose, TSH, calcium</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Normal glucose, TSH, calcium</w:t>
            </w:r>
          </w:p>
        </w:tc>
        <w:tc>
          <w:tcPr>
            <w:tcW w:type="dxa" w:w="950"/>
            <w:vAlign w:val="top"/>
          </w:tcPr>
          <w:p>
            <w:pPr>
              <w:spacing w:after="40" w:before="0" w:line="259" w:lineRule="auto"/>
            </w:pPr>
            <w:r>
              <w:rPr>
                <w:rFonts w:ascii="Calibri" w:hAnsi="Calibri"/>
                <w:b w:val="0"/>
                <w:i w:val="0"/>
                <w:color w:val="212121"/>
                <w:sz w:val="16"/>
              </w:rPr>
              <w:t>Hyperglycaemia, thyroid dysfunction, hypercalcaemia</w:t>
            </w:r>
          </w:p>
        </w:tc>
        <w:tc>
          <w:tcPr>
            <w:tcW w:type="dxa" w:w="1036"/>
            <w:vAlign w:val="top"/>
          </w:tcPr>
          <w:p>
            <w:pPr>
              <w:spacing w:after="40" w:before="0" w:line="259" w:lineRule="auto"/>
            </w:pPr>
            <w:r>
              <w:rPr>
                <w:rFonts w:ascii="Calibri" w:hAnsi="Calibri"/>
                <w:b w:val="0"/>
                <w:i w:val="0"/>
                <w:color w:val="212121"/>
                <w:sz w:val="16"/>
              </w:rPr>
              <w:t>Excludes metabolic mimics (diabetic gastroparesis, thyroid disease) of dyspepsia</w:t>
            </w:r>
          </w:p>
        </w:tc>
        <w:tc>
          <w:tcPr>
            <w:tcW w:type="dxa" w:w="1036"/>
            <w:vAlign w:val="top"/>
          </w:tcPr>
          <w:p>
            <w:pPr>
              <w:spacing w:after="40" w:before="0" w:line="259" w:lineRule="auto"/>
            </w:pPr>
            <w:r>
              <w:rPr>
                <w:rFonts w:ascii="Calibri" w:hAnsi="Calibri"/>
                <w:b w:val="0"/>
                <w:i w:val="0"/>
                <w:color w:val="212121"/>
                <w:sz w:val="16"/>
              </w:rPr>
              <w:t>Older adults, refractory or atypical FD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exclusion</w:t>
            </w:r>
          </w:p>
        </w:tc>
        <w:tc>
          <w:tcPr>
            <w:tcW w:type="dxa" w:w="720"/>
            <w:vAlign w:val="top"/>
          </w:tcPr>
          <w:p>
            <w:pPr>
              <w:spacing w:after="40" w:before="0" w:line="259" w:lineRule="auto"/>
            </w:pPr>
            <w:r>
              <w:rPr>
                <w:rFonts w:ascii="Calibri" w:hAnsi="Calibri"/>
                <w:b w:val="0"/>
                <w:i w:val="0"/>
                <w:color w:val="212121"/>
                <w:sz w:val="16"/>
              </w:rPr>
              <w:t>Especially with autonomic or systemic features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Motility</w:t>
            </w:r>
          </w:p>
        </w:tc>
        <w:tc>
          <w:tcPr>
            <w:tcW w:type="dxa" w:w="1036"/>
            <w:vAlign w:val="top"/>
          </w:tcPr>
          <w:p>
            <w:pPr>
              <w:spacing w:after="40" w:before="0" w:line="259" w:lineRule="auto"/>
            </w:pPr>
            <w:r>
              <w:rPr>
                <w:rFonts w:ascii="Calibri" w:hAnsi="Calibri"/>
                <w:b w:val="0"/>
                <w:i w:val="0"/>
                <w:color w:val="212121"/>
                <w:sz w:val="16"/>
              </w:rPr>
              <w:t>Gastric emptying scintigraphy</w:t>
            </w:r>
          </w:p>
        </w:tc>
        <w:tc>
          <w:tcPr>
            <w:tcW w:type="dxa" w:w="892"/>
            <w:vAlign w:val="top"/>
          </w:tcPr>
          <w:p>
            <w:pPr>
              <w:spacing w:after="40" w:before="0" w:line="259" w:lineRule="auto"/>
            </w:pPr>
            <w:r>
              <w:rPr>
                <w:rFonts w:ascii="Calibri" w:hAnsi="Calibri"/>
                <w:b w:val="0"/>
                <w:i w:val="0"/>
                <w:color w:val="212121"/>
                <w:sz w:val="16"/>
              </w:rPr>
              <w:t>Gastric emptying study</w:t>
            </w:r>
          </w:p>
        </w:tc>
        <w:tc>
          <w:tcPr>
            <w:tcW w:type="dxa" w:w="950"/>
            <w:vAlign w:val="top"/>
          </w:tcPr>
          <w:p>
            <w:pPr>
              <w:spacing w:after="40" w:before="0" w:line="259" w:lineRule="auto"/>
            </w:pPr>
            <w:r>
              <w:rPr>
                <w:rFonts w:ascii="Calibri" w:hAnsi="Calibri"/>
                <w:b w:val="0"/>
                <w:i w:val="0"/>
                <w:color w:val="212121"/>
                <w:sz w:val="16"/>
              </w:rPr>
              <w:t>Normal emptying half-time</w:t>
            </w:r>
          </w:p>
        </w:tc>
        <w:tc>
          <w:tcPr>
            <w:tcW w:type="dxa" w:w="950"/>
            <w:vAlign w:val="top"/>
          </w:tcPr>
          <w:p>
            <w:pPr>
              <w:spacing w:after="40" w:before="0" w:line="259" w:lineRule="auto"/>
            </w:pPr>
            <w:r>
              <w:rPr>
                <w:rFonts w:ascii="Calibri" w:hAnsi="Calibri"/>
                <w:b w:val="0"/>
                <w:i w:val="0"/>
                <w:color w:val="212121"/>
                <w:sz w:val="16"/>
              </w:rPr>
              <w:t>Delayed (or rapid) emptying</w:t>
            </w:r>
          </w:p>
        </w:tc>
        <w:tc>
          <w:tcPr>
            <w:tcW w:type="dxa" w:w="1036"/>
            <w:vAlign w:val="top"/>
          </w:tcPr>
          <w:p>
            <w:pPr>
              <w:spacing w:after="40" w:before="0" w:line="259" w:lineRule="auto"/>
            </w:pPr>
            <w:r>
              <w:rPr>
                <w:rFonts w:ascii="Calibri" w:hAnsi="Calibri"/>
                <w:b w:val="0"/>
                <w:i w:val="0"/>
                <w:color w:val="212121"/>
                <w:sz w:val="16"/>
              </w:rPr>
              <w:t>Identifies gastroparesis overlap in PDS with refractory fullness/vomiting</w:t>
            </w:r>
          </w:p>
        </w:tc>
        <w:tc>
          <w:tcPr>
            <w:tcW w:type="dxa" w:w="1036"/>
            <w:vAlign w:val="top"/>
          </w:tcPr>
          <w:p>
            <w:pPr>
              <w:spacing w:after="40" w:before="0" w:line="259" w:lineRule="auto"/>
            </w:pPr>
            <w:r>
              <w:rPr>
                <w:rFonts w:ascii="Calibri" w:hAnsi="Calibri"/>
                <w:b w:val="0"/>
                <w:i w:val="0"/>
                <w:color w:val="212121"/>
                <w:sz w:val="16"/>
              </w:rPr>
              <w:t>Refractory PDS, suspected gastroparesis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Selective / research</w:t>
            </w:r>
          </w:p>
        </w:tc>
        <w:tc>
          <w:tcPr>
            <w:tcW w:type="dxa" w:w="720"/>
            <w:vAlign w:val="top"/>
          </w:tcPr>
          <w:p>
            <w:pPr>
              <w:spacing w:after="40" w:before="0" w:line="259" w:lineRule="auto"/>
            </w:pPr>
            <w:r>
              <w:rPr>
                <w:rFonts w:ascii="Calibri" w:hAnsi="Calibri"/>
                <w:b w:val="0"/>
                <w:i w:val="0"/>
                <w:color w:val="212121"/>
                <w:sz w:val="16"/>
              </w:rPr>
              <w:t>Not required for routine diagnosis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(Rome IV)</w:t>
            </w:r>
          </w:p>
        </w:tc>
        <w:tc>
          <w:tcPr>
            <w:tcW w:type="dxa" w:w="979"/>
            <w:vAlign w:val="top"/>
          </w:tcPr>
          <w:p>
            <w:pPr>
              <w:spacing w:after="40" w:before="0" w:line="259" w:lineRule="auto"/>
            </w:pPr>
            <w:r>
              <w:rPr>
                <w:rFonts w:ascii="Calibri" w:hAnsi="Calibri"/>
                <w:b w:val="0"/>
                <w:i w:val="0"/>
                <w:color w:val="212121"/>
                <w:sz w:val="16"/>
              </w:rPr>
              <w:t>Postprandial fullness, early satiety, epigastric pain/burning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bothersome, &gt;= 3 months</w:t>
            </w:r>
          </w:p>
        </w:tc>
        <w:tc>
          <w:tcPr>
            <w:tcW w:type="dxa" w:w="1036"/>
            <w:vAlign w:val="top"/>
          </w:tcPr>
          <w:p>
            <w:pPr>
              <w:spacing w:after="40" w:before="0" w:line="259" w:lineRule="auto"/>
            </w:pPr>
            <w:r>
              <w:rPr>
                <w:rFonts w:ascii="Calibri" w:hAnsi="Calibri"/>
                <w:b w:val="0"/>
                <w:i w:val="0"/>
                <w:color w:val="212121"/>
                <w:sz w:val="16"/>
              </w:rPr>
              <w:t>Establishes a positive clinical diagnosis of FD</w:t>
            </w:r>
          </w:p>
        </w:tc>
        <w:tc>
          <w:tcPr>
            <w:tcW w:type="dxa" w:w="1036"/>
            <w:vAlign w:val="top"/>
          </w:tcPr>
          <w:p>
            <w:pPr>
              <w:spacing w:after="40" w:before="0" w:line="259" w:lineRule="auto"/>
            </w:pPr>
            <w:r>
              <w:rPr>
                <w:rFonts w:ascii="Calibri" w:hAnsi="Calibri"/>
                <w:b w:val="0"/>
                <w:i w:val="0"/>
                <w:color w:val="212121"/>
                <w:sz w:val="16"/>
              </w:rPr>
              <w:t>All suspected FD</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Gold standard (clinical)</w:t>
            </w:r>
          </w:p>
        </w:tc>
        <w:tc>
          <w:tcPr>
            <w:tcW w:type="dxa" w:w="720"/>
            <w:vAlign w:val="top"/>
          </w:tcPr>
          <w:p>
            <w:pPr>
              <w:spacing w:after="40" w:before="0" w:line="259" w:lineRule="auto"/>
            </w:pPr>
            <w:r>
              <w:rPr>
                <w:rFonts w:ascii="Calibri" w:hAnsi="Calibri"/>
                <w:b w:val="0"/>
                <w:i w:val="0"/>
                <w:color w:val="212121"/>
                <w:sz w:val="16"/>
              </w:rPr>
              <w:t>Onset &gt;= 6 months before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Subtype characterisation</w:t>
            </w:r>
          </w:p>
        </w:tc>
        <w:tc>
          <w:tcPr>
            <w:tcW w:type="dxa" w:w="979"/>
            <w:vAlign w:val="top"/>
          </w:tcPr>
          <w:p>
            <w:pPr>
              <w:spacing w:after="40" w:before="0" w:line="259" w:lineRule="auto"/>
            </w:pPr>
            <w:r>
              <w:rPr>
                <w:rFonts w:ascii="Calibri" w:hAnsi="Calibri"/>
                <w:b w:val="0"/>
                <w:i w:val="0"/>
                <w:color w:val="212121"/>
                <w:sz w:val="16"/>
              </w:rPr>
              <w:t>Meal relationship (PDS vs EPS)</w:t>
            </w:r>
          </w:p>
        </w:tc>
        <w:tc>
          <w:tcPr>
            <w:tcW w:type="dxa" w:w="950"/>
            <w:vAlign w:val="top"/>
          </w:tcPr>
          <w:p>
            <w:pPr>
              <w:spacing w:after="40" w:before="0" w:line="259" w:lineRule="auto"/>
            </w:pPr>
            <w:r>
              <w:rPr>
                <w:rFonts w:ascii="Calibri" w:hAnsi="Calibri"/>
                <w:b w:val="0"/>
                <w:i w:val="0"/>
                <w:color w:val="212121"/>
                <w:sz w:val="16"/>
              </w:rPr>
              <w:t>Not applicable</w:t>
            </w:r>
          </w:p>
        </w:tc>
        <w:tc>
          <w:tcPr>
            <w:tcW w:type="dxa" w:w="950"/>
            <w:vAlign w:val="top"/>
          </w:tcPr>
          <w:p>
            <w:pPr>
              <w:spacing w:after="40" w:before="0" w:line="259" w:lineRule="auto"/>
            </w:pPr>
            <w:r>
              <w:rPr>
                <w:rFonts w:ascii="Calibri" w:hAnsi="Calibri"/>
                <w:b w:val="0"/>
                <w:i w:val="0"/>
                <w:color w:val="212121"/>
                <w:sz w:val="16"/>
              </w:rPr>
              <w:t>PDS (meal-induced) or EPS (pain/burning)</w:t>
            </w:r>
          </w:p>
        </w:tc>
        <w:tc>
          <w:tcPr>
            <w:tcW w:type="dxa" w:w="1036"/>
            <w:vAlign w:val="top"/>
          </w:tcPr>
          <w:p>
            <w:pPr>
              <w:spacing w:after="40" w:before="0" w:line="259" w:lineRule="auto"/>
            </w:pPr>
            <w:r>
              <w:rPr>
                <w:rFonts w:ascii="Calibri" w:hAnsi="Calibri"/>
                <w:b w:val="0"/>
                <w:i w:val="0"/>
                <w:color w:val="212121"/>
                <w:sz w:val="16"/>
              </w:rPr>
              <w:t>Defines subtype and directs therapy (prokinetic vs acid-suppression/neuromodulator)</w:t>
            </w:r>
          </w:p>
        </w:tc>
        <w:tc>
          <w:tcPr>
            <w:tcW w:type="dxa" w:w="1036"/>
            <w:vAlign w:val="top"/>
          </w:tcPr>
          <w:p>
            <w:pPr>
              <w:spacing w:after="40" w:before="0" w:line="259" w:lineRule="auto"/>
            </w:pPr>
            <w:r>
              <w:rPr>
                <w:rFonts w:ascii="Calibri" w:hAnsi="Calibri"/>
                <w:b w:val="0"/>
                <w:i w:val="0"/>
                <w:color w:val="212121"/>
                <w:sz w:val="16"/>
              </w:rPr>
              <w:t>All FD, for subtyping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(subtype)</w:t>
            </w:r>
          </w:p>
        </w:tc>
        <w:tc>
          <w:tcPr>
            <w:tcW w:type="dxa" w:w="720"/>
            <w:vAlign w:val="top"/>
          </w:tcPr>
          <w:p>
            <w:pPr>
              <w:spacing w:after="40" w:before="0" w:line="259" w:lineRule="auto"/>
            </w:pPr>
            <w:r>
              <w:rPr>
                <w:rFonts w:ascii="Calibri" w:hAnsi="Calibri"/>
                <w:b w:val="0"/>
                <w:i w:val="0"/>
                <w:color w:val="212121"/>
                <w:sz w:val="16"/>
              </w:rPr>
              <w:t>Overlap PDS+EPS is common and more severe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Alarm / red-flag screen</w:t>
            </w:r>
          </w:p>
        </w:tc>
        <w:tc>
          <w:tcPr>
            <w:tcW w:type="dxa" w:w="979"/>
            <w:vAlign w:val="top"/>
          </w:tcPr>
          <w:p>
            <w:pPr>
              <w:spacing w:after="40" w:before="0" w:line="259" w:lineRule="auto"/>
            </w:pPr>
            <w:r>
              <w:rPr>
                <w:rFonts w:ascii="Calibri" w:hAnsi="Calibri"/>
                <w:b w:val="0"/>
                <w:i w:val="0"/>
                <w:color w:val="212121"/>
                <w:sz w:val="16"/>
              </w:rPr>
              <w:t>Weight loss, dysphagia, vomiting, bleeding, anaemia, age &gt; 60, mass</w:t>
            </w:r>
          </w:p>
        </w:tc>
        <w:tc>
          <w:tcPr>
            <w:tcW w:type="dxa" w:w="950"/>
            <w:vAlign w:val="top"/>
          </w:tcPr>
          <w:p>
            <w:pPr>
              <w:spacing w:after="40" w:before="0" w:line="259" w:lineRule="auto"/>
            </w:pPr>
            <w:r>
              <w:rPr>
                <w:rFonts w:ascii="Calibri" w:hAnsi="Calibri"/>
                <w:b w:val="0"/>
                <w:i w:val="0"/>
                <w:color w:val="212121"/>
                <w:sz w:val="16"/>
              </w:rPr>
              <w:t>No alarm features</w:t>
            </w:r>
          </w:p>
        </w:tc>
        <w:tc>
          <w:tcPr>
            <w:tcW w:type="dxa" w:w="950"/>
            <w:vAlign w:val="top"/>
          </w:tcPr>
          <w:p>
            <w:pPr>
              <w:spacing w:after="40" w:before="0" w:line="259" w:lineRule="auto"/>
            </w:pPr>
            <w:r>
              <w:rPr>
                <w:rFonts w:ascii="Calibri" w:hAnsi="Calibri"/>
                <w:b w:val="0"/>
                <w:i w:val="0"/>
                <w:color w:val="212121"/>
                <w:sz w:val="16"/>
              </w:rPr>
              <w:t>Any alarm feature present</w:t>
            </w:r>
          </w:p>
        </w:tc>
        <w:tc>
          <w:tcPr>
            <w:tcW w:type="dxa" w:w="1036"/>
            <w:vAlign w:val="top"/>
          </w:tcPr>
          <w:p>
            <w:pPr>
              <w:spacing w:after="40" w:before="0" w:line="259" w:lineRule="auto"/>
            </w:pPr>
            <w:r>
              <w:rPr>
                <w:rFonts w:ascii="Calibri" w:hAnsi="Calibri"/>
                <w:b w:val="0"/>
                <w:i w:val="0"/>
                <w:color w:val="212121"/>
                <w:sz w:val="16"/>
              </w:rPr>
              <w:t>Presence argues against FD and mandates endoscopy to exclude malignancy/ulcer</w:t>
            </w:r>
          </w:p>
        </w:tc>
        <w:tc>
          <w:tcPr>
            <w:tcW w:type="dxa" w:w="1036"/>
            <w:vAlign w:val="top"/>
          </w:tcPr>
          <w:p>
            <w:pPr>
              <w:spacing w:after="40" w:before="0" w:line="259" w:lineRule="auto"/>
            </w:pPr>
            <w:r>
              <w:rPr>
                <w:rFonts w:ascii="Calibri" w:hAnsi="Calibri"/>
                <w:b w:val="0"/>
                <w:i w:val="0"/>
                <w:color w:val="212121"/>
                <w:sz w:val="16"/>
              </w:rPr>
              <w:t>All patients before labelling FD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(safety)</w:t>
            </w:r>
          </w:p>
        </w:tc>
        <w:tc>
          <w:tcPr>
            <w:tcW w:type="dxa" w:w="720"/>
            <w:vAlign w:val="top"/>
          </w:tcPr>
          <w:p>
            <w:pPr>
              <w:spacing w:after="40" w:before="0" w:line="259" w:lineRule="auto"/>
            </w:pPr>
            <w:r>
              <w:rPr>
                <w:rFonts w:ascii="Calibri" w:hAnsi="Calibri"/>
                <w:b w:val="0"/>
                <w:i w:val="0"/>
                <w:color w:val="212121"/>
                <w:sz w:val="16"/>
              </w:rPr>
              <w:t>Family history of upper-GI cancer counts as a red flag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substance history</w:t>
            </w:r>
          </w:p>
        </w:tc>
        <w:tc>
          <w:tcPr>
            <w:tcW w:type="dxa" w:w="979"/>
            <w:vAlign w:val="top"/>
          </w:tcPr>
          <w:p>
            <w:pPr>
              <w:spacing w:after="40" w:before="0" w:line="259" w:lineRule="auto"/>
            </w:pPr>
            <w:r>
              <w:rPr>
                <w:rFonts w:ascii="Calibri" w:hAnsi="Calibri"/>
                <w:b w:val="0"/>
                <w:i w:val="0"/>
                <w:color w:val="212121"/>
                <w:sz w:val="16"/>
              </w:rPr>
              <w:t>NSAIDs, aspirin, iron, smoking, alcohol</w:t>
            </w:r>
          </w:p>
        </w:tc>
        <w:tc>
          <w:tcPr>
            <w:tcW w:type="dxa" w:w="950"/>
            <w:vAlign w:val="top"/>
          </w:tcPr>
          <w:p>
            <w:pPr>
              <w:spacing w:after="40" w:before="0" w:line="259" w:lineRule="auto"/>
            </w:pPr>
            <w:r>
              <w:rPr>
                <w:rFonts w:ascii="Calibri" w:hAnsi="Calibri"/>
                <w:b w:val="0"/>
                <w:i w:val="0"/>
                <w:color w:val="212121"/>
                <w:sz w:val="16"/>
              </w:rPr>
              <w:t>No gastric irritants</w:t>
            </w:r>
          </w:p>
        </w:tc>
        <w:tc>
          <w:tcPr>
            <w:tcW w:type="dxa" w:w="950"/>
            <w:vAlign w:val="top"/>
          </w:tcPr>
          <w:p>
            <w:pPr>
              <w:spacing w:after="40" w:before="0" w:line="259" w:lineRule="auto"/>
            </w:pPr>
            <w:r>
              <w:rPr>
                <w:rFonts w:ascii="Calibri" w:hAnsi="Calibri"/>
                <w:b w:val="0"/>
                <w:i w:val="0"/>
                <w:color w:val="212121"/>
                <w:sz w:val="16"/>
              </w:rPr>
              <w:t>Regular NSAID/aspirin, tobacco, alcohol use</w:t>
            </w:r>
          </w:p>
        </w:tc>
        <w:tc>
          <w:tcPr>
            <w:tcW w:type="dxa" w:w="1036"/>
            <w:vAlign w:val="top"/>
          </w:tcPr>
          <w:p>
            <w:pPr>
              <w:spacing w:after="40" w:before="0" w:line="259" w:lineRule="auto"/>
            </w:pPr>
            <w:r>
              <w:rPr>
                <w:rFonts w:ascii="Calibri" w:hAnsi="Calibri"/>
                <w:b w:val="0"/>
                <w:i w:val="0"/>
                <w:color w:val="212121"/>
                <w:sz w:val="16"/>
              </w:rPr>
              <w:t>Identifies drug-induced dyspepsia and modifiable triggers to withdraw or minimise</w:t>
            </w:r>
          </w:p>
        </w:tc>
        <w:tc>
          <w:tcPr>
            <w:tcW w:type="dxa" w:w="1036"/>
            <w:vAlign w:val="top"/>
          </w:tcPr>
          <w:p>
            <w:pPr>
              <w:spacing w:after="40" w:before="0" w:line="259" w:lineRule="auto"/>
            </w:pPr>
            <w:r>
              <w:rPr>
                <w:rFonts w:ascii="Calibri" w:hAnsi="Calibri"/>
                <w:b w:val="0"/>
                <w:i w:val="0"/>
                <w:color w:val="212121"/>
                <w:sz w:val="16"/>
              </w:rPr>
              <w:t>Elderly, arthritis/cardiac patients</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High (reversible cause)</w:t>
            </w:r>
          </w:p>
        </w:tc>
        <w:tc>
          <w:tcPr>
            <w:tcW w:type="dxa" w:w="720"/>
            <w:vAlign w:val="top"/>
          </w:tcPr>
          <w:p>
            <w:pPr>
              <w:spacing w:after="40" w:before="0" w:line="259" w:lineRule="auto"/>
            </w:pPr>
            <w:r>
              <w:rPr>
                <w:rFonts w:ascii="Calibri" w:hAnsi="Calibri"/>
                <w:b w:val="0"/>
                <w:i w:val="0"/>
                <w:color w:val="212121"/>
                <w:sz w:val="16"/>
              </w:rPr>
              <w:t>NSAID withdrawal alone may resolve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&amp; trigger history</w:t>
            </w:r>
          </w:p>
        </w:tc>
        <w:tc>
          <w:tcPr>
            <w:tcW w:type="dxa" w:w="979"/>
            <w:vAlign w:val="top"/>
          </w:tcPr>
          <w:p>
            <w:pPr>
              <w:spacing w:after="40" w:before="0" w:line="259" w:lineRule="auto"/>
            </w:pPr>
            <w:r>
              <w:rPr>
                <w:rFonts w:ascii="Calibri" w:hAnsi="Calibri"/>
                <w:b w:val="0"/>
                <w:i w:val="0"/>
                <w:color w:val="212121"/>
                <w:sz w:val="16"/>
              </w:rPr>
              <w:t>Spicy/fatty/fried food, meal timing, eating speed, caffeine</w:t>
            </w:r>
          </w:p>
        </w:tc>
        <w:tc>
          <w:tcPr>
            <w:tcW w:type="dxa" w:w="950"/>
            <w:vAlign w:val="top"/>
          </w:tcPr>
          <w:p>
            <w:pPr>
              <w:spacing w:after="40" w:before="0" w:line="259" w:lineRule="auto"/>
            </w:pPr>
            <w:r>
              <w:rPr>
                <w:rFonts w:ascii="Calibri" w:hAnsi="Calibri"/>
                <w:b w:val="0"/>
                <w:i w:val="0"/>
                <w:color w:val="212121"/>
                <w:sz w:val="16"/>
              </w:rPr>
              <w:t>No consistent trigger</w:t>
            </w:r>
          </w:p>
        </w:tc>
        <w:tc>
          <w:tcPr>
            <w:tcW w:type="dxa" w:w="950"/>
            <w:vAlign w:val="top"/>
          </w:tcPr>
          <w:p>
            <w:pPr>
              <w:spacing w:after="40" w:before="0" w:line="259" w:lineRule="auto"/>
            </w:pPr>
            <w:r>
              <w:rPr>
                <w:rFonts w:ascii="Calibri" w:hAnsi="Calibri"/>
                <w:b w:val="0"/>
                <w:i w:val="0"/>
                <w:color w:val="212121"/>
                <w:sz w:val="16"/>
              </w:rPr>
              <w:t>Reproducible food/eating triggers</w:t>
            </w:r>
          </w:p>
        </w:tc>
        <w:tc>
          <w:tcPr>
            <w:tcW w:type="dxa" w:w="1036"/>
            <w:vAlign w:val="top"/>
          </w:tcPr>
          <w:p>
            <w:pPr>
              <w:spacing w:after="40" w:before="0" w:line="259" w:lineRule="auto"/>
            </w:pPr>
            <w:r>
              <w:rPr>
                <w:rFonts w:ascii="Calibri" w:hAnsi="Calibri"/>
                <w:b w:val="0"/>
                <w:i w:val="0"/>
                <w:color w:val="212121"/>
                <w:sz w:val="16"/>
              </w:rPr>
              <w:t>Identifies dietary drivers and guides dietary and meal-pattern advice</w:t>
            </w:r>
          </w:p>
        </w:tc>
        <w:tc>
          <w:tcPr>
            <w:tcW w:type="dxa" w:w="1036"/>
            <w:vAlign w:val="top"/>
          </w:tcPr>
          <w:p>
            <w:pPr>
              <w:spacing w:after="40" w:before="0" w:line="259" w:lineRule="auto"/>
            </w:pPr>
            <w:r>
              <w:rPr>
                <w:rFonts w:ascii="Calibri" w:hAnsi="Calibri"/>
                <w:b w:val="0"/>
                <w:i w:val="0"/>
                <w:color w:val="212121"/>
                <w:sz w:val="16"/>
              </w:rPr>
              <w:t>Spicy-food eaters, fast eaters, students</w:t>
            </w:r>
          </w:p>
        </w:tc>
        <w:tc>
          <w:tcPr>
            <w:tcW w:type="dxa" w:w="720"/>
            <w:vAlign w:val="top"/>
          </w:tcPr>
          <w:p>
            <w:pPr>
              <w:spacing w:after="40" w:before="0" w:line="259" w:lineRule="auto"/>
            </w:pPr>
            <w:r>
              <w:rPr>
                <w:rFonts w:ascii="Calibri" w:hAnsi="Calibri"/>
                <w:b w:val="0"/>
                <w:i w:val="0"/>
                <w:color w:val="212121"/>
                <w:sz w:val="16"/>
              </w:rPr>
              <w:t>Food; Caffeine</w:t>
            </w:r>
          </w:p>
        </w:tc>
        <w:tc>
          <w:tcPr>
            <w:tcW w:type="dxa" w:w="720"/>
            <w:vAlign w:val="top"/>
          </w:tcPr>
          <w:p>
            <w:pPr>
              <w:spacing w:after="40" w:before="0" w:line="259" w:lineRule="auto"/>
            </w:pPr>
            <w:r>
              <w:rPr>
                <w:rFonts w:ascii="Calibri" w:hAnsi="Calibri"/>
                <w:b w:val="0"/>
                <w:i w:val="0"/>
                <w:color w:val="212121"/>
                <w:sz w:val="16"/>
              </w:rPr>
              <w:t>Therapeutic planning</w:t>
            </w:r>
          </w:p>
        </w:tc>
        <w:tc>
          <w:tcPr>
            <w:tcW w:type="dxa" w:w="720"/>
            <w:vAlign w:val="top"/>
          </w:tcPr>
          <w:p>
            <w:pPr>
              <w:spacing w:after="40" w:before="0" w:line="259" w:lineRule="auto"/>
            </w:pPr>
            <w:r>
              <w:rPr>
                <w:rFonts w:ascii="Calibri" w:hAnsi="Calibri"/>
                <w:b w:val="0"/>
                <w:i w:val="0"/>
                <w:color w:val="212121"/>
                <w:sz w:val="16"/>
              </w:rPr>
              <w:t>Link to a simple food-symptom diary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assessment</w:t>
            </w:r>
          </w:p>
        </w:tc>
        <w:tc>
          <w:tcPr>
            <w:tcW w:type="dxa" w:w="979"/>
            <w:vAlign w:val="top"/>
          </w:tcPr>
          <w:p>
            <w:pPr>
              <w:spacing w:after="40" w:before="0" w:line="259" w:lineRule="auto"/>
            </w:pPr>
            <w:r>
              <w:rPr>
                <w:rFonts w:ascii="Calibri" w:hAnsi="Calibri"/>
                <w:b w:val="0"/>
                <w:i w:val="0"/>
                <w:color w:val="212121"/>
                <w:sz w:val="16"/>
              </w:rPr>
              <w:t>Anxiety, depression, stress, somatisation</w:t>
            </w:r>
          </w:p>
        </w:tc>
        <w:tc>
          <w:tcPr>
            <w:tcW w:type="dxa" w:w="950"/>
            <w:vAlign w:val="top"/>
          </w:tcPr>
          <w:p>
            <w:pPr>
              <w:spacing w:after="40" w:before="0" w:line="259" w:lineRule="auto"/>
            </w:pPr>
            <w:r>
              <w:rPr>
                <w:rFonts w:ascii="Calibri" w:hAnsi="Calibri"/>
                <w:b w:val="0"/>
                <w:i w:val="0"/>
                <w:color w:val="212121"/>
                <w:sz w:val="16"/>
              </w:rPr>
              <w:t>No significant distress</w:t>
            </w:r>
          </w:p>
        </w:tc>
        <w:tc>
          <w:tcPr>
            <w:tcW w:type="dxa" w:w="950"/>
            <w:vAlign w:val="top"/>
          </w:tcPr>
          <w:p>
            <w:pPr>
              <w:spacing w:after="40" w:before="0" w:line="259" w:lineRule="auto"/>
            </w:pPr>
            <w:r>
              <w:rPr>
                <w:rFonts w:ascii="Calibri" w:hAnsi="Calibri"/>
                <w:b w:val="0"/>
                <w:i w:val="0"/>
                <w:color w:val="212121"/>
                <w:sz w:val="16"/>
              </w:rPr>
              <w:t>Positive anxiety/depression screen</w:t>
            </w:r>
          </w:p>
        </w:tc>
        <w:tc>
          <w:tcPr>
            <w:tcW w:type="dxa" w:w="1036"/>
            <w:vAlign w:val="top"/>
          </w:tcPr>
          <w:p>
            <w:pPr>
              <w:spacing w:after="40" w:before="0" w:line="259" w:lineRule="auto"/>
            </w:pPr>
            <w:r>
              <w:rPr>
                <w:rFonts w:ascii="Calibri" w:hAnsi="Calibri"/>
                <w:b w:val="0"/>
                <w:i w:val="0"/>
                <w:color w:val="212121"/>
                <w:sz w:val="16"/>
              </w:rPr>
              <w:t>Psychological comorbidity worsens symptoms and shapes gut-brain therapy</w:t>
            </w:r>
          </w:p>
        </w:tc>
        <w:tc>
          <w:tcPr>
            <w:tcW w:type="dxa" w:w="1036"/>
            <w:vAlign w:val="top"/>
          </w:tcPr>
          <w:p>
            <w:pPr>
              <w:spacing w:after="40" w:before="0" w:line="259" w:lineRule="auto"/>
            </w:pPr>
            <w:r>
              <w:rPr>
                <w:rFonts w:ascii="Calibri" w:hAnsi="Calibri"/>
                <w:b w:val="0"/>
                <w:i w:val="0"/>
                <w:color w:val="212121"/>
                <w:sz w:val="16"/>
              </w:rPr>
              <w:t>All FD, refractory cases</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 GAD-7 / PHQ-9</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Epigastric tenderness, distension, mass, organomegaly</w:t>
            </w:r>
          </w:p>
        </w:tc>
        <w:tc>
          <w:tcPr>
            <w:tcW w:type="dxa" w:w="950"/>
            <w:vAlign w:val="top"/>
          </w:tcPr>
          <w:p>
            <w:pPr>
              <w:spacing w:after="40" w:before="0" w:line="259" w:lineRule="auto"/>
            </w:pPr>
            <w:r>
              <w:rPr>
                <w:rFonts w:ascii="Calibri" w:hAnsi="Calibri"/>
                <w:b w:val="0"/>
                <w:i w:val="0"/>
                <w:color w:val="212121"/>
                <w:sz w:val="16"/>
              </w:rPr>
              <w:t>Soft, at most mild epigastric tenderness</w:t>
            </w:r>
          </w:p>
        </w:tc>
        <w:tc>
          <w:tcPr>
            <w:tcW w:type="dxa" w:w="950"/>
            <w:vAlign w:val="top"/>
          </w:tcPr>
          <w:p>
            <w:pPr>
              <w:spacing w:after="40" w:before="0" w:line="259" w:lineRule="auto"/>
            </w:pPr>
            <w:r>
              <w:rPr>
                <w:rFonts w:ascii="Calibri" w:hAnsi="Calibri"/>
                <w:b w:val="0"/>
                <w:i w:val="0"/>
                <w:color w:val="212121"/>
                <w:sz w:val="16"/>
              </w:rPr>
              <w:t>Mass, organomegaly, guarding, marked tenderness</w:t>
            </w:r>
          </w:p>
        </w:tc>
        <w:tc>
          <w:tcPr>
            <w:tcW w:type="dxa" w:w="1036"/>
            <w:vAlign w:val="top"/>
          </w:tcPr>
          <w:p>
            <w:pPr>
              <w:spacing w:after="40" w:before="0" w:line="259" w:lineRule="auto"/>
            </w:pPr>
            <w:r>
              <w:rPr>
                <w:rFonts w:ascii="Calibri" w:hAnsi="Calibri"/>
                <w:b w:val="0"/>
                <w:i w:val="0"/>
                <w:color w:val="212121"/>
                <w:sz w:val="16"/>
              </w:rPr>
              <w:t>FD shows a largely normal abdomen; a mass or organomegaly excludes FD</w:t>
            </w:r>
          </w:p>
        </w:tc>
        <w:tc>
          <w:tcPr>
            <w:tcW w:type="dxa" w:w="1036"/>
            <w:vAlign w:val="top"/>
          </w:tcPr>
          <w:p>
            <w:pPr>
              <w:spacing w:after="40" w:before="0" w:line="259" w:lineRule="auto"/>
            </w:pPr>
            <w:r>
              <w:rPr>
                <w:rFonts w:ascii="Calibri" w:hAnsi="Calibri"/>
                <w:b w:val="0"/>
                <w:i w:val="0"/>
                <w:color w:val="212121"/>
                <w:sz w:val="16"/>
              </w:rPr>
              <w:t>All suspected FD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reassurance</w:t>
            </w:r>
          </w:p>
        </w:tc>
        <w:tc>
          <w:tcPr>
            <w:tcW w:type="dxa" w:w="720"/>
            <w:vAlign w:val="top"/>
          </w:tcPr>
          <w:p>
            <w:pPr>
              <w:spacing w:after="40" w:before="0" w:line="259" w:lineRule="auto"/>
            </w:pPr>
            <w:r>
              <w:rPr>
                <w:rFonts w:ascii="Calibri" w:hAnsi="Calibri"/>
                <w:b w:val="0"/>
                <w:i w:val="0"/>
                <w:color w:val="212121"/>
                <w:sz w:val="16"/>
              </w:rPr>
              <w:t>Reassuringly normal exam supports FD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examination</w:t>
            </w:r>
          </w:p>
        </w:tc>
        <w:tc>
          <w:tcPr>
            <w:tcW w:type="dxa" w:w="979"/>
            <w:vAlign w:val="top"/>
          </w:tcPr>
          <w:p>
            <w:pPr>
              <w:spacing w:after="40" w:before="0" w:line="259" w:lineRule="auto"/>
            </w:pPr>
            <w:r>
              <w:rPr>
                <w:rFonts w:ascii="Calibri" w:hAnsi="Calibri"/>
                <w:b w:val="0"/>
                <w:i w:val="0"/>
                <w:color w:val="212121"/>
                <w:sz w:val="16"/>
              </w:rPr>
              <w:t>Pallor, weight/BMI, lymph nodes (e.g., Virchow), jaundice</w:t>
            </w:r>
          </w:p>
        </w:tc>
        <w:tc>
          <w:tcPr>
            <w:tcW w:type="dxa" w:w="950"/>
            <w:vAlign w:val="top"/>
          </w:tcPr>
          <w:p>
            <w:pPr>
              <w:spacing w:after="40" w:before="0" w:line="259" w:lineRule="auto"/>
            </w:pPr>
            <w:r>
              <w:rPr>
                <w:rFonts w:ascii="Calibri" w:hAnsi="Calibri"/>
                <w:b w:val="0"/>
                <w:i w:val="0"/>
                <w:color w:val="212121"/>
                <w:sz w:val="16"/>
              </w:rPr>
              <w:t>No pallor, stable weight, no nodes</w:t>
            </w:r>
          </w:p>
        </w:tc>
        <w:tc>
          <w:tcPr>
            <w:tcW w:type="dxa" w:w="950"/>
            <w:vAlign w:val="top"/>
          </w:tcPr>
          <w:p>
            <w:pPr>
              <w:spacing w:after="40" w:before="0" w:line="259" w:lineRule="auto"/>
            </w:pPr>
            <w:r>
              <w:rPr>
                <w:rFonts w:ascii="Calibri" w:hAnsi="Calibri"/>
                <w:b w:val="0"/>
                <w:i w:val="0"/>
                <w:color w:val="212121"/>
                <w:sz w:val="16"/>
              </w:rPr>
              <w:t>Pallor, weight loss, palpable node, jaundice</w:t>
            </w:r>
          </w:p>
        </w:tc>
        <w:tc>
          <w:tcPr>
            <w:tcW w:type="dxa" w:w="1036"/>
            <w:vAlign w:val="top"/>
          </w:tcPr>
          <w:p>
            <w:pPr>
              <w:spacing w:after="40" w:before="0" w:line="259" w:lineRule="auto"/>
            </w:pPr>
            <w:r>
              <w:rPr>
                <w:rFonts w:ascii="Calibri" w:hAnsi="Calibri"/>
                <w:b w:val="0"/>
                <w:i w:val="0"/>
                <w:color w:val="212121"/>
                <w:sz w:val="16"/>
              </w:rPr>
              <w:t>Detects alarm signs pointing to organic or malignant disease</w:t>
            </w:r>
          </w:p>
        </w:tc>
        <w:tc>
          <w:tcPr>
            <w:tcW w:type="dxa" w:w="1036"/>
            <w:vAlign w:val="top"/>
          </w:tcPr>
          <w:p>
            <w:pPr>
              <w:spacing w:after="40" w:before="0" w:line="259" w:lineRule="auto"/>
            </w:pPr>
            <w:r>
              <w:rPr>
                <w:rFonts w:ascii="Calibri" w:hAnsi="Calibri"/>
                <w:b w:val="0"/>
                <w:i w:val="0"/>
                <w:color w:val="212121"/>
                <w:sz w:val="16"/>
              </w:rPr>
              <w:t>Elderly, alarm-feature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 (safety)</w:t>
            </w:r>
          </w:p>
        </w:tc>
        <w:tc>
          <w:tcPr>
            <w:tcW w:type="dxa" w:w="720"/>
            <w:vAlign w:val="top"/>
          </w:tcPr>
          <w:p>
            <w:pPr>
              <w:spacing w:after="40" w:before="0" w:line="259" w:lineRule="auto"/>
            </w:pPr>
            <w:r>
              <w:rPr>
                <w:rFonts w:ascii="Calibri" w:hAnsi="Calibri"/>
                <w:b w:val="0"/>
                <w:i w:val="0"/>
                <w:color w:val="212121"/>
                <w:sz w:val="16"/>
              </w:rPr>
              <w:t>Left supraclavicular node suggests gastric cancer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Postprandial fullness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Uncomfortable, persistent sense of food remaining in the stomach after a normal-sized meal; the cardinal PDS symptom.</w:t>
            </w:r>
          </w:p>
        </w:tc>
      </w:tr>
      <w:tr>
        <w:trPr>
          <w:cantSplit/>
        </w:trPr>
        <w:tc>
          <w:tcPr>
            <w:tcW w:type="dxa" w:w="2304"/>
            <w:vAlign w:val="top"/>
          </w:tcPr>
          <w:p>
            <w:pPr>
              <w:spacing w:after="40" w:before="0" w:line="259" w:lineRule="auto"/>
            </w:pPr>
            <w:r>
              <w:rPr>
                <w:rFonts w:ascii="Calibri" w:hAnsi="Calibri"/>
                <w:b/>
                <w:i w:val="0"/>
                <w:color w:val="212121"/>
                <w:sz w:val="19"/>
              </w:rPr>
              <w:t>Early satiation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Feeling full soon after starting to eat, out of proportion to meal size, preventing meal completion.</w:t>
            </w:r>
          </w:p>
        </w:tc>
      </w:tr>
      <w:tr>
        <w:trPr>
          <w:cantSplit/>
        </w:trPr>
        <w:tc>
          <w:tcPr>
            <w:tcW w:type="dxa" w:w="2304"/>
            <w:vAlign w:val="top"/>
          </w:tcPr>
          <w:p>
            <w:pPr>
              <w:spacing w:after="40" w:before="0" w:line="259" w:lineRule="auto"/>
            </w:pPr>
            <w:r>
              <w:rPr>
                <w:rFonts w:ascii="Calibri" w:hAnsi="Calibri"/>
                <w:b/>
                <w:i w:val="0"/>
                <w:color w:val="212121"/>
                <w:sz w:val="19"/>
              </w:rPr>
              <w:t>Epigastric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localised to the upper-central abdomen (between umbilicus and lower sternum); the cardinal EPS symptom.</w:t>
            </w:r>
          </w:p>
        </w:tc>
      </w:tr>
      <w:tr>
        <w:trPr>
          <w:cantSplit/>
        </w:trPr>
        <w:tc>
          <w:tcPr>
            <w:tcW w:type="dxa" w:w="2304"/>
            <w:vAlign w:val="top"/>
          </w:tcPr>
          <w:p>
            <w:pPr>
              <w:spacing w:after="40" w:before="0" w:line="259" w:lineRule="auto"/>
            </w:pPr>
            <w:r>
              <w:rPr>
                <w:rFonts w:ascii="Calibri" w:hAnsi="Calibri"/>
                <w:b/>
                <w:i w:val="0"/>
                <w:color w:val="212121"/>
                <w:sz w:val="19"/>
              </w:rPr>
              <w:t>Epigastric burning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burning discomfort in the epigastrium, not necessarily meal-related and distinct from retrosternal heartburn.</w:t>
            </w:r>
          </w:p>
        </w:tc>
      </w:tr>
      <w:tr>
        <w:trPr>
          <w:cantSplit/>
        </w:trPr>
        <w:tc>
          <w:tcPr>
            <w:tcW w:type="dxa" w:w="2304"/>
            <w:vAlign w:val="top"/>
          </w:tcPr>
          <w:p>
            <w:pPr>
              <w:spacing w:after="40" w:before="0" w:line="259" w:lineRule="auto"/>
            </w:pPr>
            <w:r>
              <w:rPr>
                <w:rFonts w:ascii="Calibri" w:hAnsi="Calibri"/>
                <w:b/>
                <w:i w:val="0"/>
                <w:color w:val="212121"/>
                <w:sz w:val="19"/>
              </w:rPr>
              <w:t>Upper abdominal bloating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upper-abdominal distension, often worse after meals due to impaired accommodation.</w:t>
            </w:r>
          </w:p>
        </w:tc>
      </w:tr>
      <w:tr>
        <w:trPr>
          <w:cantSplit/>
        </w:trPr>
        <w:tc>
          <w:tcPr>
            <w:tcW w:type="dxa" w:w="2304"/>
            <w:vAlign w:val="top"/>
          </w:tcPr>
          <w:p>
            <w:pPr>
              <w:spacing w:after="40" w:before="0" w:line="259" w:lineRule="auto"/>
            </w:pPr>
            <w:r>
              <w:rPr>
                <w:rFonts w:ascii="Calibri" w:hAnsi="Calibri"/>
                <w:b/>
                <w:i w:val="0"/>
                <w:color w:val="212121"/>
                <w:sz w:val="19"/>
              </w:rPr>
              <w:t>Belching / eructation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belching from aerophagia and delayed gastric emptying.</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Queasiness, typically mild and meal-related; frank vomiting is uncommon in FD.</w:t>
            </w:r>
          </w:p>
        </w:tc>
      </w:tr>
      <w:tr>
        <w:trPr>
          <w:cantSplit/>
        </w:trPr>
        <w:tc>
          <w:tcPr>
            <w:tcW w:type="dxa" w:w="2304"/>
            <w:vAlign w:val="top"/>
          </w:tcPr>
          <w:p>
            <w:pPr>
              <w:spacing w:after="40" w:before="0" w:line="259" w:lineRule="auto"/>
            </w:pPr>
            <w:r>
              <w:rPr>
                <w:rFonts w:ascii="Calibri" w:hAnsi="Calibri"/>
                <w:b/>
                <w:i w:val="0"/>
                <w:color w:val="212121"/>
                <w:sz w:val="19"/>
              </w:rPr>
              <w:t>Loss of appetite / early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desire to eat driven by early satiety and postprandial discomfort.</w:t>
            </w:r>
          </w:p>
        </w:tc>
      </w:tr>
      <w:tr>
        <w:trPr>
          <w:cantSplit/>
        </w:trPr>
        <w:tc>
          <w:tcPr>
            <w:tcW w:type="dxa" w:w="2304"/>
            <w:vAlign w:val="top"/>
          </w:tcPr>
          <w:p>
            <w:pPr>
              <w:spacing w:after="40" w:before="0" w:line="259" w:lineRule="auto"/>
            </w:pPr>
            <w:r>
              <w:rPr>
                <w:rFonts w:ascii="Calibri" w:hAnsi="Calibri"/>
                <w:b/>
                <w:i w:val="0"/>
                <w:color w:val="212121"/>
                <w:sz w:val="19"/>
              </w:rPr>
              <w:t>Heartburn / regurgitation (overlap)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frequent overlap with GERD/functional heartburn rather than core FD.</w:t>
            </w:r>
          </w:p>
        </w:tc>
      </w:tr>
      <w:tr>
        <w:trPr>
          <w:cantSplit/>
        </w:trPr>
        <w:tc>
          <w:tcPr>
            <w:tcW w:type="dxa" w:w="2304"/>
            <w:vAlign w:val="top"/>
          </w:tcPr>
          <w:p>
            <w:pPr>
              <w:spacing w:after="40" w:before="0" w:line="259" w:lineRule="auto"/>
            </w:pPr>
            <w:r>
              <w:rPr>
                <w:rFonts w:ascii="Calibri" w:hAnsi="Calibri"/>
                <w:b/>
                <w:i w:val="0"/>
                <w:color w:val="212121"/>
                <w:sz w:val="19"/>
              </w:rPr>
              <w:t>Vomiting / retching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Infrequent; when persistent it is an alarm feature suggesting gastroparesis or obstruction.</w:t>
            </w:r>
          </w:p>
        </w:tc>
      </w:tr>
      <w:tr>
        <w:trPr>
          <w:cantSplit/>
        </w:trPr>
        <w:tc>
          <w:tcPr>
            <w:tcW w:type="dxa" w:w="2304"/>
            <w:vAlign w:val="top"/>
          </w:tcPr>
          <w:p>
            <w:pPr>
              <w:spacing w:after="40" w:before="0" w:line="259" w:lineRule="auto"/>
            </w:pPr>
            <w:r>
              <w:rPr>
                <w:rFonts w:ascii="Calibri" w:hAnsi="Calibri"/>
                <w:b/>
                <w:i w:val="0"/>
                <w:color w:val="212121"/>
                <w:sz w:val="19"/>
              </w:rPr>
              <w:t>Fatigue and poor sleep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Non-GI symptoms linked to psychological comorbidity and sleep disturbance.</w:t>
            </w:r>
          </w:p>
        </w:tc>
      </w:tr>
      <w:tr>
        <w:trPr>
          <w:cantSplit/>
        </w:trPr>
        <w:tc>
          <w:tcPr>
            <w:tcW w:type="dxa" w:w="2304"/>
            <w:vAlign w:val="top"/>
          </w:tcPr>
          <w:p>
            <w:pPr>
              <w:spacing w:after="40" w:before="0" w:line="259" w:lineRule="auto"/>
            </w:pPr>
            <w:r>
              <w:rPr>
                <w:rFonts w:ascii="Calibri" w:hAnsi="Calibri"/>
                <w:b/>
                <w:i w:val="0"/>
                <w:color w:val="212121"/>
                <w:sz w:val="19"/>
              </w:rPr>
              <w:t>Anxiety / low mood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Bidirectional gut-brain comorbidity present in around a third of patients.</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Atypical for FD - an alarm feature that mandates endoscopy to exclude malignancy or ulcer.</w:t>
            </w:r>
          </w:p>
        </w:tc>
      </w:tr>
      <w:tr>
        <w:trPr>
          <w:cantSplit/>
        </w:trPr>
        <w:tc>
          <w:tcPr>
            <w:tcW w:type="dxa" w:w="2304"/>
            <w:vAlign w:val="top"/>
          </w:tcPr>
          <w:p>
            <w:pPr>
              <w:spacing w:after="40" w:before="0" w:line="259" w:lineRule="auto"/>
            </w:pPr>
            <w:r>
              <w:rPr>
                <w:rFonts w:ascii="Calibri" w:hAnsi="Calibri"/>
                <w:b/>
                <w:i w:val="0"/>
                <w:color w:val="212121"/>
                <w:sz w:val="19"/>
              </w:rPr>
              <w:t>Dysphagia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Difficulty swallowing is not a feature of FD and is a red flag requiring urgent evaluation.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Mild epigastric tenderness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upper-central tenderness without guarding or rebound; the most frequent (and non-specific) finding.</w:t>
            </w:r>
          </w:p>
        </w:tc>
      </w:tr>
      <w:tr>
        <w:trPr>
          <w:cantSplit/>
        </w:trPr>
        <w:tc>
          <w:tcPr>
            <w:tcW w:type="dxa" w:w="3456"/>
            <w:vAlign w:val="top"/>
          </w:tcPr>
          <w:p>
            <w:pPr>
              <w:spacing w:after="40" w:before="0" w:line="259" w:lineRule="auto"/>
            </w:pPr>
            <w:r>
              <w:rPr>
                <w:rFonts w:ascii="Calibri" w:hAnsi="Calibri"/>
                <w:b/>
                <w:i w:val="0"/>
                <w:color w:val="212121"/>
                <w:sz w:val="19"/>
              </w:rPr>
              <w:t>Largely normal general and systemic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Absence of alarm signs (no pallor, no weight loss, no mass) is reassuring and supports FD.</w:t>
            </w:r>
          </w:p>
        </w:tc>
      </w:tr>
      <w:tr>
        <w:trPr>
          <w:cantSplit/>
        </w:trPr>
        <w:tc>
          <w:tcPr>
            <w:tcW w:type="dxa" w:w="3456"/>
            <w:vAlign w:val="top"/>
          </w:tcPr>
          <w:p>
            <w:pPr>
              <w:spacing w:after="40" w:before="0" w:line="259" w:lineRule="auto"/>
            </w:pPr>
            <w:r>
              <w:rPr>
                <w:rFonts w:ascii="Calibri" w:hAnsi="Calibri"/>
                <w:b/>
                <w:i w:val="0"/>
                <w:color w:val="212121"/>
                <w:sz w:val="19"/>
              </w:rPr>
              <w:t>Upper-abdominal distension / tympany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 gaseous fullness of the upper abdomen, often worse after meals.</w:t>
            </w:r>
          </w:p>
        </w:tc>
      </w:tr>
      <w:tr>
        <w:trPr>
          <w:cantSplit/>
        </w:trPr>
        <w:tc>
          <w:tcPr>
            <w:tcW w:type="dxa" w:w="3456"/>
            <w:vAlign w:val="top"/>
          </w:tcPr>
          <w:p>
            <w:pPr>
              <w:spacing w:after="40" w:before="0" w:line="259" w:lineRule="auto"/>
            </w:pPr>
            <w:r>
              <w:rPr>
                <w:rFonts w:ascii="Calibri" w:hAnsi="Calibri"/>
                <w:b/>
                <w:i w:val="0"/>
                <w:color w:val="212121"/>
                <w:sz w:val="19"/>
              </w:rPr>
              <w:t>Absence of organomegaly, mass or ascites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Their presence is a red flag that excludes FD and mandates investigation.</w:t>
            </w:r>
          </w:p>
        </w:tc>
      </w:tr>
      <w:tr>
        <w:trPr>
          <w:cantSplit/>
        </w:trPr>
        <w:tc>
          <w:tcPr>
            <w:tcW w:type="dxa" w:w="3456"/>
            <w:vAlign w:val="top"/>
          </w:tcPr>
          <w:p>
            <w:pPr>
              <w:spacing w:after="40" w:before="0" w:line="259" w:lineRule="auto"/>
            </w:pPr>
            <w:r>
              <w:rPr>
                <w:rFonts w:ascii="Calibri" w:hAnsi="Calibri"/>
                <w:b/>
                <w:i w:val="0"/>
                <w:color w:val="212121"/>
                <w:sz w:val="19"/>
              </w:rPr>
              <w:t>Signs of anxiety or autonomic arousal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Tension, sweaty palms or tachycardia reflecting psychological comorbidity.</w:t>
            </w:r>
          </w:p>
        </w:tc>
      </w:tr>
      <w:tr>
        <w:trPr>
          <w:cantSplit/>
        </w:trPr>
        <w:tc>
          <w:tcPr>
            <w:tcW w:type="dxa" w:w="3456"/>
            <w:vAlign w:val="top"/>
          </w:tcPr>
          <w:p>
            <w:pPr>
              <w:spacing w:after="40" w:before="0" w:line="259" w:lineRule="auto"/>
            </w:pPr>
            <w:r>
              <w:rPr>
                <w:rFonts w:ascii="Calibri" w:hAnsi="Calibri"/>
                <w:b/>
                <w:i w:val="0"/>
                <w:color w:val="212121"/>
                <w:sz w:val="19"/>
              </w:rPr>
              <w:t>Coated tongue / halitosis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Non-specific; may accompany H. pylori-associated gastritis.</w:t>
            </w:r>
          </w:p>
        </w:tc>
      </w:tr>
      <w:tr>
        <w:trPr>
          <w:cantSplit/>
        </w:trPr>
        <w:tc>
          <w:tcPr>
            <w:tcW w:type="dxa" w:w="3456"/>
            <w:vAlign w:val="top"/>
          </w:tcPr>
          <w:p>
            <w:pPr>
              <w:spacing w:after="40" w:before="0" w:line="259" w:lineRule="auto"/>
            </w:pPr>
            <w:r>
              <w:rPr>
                <w:rFonts w:ascii="Calibri" w:hAnsi="Calibri"/>
                <w:b/>
                <w:i w:val="0"/>
                <w:color w:val="212121"/>
                <w:sz w:val="19"/>
              </w:rPr>
              <w:t>Succussion splash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 audible splash over the stomach hours after eating suggests delayed emptying / gastroparesis overlap.</w:t>
            </w:r>
          </w:p>
        </w:tc>
      </w:tr>
      <w:tr>
        <w:trPr>
          <w:cantSplit/>
        </w:trPr>
        <w:tc>
          <w:tcPr>
            <w:tcW w:type="dxa" w:w="3456"/>
            <w:vAlign w:val="top"/>
          </w:tcPr>
          <w:p>
            <w:pPr>
              <w:spacing w:after="40" w:before="0" w:line="259" w:lineRule="auto"/>
            </w:pPr>
            <w:r>
              <w:rPr>
                <w:rFonts w:ascii="Calibri" w:hAnsi="Calibri"/>
                <w:b/>
                <w:i w:val="0"/>
                <w:color w:val="212121"/>
                <w:sz w:val="19"/>
              </w:rPr>
              <w:t>Pallor of anaemia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 alarm sign pointing to bleeding ulcer or malignancy rather than FD.</w:t>
            </w:r>
          </w:p>
        </w:tc>
      </w:tr>
      <w:tr>
        <w:trPr>
          <w:cantSplit/>
        </w:trPr>
        <w:tc>
          <w:tcPr>
            <w:tcW w:type="dxa" w:w="3456"/>
            <w:vAlign w:val="top"/>
          </w:tcPr>
          <w:p>
            <w:pPr>
              <w:spacing w:after="40" w:before="0" w:line="259" w:lineRule="auto"/>
            </w:pPr>
            <w:r>
              <w:rPr>
                <w:rFonts w:ascii="Calibri" w:hAnsi="Calibri"/>
                <w:b/>
                <w:i w:val="0"/>
                <w:color w:val="212121"/>
                <w:sz w:val="19"/>
              </w:rPr>
              <w:t>Palpable epigastric mass or Virchow's node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red flag strongly suggesting gastric malignancy - excludes FD.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postprandial fullness, early satiety and epigastric pain/burning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food intake, meal avoidance and unintended weight loss from early satiety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Nutritional inadequacy in severe or long-standing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symptoms poorly responsive to acid suppression</w:t>
            </w:r>
          </w:p>
        </w:tc>
        <w:tc>
          <w:tcPr>
            <w:tcW w:type="dxa" w:w="2980"/>
            <w:vAlign w:val="top"/>
          </w:tcPr>
          <w:p>
            <w:pPr>
              <w:spacing w:after="40" w:before="0" w:line="259" w:lineRule="auto"/>
            </w:pPr>
            <w:r>
              <w:rPr>
                <w:rFonts w:ascii="Calibri" w:hAnsi="Calibri"/>
                <w:b w:val="0"/>
                <w:i w:val="0"/>
                <w:color w:val="212121"/>
                <w:sz w:val="19"/>
              </w:rPr>
              <w:t>Direct consequences of the disordered gastric accommodation, emptying and visceral hypersensitivity of FD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depression and somatisation, and reduced quality of life comparable to peptic ulcer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chronic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Overlap with IBS, GERD/functional heartburn and chronic nausea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Restrictive/disordered eating from fear of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and school absenteeism and impaired productivity</w:t>
            </w:r>
          </w:p>
        </w:tc>
        <w:tc>
          <w:tcPr>
            <w:tcW w:type="dxa" w:w="2980"/>
            <w:vAlign w:val="top"/>
          </w:tcPr>
          <w:p>
            <w:pPr>
              <w:spacing w:after="40" w:before="0" w:line="259" w:lineRule="auto"/>
            </w:pPr>
            <w:r>
              <w:rPr>
                <w:rFonts w:ascii="Calibri" w:hAnsi="Calibri"/>
                <w:b w:val="0"/>
                <w:i w:val="0"/>
                <w:color w:val="212121"/>
                <w:sz w:val="19"/>
              </w:rPr>
              <w:t>Psychosocial and behavioural consequences driven by the gut-brain axis and symptom burden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social withdrawal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Repeated healthcare use, investigations and high consultation costs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harm from long-term PPI use (e.g., hypomagnesaemia, B12 deficiency, fracture risk) and polypharmacy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Unnecessary or repeated endoscopy and procedures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Entrenched illness behaviour and treatment-refractory symptoms (about half have persistent symptoms beyond a year)</w:t>
            </w:r>
          </w:p>
        </w:tc>
        <w:tc>
          <w:tcPr>
            <w:tcW w:type="dxa" w:w="2980"/>
            <w:vAlign w:val="top"/>
          </w:tcPr>
          <w:p>
            <w:pPr>
              <w:spacing w:after="40" w:before="0" w:line="259" w:lineRule="auto"/>
            </w:pPr>
            <w:r>
              <w:rPr>
                <w:rFonts w:ascii="Calibri" w:hAnsi="Calibri"/>
                <w:b w:val="0"/>
                <w:i w:val="0"/>
                <w:color w:val="212121"/>
                <w:sz w:val="19"/>
              </w:rPr>
              <w:t>Irreversible functional, social and economic outcomes of longstanding, poorly managed FD</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Helicobacter pylori gastritis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active gastritis; eradication cures an H. pylori-associated subset of FD.</w:t>
            </w:r>
          </w:p>
          <w:p>
            <w:pPr>
              <w:spacing w:after="40" w:before="0" w:line="259" w:lineRule="auto"/>
            </w:pPr>
            <w:r>
              <w:rPr>
                <w:rFonts w:ascii="Calibri" w:hAnsi="Calibri"/>
                <w:b/>
                <w:i w:val="0"/>
                <w:color w:val="212121"/>
                <w:sz w:val="19"/>
              </w:rPr>
              <w:t>~77% (Indian FD cohort)</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gut-brain link amplifying visceral pain and symptoms.</w:t>
            </w:r>
          </w:p>
          <w:p>
            <w:pPr>
              <w:spacing w:after="40" w:before="0" w:line="259" w:lineRule="auto"/>
            </w:pPr>
            <w:r>
              <w:rPr>
                <w:rFonts w:ascii="Calibri" w:hAnsi="Calibri"/>
                <w:b/>
                <w:i w:val="0"/>
                <w:color w:val="212121"/>
                <w:sz w:val="19"/>
              </w:rPr>
              <w:t>~30%</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Common mood comorbidity worsening symptoms and treatment response.</w:t>
            </w:r>
          </w:p>
          <w:p>
            <w:pPr>
              <w:spacing w:after="40" w:before="0" w:line="259" w:lineRule="auto"/>
            </w:pPr>
            <w:r>
              <w:rPr>
                <w:rFonts w:ascii="Calibri" w:hAnsi="Calibri"/>
                <w:b/>
                <w:i w:val="0"/>
                <w:color w:val="212121"/>
                <w:sz w:val="19"/>
              </w:rPr>
              <w:t>~30%</w:t>
            </w:r>
          </w:p>
        </w:tc>
      </w:tr>
      <w:tr>
        <w:trPr>
          <w:cantSplit/>
        </w:trPr>
        <w:tc>
          <w:tcPr>
            <w:tcW w:type="dxa" w:w="2232"/>
            <w:vAlign w:val="top"/>
          </w:tcPr>
          <w:p>
            <w:pPr>
              <w:spacing w:after="40" w:before="0" w:line="259" w:lineRule="auto"/>
            </w:pPr>
            <w:r>
              <w:rPr>
                <w:rFonts w:ascii="Calibri" w:hAnsi="Calibri"/>
                <w:b/>
                <w:i w:val="0"/>
                <w:color w:val="212121"/>
                <w:sz w:val="19"/>
              </w:rPr>
              <w:t>Irritable bowel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Overlapping disorder of gut-brain interaction with lower-GI symptoms.</w:t>
            </w:r>
          </w:p>
          <w:p>
            <w:pPr>
              <w:spacing w:after="40" w:before="0" w:line="259" w:lineRule="auto"/>
            </w:pPr>
            <w:r>
              <w:rPr>
                <w:rFonts w:ascii="Calibri" w:hAnsi="Calibri"/>
                <w:b/>
                <w:i w:val="0"/>
                <w:color w:val="212121"/>
                <w:sz w:val="19"/>
              </w:rPr>
              <w:t>~26% (up to 49% in Asia)</w:t>
            </w:r>
          </w:p>
        </w:tc>
      </w:tr>
      <w:tr>
        <w:trPr>
          <w:cantSplit/>
        </w:trPr>
        <w:tc>
          <w:tcPr>
            <w:tcW w:type="dxa" w:w="2232"/>
            <w:vAlign w:val="top"/>
          </w:tcPr>
          <w:p>
            <w:pPr>
              <w:spacing w:after="40" w:before="0" w:line="259" w:lineRule="auto"/>
            </w:pPr>
            <w:r>
              <w:rPr>
                <w:rFonts w:ascii="Calibri" w:hAnsi="Calibri"/>
                <w:b/>
                <w:i w:val="0"/>
                <w:color w:val="212121"/>
                <w:sz w:val="19"/>
              </w:rPr>
              <w:t>GERD / functional heartburn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Frequent co-occurrence via shared hypersensitivity and dysmotility.</w:t>
            </w:r>
          </w:p>
          <w:p>
            <w:pPr>
              <w:spacing w:after="40" w:before="0" w:line="259" w:lineRule="auto"/>
            </w:pPr>
            <w:r>
              <w:rPr>
                <w:rFonts w:ascii="Calibri" w:hAnsi="Calibri"/>
                <w:b/>
                <w:i w:val="0"/>
                <w:color w:val="212121"/>
                <w:sz w:val="19"/>
              </w:rPr>
              <w:t>~9% (2.3-8.4% population overlap)</w:t>
            </w:r>
          </w:p>
        </w:tc>
      </w:tr>
      <w:tr>
        <w:trPr>
          <w:cantSplit/>
        </w:trPr>
        <w:tc>
          <w:tcPr>
            <w:tcW w:type="dxa" w:w="2232"/>
            <w:vAlign w:val="top"/>
          </w:tcPr>
          <w:p>
            <w:pPr>
              <w:spacing w:after="40" w:before="0" w:line="259" w:lineRule="auto"/>
            </w:pPr>
            <w:r>
              <w:rPr>
                <w:rFonts w:ascii="Calibri" w:hAnsi="Calibri"/>
                <w:b/>
                <w:i w:val="0"/>
                <w:color w:val="212121"/>
                <w:sz w:val="19"/>
              </w:rPr>
              <w:t>Chronic nausea and vomiting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Overlapping upper-GI DGBI, prominent in PDS.</w:t>
            </w:r>
          </w:p>
          <w:p>
            <w:pPr>
              <w:spacing w:after="40" w:before="0" w:line="259" w:lineRule="auto"/>
            </w:pPr>
            <w:r>
              <w:rPr>
                <w:rFonts w:ascii="Calibri" w:hAnsi="Calibri"/>
                <w:b/>
                <w:i w:val="0"/>
                <w:color w:val="212121"/>
                <w:sz w:val="19"/>
              </w:rPr>
              <w:t>~7%</w:t>
            </w:r>
          </w:p>
        </w:tc>
      </w:tr>
      <w:tr>
        <w:trPr>
          <w:cantSplit/>
        </w:trPr>
        <w:tc>
          <w:tcPr>
            <w:tcW w:type="dxa" w:w="2232"/>
            <w:vAlign w:val="top"/>
          </w:tcPr>
          <w:p>
            <w:pPr>
              <w:spacing w:after="40" w:before="0" w:line="259" w:lineRule="auto"/>
            </w:pPr>
            <w:r>
              <w:rPr>
                <w:rFonts w:ascii="Calibri" w:hAnsi="Calibri"/>
                <w:b/>
                <w:i w:val="0"/>
                <w:color w:val="212121"/>
                <w:sz w:val="19"/>
              </w:rPr>
              <w:t>Sleep disorders / insomnia</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sleep disturbance markedly raises FD risk.</w:t>
            </w:r>
          </w:p>
          <w:p>
            <w:pPr>
              <w:spacing w:after="40" w:before="0" w:line="259" w:lineRule="auto"/>
            </w:pPr>
            <w:r>
              <w:rPr>
                <w:rFonts w:ascii="Calibri" w:hAnsi="Calibri"/>
                <w:b/>
                <w:i w:val="0"/>
                <w:color w:val="212121"/>
                <w:sz w:val="19"/>
              </w:rPr>
              <w:t>~4x higher hazard</w:t>
            </w:r>
          </w:p>
        </w:tc>
      </w:tr>
      <w:tr>
        <w:trPr>
          <w:cantSplit/>
        </w:trPr>
        <w:tc>
          <w:tcPr>
            <w:tcW w:type="dxa" w:w="2232"/>
            <w:vAlign w:val="top"/>
          </w:tcPr>
          <w:p>
            <w:pPr>
              <w:spacing w:after="40" w:before="0" w:line="259" w:lineRule="auto"/>
            </w:pPr>
            <w:r>
              <w:rPr>
                <w:rFonts w:ascii="Calibri" w:hAnsi="Calibri"/>
                <w:b/>
                <w:i w:val="0"/>
                <w:color w:val="212121"/>
                <w:sz w:val="19"/>
              </w:rPr>
              <w:t>Gastroparesis (delayed gastric emptying)</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Delayed emptying in a subset overlaps with refractory PDS.</w:t>
            </w:r>
          </w:p>
        </w:tc>
      </w:tr>
      <w:tr>
        <w:trPr>
          <w:cantSplit/>
        </w:trPr>
        <w:tc>
          <w:tcPr>
            <w:tcW w:type="dxa" w:w="2232"/>
            <w:vAlign w:val="top"/>
          </w:tcPr>
          <w:p>
            <w:pPr>
              <w:spacing w:after="40" w:before="0" w:line="259" w:lineRule="auto"/>
            </w:pPr>
            <w:r>
              <w:rPr>
                <w:rFonts w:ascii="Calibri" w:hAnsi="Calibri"/>
                <w:b/>
                <w:i w:val="0"/>
                <w:color w:val="212121"/>
                <w:sz w:val="19"/>
              </w:rPr>
              <w:t>Fibromyalgia / somatic syndromes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central sensitisation clusters with more severe FD.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FD is a genuine disorder of gut-brain interaction, not 'all in the mind' and not a form of cancer or 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personal triggers (spicy/fatty/fried food, large or rushed meals, caffeine, stress, poor sleep) using a simple food-and-symptom diary.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alarm features (weight loss, difficulty swallowing, persistent vomiting, black stools, anaemia, onset after 60) that require prompt endoscopy.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safe food and water hygiene to reduce H. pylori acquisition and gastroenteritis, drivers of H. pylori-associated and post-infectious FD.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the goal is symptom control and quality of life using diet, meal pattern, stress management and, where needed, medication.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FD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 pylori-positive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working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 frequent, unhurried meals rather than large or rushed ones (take more than 10 minutes per meal).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spicy, fried, high-fat and very oily foods, which delay emptying and provoke epigastric pain and burning.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skipping meals, late-night heavy meals and carbonated drinks; do not lie down soon after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limit personal trigger foods through a structured food-symptom diary.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balanced, home-cooked diet with lean protein and cooked vegetables over ultra-processed and restaurant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and avoid tea/coffee on an empty stomach if it triggers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PDS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Spicy-food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Fast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Junk-food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meal timing and portion control to preserve normal gastric accommodation.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Introduce a varied, fibre-appropriate diet while avoiding excess fat and fried items.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and very spicy, fried foods occasional rather than habitual.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upright and take a short walk after meals rather than reclining.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FD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Tobacco/alcohol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(brisk walking, cycling) to aid gastric emptying and reduce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 gentle 10-15 minute walk after meals to reduce postprandial fullness.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yoga and diaphragmatic breathing, which reduce stress and dyspeptic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gradually and consistently rather than in intense, irregular bouts.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PDS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desk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aim for 7-9 hours of good-quality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limit screens, caffeine and heavy meals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eating within 2-3 hours of lying down to reduce night-time fullness and reflux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insomnia and sleep-related anxiety, as sleep disturbance markedly raises FD risk and worsens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Insomniacs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smokeless tobacco (chewing tobacco, gudakhu), which delay emptying, impair mucosal defence and promote H. pylori gastritis.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nicotine-replacement therapy and behavioural support or quit-lines to aid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on an empty stomach, which can aggravate epigastric pain and burning.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tobacco-using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and include several alcohol-free days each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drinking on an empty stomach and avoid strong spirits, which most irritate the gastric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personal alcohol triggers that provoke epigastric burning or nausea.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and pair any alcohol with food.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epigastric burning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drinkers with flares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(GAD-7/PHQ-9), each present in around a third of FD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gut-directed cognitive behavioural therapy or hypnotherapy, which improve refractory FD.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daily stress-reduction (yoga, meditation, mindfulness, breathing exercises).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low-dose neuromodulator (e.g., tricyclic such as amitriptyline for EPS) under specialist guidance for refractory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multidisciplinary team (gastroenterologist, dietitian, psychologist) for severe or refractory cases.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 severe FD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sleep disturbance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007/s12664-020-01106-y" TargetMode="External"/><Relationship Id="rId10" Type="http://schemas.openxmlformats.org/officeDocument/2006/relationships/hyperlink" Target="https://www.aafp.org/pubs/afp/issues/2020/0115/p84.html" TargetMode="External"/><Relationship Id="rId11" Type="http://schemas.openxmlformats.org/officeDocument/2006/relationships/hyperlink" Target="https://pmc.ncbi.nlm.nih.gov/articles/PMC12239946/" TargetMode="External"/><Relationship Id="rId12" Type="http://schemas.openxmlformats.org/officeDocument/2006/relationships/hyperlink" Target="https://www.jnmjournal.org/journal/view.html?uid=107&amp;vmd=Full" TargetMode="External"/><Relationship Id="rId13" Type="http://schemas.openxmlformats.org/officeDocument/2006/relationships/hyperlink" Target="https://ouci.dntb.gov.ua/en/works/7qjRRK54/" TargetMode="External"/><Relationship Id="rId14" Type="http://schemas.openxmlformats.org/officeDocument/2006/relationships/hyperlink" Target="https://www.nature.com/articles/s41598-021-98169-4" TargetMode="External"/><Relationship Id="rId15" Type="http://schemas.openxmlformats.org/officeDocument/2006/relationships/hyperlink" Target="https://link.springer.com/article/10.1186/s41043-025-01223-4" TargetMode="External"/><Relationship Id="rId16" Type="http://schemas.openxmlformats.org/officeDocument/2006/relationships/hyperlink" Target="https://link.springer.com/article/10.1007/s12664-021-011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