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Chronic Constipation</w:t>
      </w:r>
    </w:p>
    <w:p>
      <w:pPr>
        <w:spacing w:before="0" w:after="160"/>
      </w:pPr>
      <w:r>
        <w:rPr>
          <w:rFonts w:ascii="Calibri" w:hAnsi="Calibri"/>
          <w:b/>
          <w:i w:val="0"/>
          <w:color w:val="212121"/>
          <w:sz w:val="22"/>
        </w:rPr>
        <w:t xml:space="preserve">AKA </w:t>
      </w:r>
      <w:r>
        <w:rPr>
          <w:rFonts w:ascii="Calibri" w:hAnsi="Calibri"/>
          <w:b w:val="0"/>
          <w:i w:val="0"/>
          <w:color w:val="212121"/>
          <w:sz w:val="22"/>
        </w:rPr>
        <w:t>i.e., Chronic functional constipation, Chronic idiopathic constipation (CIC), Kabz / Kabiyat, Costiveness, Irregular bowels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Chronic constipation is a common, persistent disorder of defecation characterised by difficult, infrequent or incomplete passage of stool for at least three months. It is defined clinically by the Rome IV criteria as two or more of straining, lumpy or hard stools, a sensation of incomplete evacuation, a sensation of anorectal obstruction, the need for manual manoeuvres, or fewer than three spontaneous bowel movements per week, with loose stools rarely present without laxatives and without meeting the criteria for irritable bowel syndrome. It may be primary (functional/idiopathic) - normal-transit, slow-transit or a defecatory/evacuation disorder - or secondary to drugs, metabolic, neurological or structural disease.</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Chronic constipation is one of the commonest gastrointestinal complaints in India. A community-based survey from Chandigarh (n=505) found self-reported constipation in 24.8% of adults over the preceding year, with 16.8% meeting Rome II criteria; it was significantly more frequent in women than men (20% vs 13%) and in the non-working than the working population (20% vs 12%). This sits within a global prevalence of roughly 9-20% (pooled ~11.7%), with women affected about twice as often as men and rates rising to 30-40% in adults over 65. Poor dietary habits, low fluid intake and physical inactivity were the significant associated factors, yet only 18% of affected Indians had consulted a physician and only 8% used laxatives.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Chronic constipation is a clinical diagnosis based on the Rome IV criteria, supported by a focused history, digital rectal examination and, where indicated, targeted investigations to exclude secondary causes. The Rome IV criteria require, for the last 3 months with symptom onset at least 6 months earlier, two or more of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straining during more than 25% (one quarter) of defecations;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lumpy or hard stools (Bristol Stool Form Scale type 1-2) in more than 25% of defecations;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sensation of incomplete evacuation in more than 25% of defecations;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sensation of anorectal obstruction or blockage in more than 25% of defecations;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manual manoeuvres to facilitate more than 25% of defecations (e.g., digital evacuation, perineal or vaginal splinting of the pelvic floor);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fewer than three spontaneous bowel movements per week;</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loose stools are rarely present without the use of laxatives, and criteria for irritable bowel syndrome are not met - alarm features (unintentional weight loss, rectal bleeding, iron-deficiency anaemia, a change in stool calibre, a palpable abdominal or rectal mass, onset after age 50, or a family history of colorectal cancer or inflammatory bowel disease) should trigger colonoscopy to exclude organic disease.</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Chronic constipation is classified into primary (functional/idiopathic) and secondary forms; the primary form is further subtyped by pathophysiology, which directs treatment:</w:t>
      </w:r>
    </w:p>
    <w:p>
      <w:pPr>
        <w:spacing w:before="0" w:after="80"/>
      </w:pPr>
      <w:r>
        <w:rPr>
          <w:rFonts w:ascii="Calibri" w:hAnsi="Calibri"/>
          <w:b w:val="0"/>
          <w:i w:val="0"/>
          <w:color w:val="212121"/>
          <w:sz w:val="21"/>
        </w:rPr>
        <w:t>(1) Normal-transit constipation (NTC) - the commonest primary subtype, in which colonic transit and anorectal function are normal but the patient perceives difficulty, hard stool or bloating; it usually responds to fibre, fluid and reassurance;</w:t>
      </w:r>
    </w:p>
    <w:p>
      <w:pPr>
        <w:spacing w:before="0" w:after="80"/>
      </w:pPr>
      <w:r>
        <w:rPr>
          <w:rFonts w:ascii="Calibri" w:hAnsi="Calibri"/>
          <w:b w:val="0"/>
          <w:i w:val="0"/>
          <w:color w:val="212121"/>
          <w:sz w:val="21"/>
        </w:rPr>
        <w:t>(2) Slow-transit constipation (STC) - delayed colonic transit from reduced propulsive activity (abnormal enteric neurons and interstitial cells of Cajal), causing infrequent bowel movements, less urge and a poor response to fibre; it is more common in young women;</w:t>
      </w:r>
    </w:p>
    <w:p>
      <w:pPr>
        <w:spacing w:before="0" w:after="80"/>
      </w:pPr>
      <w:r>
        <w:rPr>
          <w:rFonts w:ascii="Calibri" w:hAnsi="Calibri"/>
          <w:b w:val="0"/>
          <w:i w:val="0"/>
          <w:color w:val="212121"/>
          <w:sz w:val="21"/>
        </w:rPr>
        <w:t>(3) Defecatory (evacuation) disorders, chiefly dyssynergic defecation - paradoxical contraction or inadequate relaxation of the puborectalis and anal sphincter and/or inadequate rectal propulsive force, producing straining, incomplete evacuation and the need for manual manoeuvres; in Indian series 34-55.8% of chronic-constipation patients have dyssynergic defecation, and pelvic-floor biofeedback achieves 62-82.5% success;</w:t>
      </w:r>
    </w:p>
    <w:p>
      <w:pPr>
        <w:spacing w:before="0" w:after="80"/>
      </w:pPr>
      <w:r>
        <w:rPr>
          <w:rFonts w:ascii="Calibri" w:hAnsi="Calibri"/>
          <w:b w:val="0"/>
          <w:i w:val="0"/>
          <w:color w:val="212121"/>
          <w:sz w:val="21"/>
        </w:rPr>
        <w:t>(4) Secondary constipation - due to drugs (opioids, oral iron, anticholinergics, calcium-channel blockers, antidepressants, antacids), metabolic/endocrine disease (hypothyroidism, diabetes, hypercalcaemia, hypokalaemia), neurological disease (Parkinson's disease, multiple sclerosis, spinal cord lesions) or structural/obstructing lesions. Constipation-predominant irritable bowel syndrome (IBS-C) overlaps when abdominal pain relieved by defecation is prominent.</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Low dietary fibre and inadequate fluid intake: Reduce stool bulk and water content, producing hard, small stools and slow colonic transit; the dominant modifiable driver as diets shift to refined foods.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Physical inactivity and immobility: Diminished colonic motility and gastrocolic reflex activity, especially in sedentary workers, the bedbound and the elderly.</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Habitual suppression of the urge to defecate: Ignoring the call to stool (busy schedules, shift work, poor or shared toilet access) blunts rectal sensation and the defecatory reflex over time.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Dyssynergic defecation (pelvic-floor dysfunction): Paradoxical contraction or failure to relax the puborectalis and anal sphincter, and/or inadequate rectal propulsive force, obstruct evacuation.</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Slow colonic transit: Reduced propulsive contractions from abnormal enteric neurons and interstitial cells of Cajal delay stool passage, often with a poor response to fibre.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Drugs and secondary disease: Opioids, oral iron, anticholinergics, calcium-channel blockers and antacids, plus hypothyroidism, diabetic autonomic neuropathy, hypercalcaemia and Parkinson's disease, slow the gut.</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Ageing, pregnancy and hormonal factors: Progesterone slows transit; pregnancy adds mechanical pressure and iron supplementation; ageing brings immobility, polypharmacy, reduced intake and blunted rectal sensation.</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(especially women 20-50 y)</w:t>
            </w:r>
          </w:p>
        </w:tc>
        <w:tc>
          <w:tcPr>
            <w:tcW w:type="dxa" w:w="4276"/>
            <w:vAlign w:val="top"/>
          </w:tcPr>
          <w:p>
            <w:pPr>
              <w:spacing w:after="60" w:line="259" w:lineRule="auto"/>
            </w:pPr>
            <w:r>
              <w:rPr>
                <w:rFonts w:ascii="Calibri" w:hAnsi="Calibri"/>
                <w:b w:val="0"/>
                <w:i w:val="0"/>
                <w:color w:val="212121"/>
                <w:sz w:val="19"/>
              </w:rPr>
              <w:t>Functional constipation is common in the economically productive years, when urban low-fibre diets, sedentary work, inadequate fluids and habitual suppression of the urge to defecate combine to slow transit and harden stool.</w:t>
            </w:r>
          </w:p>
          <w:p>
            <w:pPr>
              <w:spacing w:after="40" w:before="60" w:line="259" w:lineRule="auto"/>
            </w:pPr>
            <w:r>
              <w:rPr>
                <w:rFonts w:ascii="Calibri" w:hAnsi="Calibri"/>
                <w:b w:val="0"/>
                <w:i w:val="0"/>
                <w:color w:val="212121"/>
                <w:sz w:val="19"/>
              </w:rPr>
              <w:t>In a Chandigarh community survey, 16.8% of adults met Rome II criteria for constipation and 24.8% reported it over the previous year.</w:t>
            </w:r>
          </w:p>
          <w:p>
            <w:pPr>
              <w:spacing w:after="40" w:line="252" w:lineRule="auto"/>
            </w:pPr>
            <w:hyperlink r:id="rId9">
              <w:r>
                <w:rPr>
                  <w:rFonts w:ascii="Calibri" w:hAnsi="Calibri" w:cs="Calibri"/>
                  <w:sz w:val="18"/>
                  <w:color w:val="1155CC"/>
                  <w:u w:val="single"/>
                </w:rPr>
                <w:t xml:space="preserve">PubMed - community survey of constipation, India</w:t>
              </w:r>
            </w:hyperlink>
          </w:p>
          <w:p>
            <w:pPr>
              <w:spacing w:before="60" w:after="40"/>
            </w:pPr>
            <w:r>
              <w:rPr>
                <w:rFonts w:ascii="Calibri" w:hAnsi="Calibri"/>
                <w:b w:val="0"/>
                <w:i w:val="0"/>
                <w:color w:val="5A5A5A"/>
                <w:sz w:val="18"/>
              </w:rPr>
              <w:t>#functionalconstipation  #youngadults  #lowfibre  #sedentary  #india</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(&gt;65 y)</w:t>
            </w:r>
          </w:p>
        </w:tc>
        <w:tc>
          <w:tcPr>
            <w:tcW w:type="dxa" w:w="4276"/>
            <w:vAlign w:val="top"/>
          </w:tcPr>
          <w:p>
            <w:pPr>
              <w:spacing w:after="60" w:line="259" w:lineRule="auto"/>
            </w:pPr>
            <w:r>
              <w:rPr>
                <w:rFonts w:ascii="Calibri" w:hAnsi="Calibri"/>
                <w:b w:val="0"/>
                <w:i w:val="0"/>
                <w:color w:val="212121"/>
                <w:sz w:val="19"/>
              </w:rPr>
              <w:t>Immobility, reduced food and fluid intake, blunted rectal sensation, comorbidities and polypharmacy (opioids, calcium-channel blockers, iron, anticholinergics) markedly slow the gut, and faecal impaction with overflow soiling becomes common.</w:t>
            </w:r>
          </w:p>
          <w:p>
            <w:pPr>
              <w:spacing w:after="40" w:before="60" w:line="259" w:lineRule="auto"/>
            </w:pPr>
            <w:r>
              <w:rPr>
                <w:rFonts w:ascii="Calibri" w:hAnsi="Calibri"/>
                <w:b w:val="0"/>
                <w:i w:val="0"/>
                <w:color w:val="212121"/>
                <w:sz w:val="19"/>
              </w:rPr>
              <w:t>Around 30-40% of adults over 65 report constipation as a troublesome problem, far higher than in younger adults.</w:t>
            </w:r>
          </w:p>
          <w:p>
            <w:pPr>
              <w:spacing w:after="40" w:line="252" w:lineRule="auto"/>
            </w:pPr>
            <w:hyperlink r:id="rId10">
              <w:r>
                <w:rPr>
                  <w:rFonts w:ascii="Calibri" w:hAnsi="Calibri" w:cs="Calibri"/>
                  <w:sz w:val="18"/>
                  <w:color w:val="1155CC"/>
                  <w:u w:val="single"/>
                </w:rPr>
                <w:t xml:space="preserve">StatPearls - Constipation (epidemiology)</w:t>
              </w:r>
            </w:hyperlink>
          </w:p>
          <w:p>
            <w:pPr>
              <w:spacing w:before="60" w:after="40"/>
            </w:pPr>
            <w:r>
              <w:rPr>
                <w:rFonts w:ascii="Calibri" w:hAnsi="Calibri"/>
                <w:b w:val="0"/>
                <w:i w:val="0"/>
                <w:color w:val="5A5A5A"/>
                <w:sz w:val="18"/>
              </w:rPr>
              <w:t>#elderly  #immobility  #polypharmacy  #faecalimpaction  #overflow</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Women have slower colonic transit under the influence of progesterone and oestrogen, greater rates of dyssynergic defecation and obstetric pelvic-floor injury, and report more straining and manual manoeuvres than men.</w:t>
            </w:r>
          </w:p>
          <w:p>
            <w:pPr>
              <w:spacing w:after="40" w:before="60" w:line="259" w:lineRule="auto"/>
            </w:pPr>
            <w:r>
              <w:rPr>
                <w:rFonts w:ascii="Calibri" w:hAnsi="Calibri"/>
                <w:b w:val="0"/>
                <w:i w:val="0"/>
                <w:color w:val="212121"/>
                <w:sz w:val="19"/>
              </w:rPr>
              <w:t>Women are affected about twice as often as men; in the Indian community survey constipation was more frequent in females than males (20% vs 13%).</w:t>
            </w:r>
          </w:p>
          <w:p>
            <w:pPr>
              <w:spacing w:after="40" w:line="252" w:lineRule="auto"/>
            </w:pPr>
            <w:hyperlink r:id="rId9">
              <w:r>
                <w:rPr>
                  <w:rFonts w:ascii="Calibri" w:hAnsi="Calibri" w:cs="Calibri"/>
                  <w:sz w:val="18"/>
                  <w:color w:val="1155CC"/>
                  <w:u w:val="single"/>
                </w:rPr>
                <w:t xml:space="preserve">PubMed - community survey, female predominance</w:t>
              </w:r>
            </w:hyperlink>
          </w:p>
          <w:p>
            <w:pPr>
              <w:spacing w:before="60" w:after="40"/>
            </w:pPr>
            <w:r>
              <w:rPr>
                <w:rFonts w:ascii="Calibri" w:hAnsi="Calibri"/>
                <w:b w:val="0"/>
                <w:i w:val="0"/>
                <w:color w:val="5A5A5A"/>
                <w:sz w:val="18"/>
              </w:rPr>
              <w:t>#female  #progesterone  #slowtransit  #pelvicfloor  #straining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Non-working &amp; low-activity adults, low health literacy</w:t>
            </w:r>
          </w:p>
        </w:tc>
        <w:tc>
          <w:tcPr>
            <w:tcW w:type="dxa" w:w="4276"/>
            <w:vAlign w:val="top"/>
          </w:tcPr>
          <w:p>
            <w:pPr>
              <w:spacing w:after="60" w:line="259" w:lineRule="auto"/>
            </w:pPr>
            <w:r>
              <w:rPr>
                <w:rFonts w:ascii="Calibri" w:hAnsi="Calibri"/>
                <w:b w:val="0"/>
                <w:i w:val="0"/>
                <w:color w:val="212121"/>
                <w:sz w:val="19"/>
              </w:rPr>
              <w:t>Sedentary, non-working lifestyles with low physical activity, irregular meals and poor fluid intake predispose to constipation, while low awareness delays care-seeking and encourages unsupervised laxative use.</w:t>
            </w:r>
          </w:p>
          <w:p>
            <w:pPr>
              <w:spacing w:after="40" w:before="60" w:line="259" w:lineRule="auto"/>
            </w:pPr>
            <w:r>
              <w:rPr>
                <w:rFonts w:ascii="Calibri" w:hAnsi="Calibri"/>
                <w:b w:val="0"/>
                <w:i w:val="0"/>
                <w:color w:val="212121"/>
                <w:sz w:val="19"/>
              </w:rPr>
              <w:t>Constipation was commoner in the non-working than the working population (20% vs 12%), yet only 18% of affected people had consulted a physician.</w:t>
            </w:r>
          </w:p>
          <w:p>
            <w:pPr>
              <w:spacing w:after="40" w:line="252" w:lineRule="auto"/>
            </w:pPr>
            <w:hyperlink r:id="rId9">
              <w:r>
                <w:rPr>
                  <w:rFonts w:ascii="Calibri" w:hAnsi="Calibri" w:cs="Calibri"/>
                  <w:sz w:val="18"/>
                  <w:color w:val="1155CC"/>
                  <w:u w:val="single"/>
                </w:rPr>
                <w:t xml:space="preserve">PubMed - non-working vs working prevalence, India</w:t>
              </w:r>
            </w:hyperlink>
          </w:p>
          <w:p>
            <w:pPr>
              <w:spacing w:before="60" w:after="40"/>
            </w:pPr>
            <w:r>
              <w:rPr>
                <w:rFonts w:ascii="Calibri" w:hAnsi="Calibri"/>
                <w:b w:val="0"/>
                <w:i w:val="0"/>
                <w:color w:val="5A5A5A"/>
                <w:sz w:val="18"/>
              </w:rPr>
              <w:t>#sedentary  #healthliteracy  #careseeking  #laxativemisuse  #lifestyle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Physiological state</w:t>
            </w:r>
          </w:p>
        </w:tc>
        <w:tc>
          <w:tcPr>
            <w:tcW w:type="dxa" w:w="2160"/>
            <w:vAlign w:val="top"/>
          </w:tcPr>
          <w:p>
            <w:pPr>
              <w:spacing w:after="40" w:before="0" w:line="259" w:lineRule="auto"/>
            </w:pPr>
            <w:r>
              <w:rPr>
                <w:rFonts w:ascii="Calibri" w:hAnsi="Calibri"/>
                <w:b w:val="0"/>
                <w:i w:val="0"/>
                <w:color w:val="212121"/>
                <w:sz w:val="19"/>
              </w:rPr>
              <w:t>Pregnant women</w:t>
            </w:r>
          </w:p>
        </w:tc>
        <w:tc>
          <w:tcPr>
            <w:tcW w:type="dxa" w:w="4276"/>
            <w:vAlign w:val="top"/>
          </w:tcPr>
          <w:p>
            <w:pPr>
              <w:spacing w:after="60" w:line="259" w:lineRule="auto"/>
            </w:pPr>
            <w:r>
              <w:rPr>
                <w:rFonts w:ascii="Calibri" w:hAnsi="Calibri"/>
                <w:b w:val="0"/>
                <w:i w:val="0"/>
                <w:color w:val="212121"/>
                <w:sz w:val="19"/>
              </w:rPr>
              <w:t>Rising progesterone slows colonic transit, the enlarging uterus mechanically compresses the rectosigmoid, and routine oral iron and calcium supplements (widely used in India for anaemia) further harden stool.</w:t>
            </w:r>
          </w:p>
          <w:p>
            <w:pPr>
              <w:spacing w:after="40" w:before="60" w:line="259" w:lineRule="auto"/>
            </w:pPr>
            <w:r>
              <w:rPr>
                <w:rFonts w:ascii="Calibri" w:hAnsi="Calibri"/>
                <w:b w:val="0"/>
                <w:i w:val="0"/>
                <w:color w:val="212121"/>
                <w:sz w:val="19"/>
              </w:rPr>
              <w:t>The global pooled prevalence of constipation in pregnancy is 32.4%, peaking in the second trimester (34%).</w:t>
            </w:r>
          </w:p>
          <w:p>
            <w:pPr>
              <w:spacing w:after="40" w:line="252" w:lineRule="auto"/>
            </w:pPr>
            <w:hyperlink r:id="rId11">
              <w:r>
                <w:rPr>
                  <w:rFonts w:ascii="Calibri" w:hAnsi="Calibri" w:cs="Calibri"/>
                  <w:sz w:val="18"/>
                  <w:color w:val="1155CC"/>
                  <w:u w:val="single"/>
                </w:rPr>
                <w:t xml:space="preserve">BMC Pregnancy &amp; Childbirth - constipation in pregnancy meta-analysis</w:t>
              </w:r>
            </w:hyperlink>
          </w:p>
          <w:p>
            <w:pPr>
              <w:spacing w:before="60" w:after="40"/>
            </w:pPr>
            <w:r>
              <w:rPr>
                <w:rFonts w:ascii="Calibri" w:hAnsi="Calibri"/>
                <w:b w:val="0"/>
                <w:i w:val="0"/>
                <w:color w:val="5A5A5A"/>
                <w:sz w:val="18"/>
              </w:rPr>
              <w:t>#pregnancy  #progesterone  #ironsupplements  #mechanical  #secondtrimester</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residence</w:t>
            </w:r>
          </w:p>
        </w:tc>
        <w:tc>
          <w:tcPr>
            <w:tcW w:type="dxa" w:w="2160"/>
            <w:vAlign w:val="top"/>
          </w:tcPr>
          <w:p>
            <w:pPr>
              <w:spacing w:after="40" w:before="0" w:line="259" w:lineRule="auto"/>
            </w:pPr>
            <w:r>
              <w:rPr>
                <w:rFonts w:ascii="Calibri" w:hAnsi="Calibri"/>
                <w:b w:val="0"/>
                <w:i w:val="0"/>
                <w:color w:val="212121"/>
                <w:sz w:val="19"/>
              </w:rPr>
              <w:t>Urban Indians</w:t>
            </w:r>
          </w:p>
        </w:tc>
        <w:tc>
          <w:tcPr>
            <w:tcW w:type="dxa" w:w="4276"/>
            <w:vAlign w:val="top"/>
          </w:tcPr>
          <w:p>
            <w:pPr>
              <w:spacing w:after="60" w:line="259" w:lineRule="auto"/>
            </w:pPr>
            <w:r>
              <w:rPr>
                <w:rFonts w:ascii="Calibri" w:hAnsi="Calibri"/>
                <w:b w:val="0"/>
                <w:i w:val="0"/>
                <w:color w:val="212121"/>
                <w:sz w:val="19"/>
              </w:rPr>
              <w:t>Urbanisation shifts diets toward refined, low-residue foods (maida, polished rice, fast food) with fewer millets, pulses, fruit and vegetables, alongside sedentary desk work, erratic meals and time-pressured suppression of the urge to defecate.</w:t>
            </w:r>
          </w:p>
          <w:p>
            <w:pPr>
              <w:spacing w:after="40" w:before="60" w:line="259" w:lineRule="auto"/>
            </w:pPr>
            <w:r>
              <w:rPr>
                <w:rFonts w:ascii="Calibri" w:hAnsi="Calibri"/>
                <w:b w:val="0"/>
                <w:i w:val="0"/>
                <w:color w:val="212121"/>
                <w:sz w:val="19"/>
              </w:rPr>
              <w:t>India's constipation burden sits within a global prevalence of roughly 9-20% (pooled ~11.7%), rising with urban, low-fibre, sedentary living.</w:t>
            </w:r>
          </w:p>
          <w:p>
            <w:pPr>
              <w:spacing w:after="40" w:line="252" w:lineRule="auto"/>
            </w:pPr>
            <w:hyperlink r:id="rId12">
              <w:r>
                <w:rPr>
                  <w:rFonts w:ascii="Calibri" w:hAnsi="Calibri" w:cs="Calibri"/>
                  <w:sz w:val="18"/>
                  <w:color w:val="1155CC"/>
                  <w:u w:val="single"/>
                </w:rPr>
                <w:t xml:space="preserve">World Gastroenterology Organisation - constipation guideline 2025</w:t>
              </w:r>
            </w:hyperlink>
          </w:p>
          <w:p>
            <w:pPr>
              <w:spacing w:before="60" w:after="40"/>
            </w:pPr>
            <w:r>
              <w:rPr>
                <w:rFonts w:ascii="Calibri" w:hAnsi="Calibri"/>
                <w:b w:val="0"/>
                <w:i w:val="0"/>
                <w:color w:val="5A5A5A"/>
                <w:sz w:val="18"/>
              </w:rPr>
              <w:t>#urban  #refineddiet  #maida  #sedentary  #lowfibre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Climate</w:t>
            </w:r>
          </w:p>
        </w:tc>
        <w:tc>
          <w:tcPr>
            <w:tcW w:type="dxa" w:w="2160"/>
            <w:vAlign w:val="top"/>
          </w:tcPr>
          <w:p>
            <w:pPr>
              <w:spacing w:after="40" w:before="0" w:line="259" w:lineRule="auto"/>
            </w:pPr>
            <w:r>
              <w:rPr>
                <w:rFonts w:ascii="Calibri" w:hAnsi="Calibri"/>
                <w:b w:val="0"/>
                <w:i w:val="0"/>
                <w:color w:val="212121"/>
                <w:sz w:val="19"/>
              </w:rPr>
              <w:t>Hot / arid regions &amp; summer</w:t>
            </w:r>
          </w:p>
        </w:tc>
        <w:tc>
          <w:tcPr>
            <w:tcW w:type="dxa" w:w="4276"/>
            <w:vAlign w:val="top"/>
          </w:tcPr>
          <w:p>
            <w:pPr>
              <w:spacing w:after="60" w:line="259" w:lineRule="auto"/>
            </w:pPr>
            <w:r>
              <w:rPr>
                <w:rFonts w:ascii="Calibri" w:hAnsi="Calibri"/>
                <w:b w:val="0"/>
                <w:i w:val="0"/>
                <w:color w:val="212121"/>
                <w:sz w:val="19"/>
              </w:rPr>
              <w:t>High ambient temperatures and heavy sweating across much of India increase insensible fluid loss; without compensatory drinking, stool water content falls and stools become hard and difficult to pass.</w:t>
            </w:r>
          </w:p>
          <w:p>
            <w:pPr>
              <w:spacing w:after="40" w:before="60" w:line="259" w:lineRule="auto"/>
            </w:pPr>
            <w:r>
              <w:rPr>
                <w:rFonts w:ascii="Calibri" w:hAnsi="Calibri"/>
                <w:b w:val="0"/>
                <w:i w:val="0"/>
                <w:color w:val="212121"/>
                <w:sz w:val="19"/>
              </w:rPr>
              <w:t>In a Mumbai study of chronic functional constipation, water intake was significantly associated with defecation frequency and stool form.</w:t>
            </w:r>
          </w:p>
          <w:p>
            <w:pPr>
              <w:spacing w:after="40" w:line="252" w:lineRule="auto"/>
            </w:pPr>
            <w:hyperlink r:id="rId13">
              <w:r>
                <w:rPr>
                  <w:rFonts w:ascii="Calibri" w:hAnsi="Calibri" w:cs="Calibri"/>
                  <w:sz w:val="18"/>
                  <w:color w:val="1155CC"/>
                  <w:u w:val="single"/>
                </w:rPr>
                <w:t xml:space="preserve">Curr Res Nutr Food Sci - water intake &amp; constipation, Mumbai</w:t>
              </w:r>
            </w:hyperlink>
          </w:p>
          <w:p>
            <w:pPr>
              <w:spacing w:before="60" w:after="40"/>
            </w:pPr>
            <w:r>
              <w:rPr>
                <w:rFonts w:ascii="Calibri" w:hAnsi="Calibri"/>
                <w:b w:val="0"/>
                <w:i w:val="0"/>
                <w:color w:val="5A5A5A"/>
                <w:sz w:val="18"/>
              </w:rPr>
              <w:t>#dehydration  #hotclimate  #fluidloss  #hardstool  #hydration</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w:t>
            </w:r>
          </w:p>
        </w:tc>
        <w:tc>
          <w:tcPr>
            <w:tcW w:type="dxa" w:w="2160"/>
            <w:vAlign w:val="top"/>
          </w:tcPr>
          <w:p>
            <w:pPr>
              <w:spacing w:after="40" w:before="0" w:line="259" w:lineRule="auto"/>
            </w:pPr>
            <w:r>
              <w:rPr>
                <w:rFonts w:ascii="Calibri" w:hAnsi="Calibri"/>
                <w:b w:val="0"/>
                <w:i w:val="0"/>
                <w:color w:val="212121"/>
                <w:sz w:val="19"/>
              </w:rPr>
              <w:t>Physically inactive, desk-bound &amp; bedbound adults</w:t>
            </w:r>
          </w:p>
        </w:tc>
        <w:tc>
          <w:tcPr>
            <w:tcW w:type="dxa" w:w="4276"/>
            <w:vAlign w:val="top"/>
          </w:tcPr>
          <w:p>
            <w:pPr>
              <w:spacing w:after="60" w:line="259" w:lineRule="auto"/>
            </w:pPr>
            <w:r>
              <w:rPr>
                <w:rFonts w:ascii="Calibri" w:hAnsi="Calibri"/>
                <w:b w:val="0"/>
                <w:i w:val="0"/>
                <w:color w:val="212121"/>
                <w:sz w:val="19"/>
              </w:rPr>
              <w:t>Low physical activity reduces colonic propulsive motility and the gastrocolic reflex; crucially, dietary improvement lowers constipation risk mainly in those who are also physically active.</w:t>
            </w:r>
          </w:p>
          <w:p>
            <w:pPr>
              <w:spacing w:after="40" w:before="60" w:line="259" w:lineRule="auto"/>
            </w:pPr>
            <w:r>
              <w:rPr>
                <w:rFonts w:ascii="Calibri" w:hAnsi="Calibri"/>
                <w:b w:val="0"/>
                <w:i w:val="0"/>
                <w:color w:val="212121"/>
                <w:sz w:val="19"/>
              </w:rPr>
              <w:t>In NHANES data, higher diet quality reduced constipation odds only among physically active people (OR ~0.96-0.98 per point), with no benefit in the inactive.</w:t>
            </w:r>
          </w:p>
          <w:p>
            <w:pPr>
              <w:spacing w:after="40" w:line="252" w:lineRule="auto"/>
            </w:pPr>
            <w:hyperlink r:id="rId14">
              <w:r>
                <w:rPr>
                  <w:rFonts w:ascii="Calibri" w:hAnsi="Calibri" w:cs="Calibri"/>
                  <w:sz w:val="18"/>
                  <w:color w:val="1155CC"/>
                  <w:u w:val="single"/>
                </w:rPr>
                <w:t xml:space="preserve">NHANES - physical activity modifies diet-constipation link</w:t>
              </w:r>
            </w:hyperlink>
          </w:p>
          <w:p>
            <w:pPr>
              <w:spacing w:before="60" w:after="40"/>
            </w:pPr>
            <w:r>
              <w:rPr>
                <w:rFonts w:ascii="Calibri" w:hAnsi="Calibri"/>
                <w:b w:val="0"/>
                <w:i w:val="0"/>
                <w:color w:val="5A5A5A"/>
                <w:sz w:val="18"/>
              </w:rPr>
              <w:t>#sedentary  #colonicmotility  #exercise  #gastrocolicreflex  #dietsynergy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Fluid intake</w:t>
            </w:r>
          </w:p>
        </w:tc>
        <w:tc>
          <w:tcPr>
            <w:tcW w:type="dxa" w:w="2160"/>
            <w:vAlign w:val="top"/>
          </w:tcPr>
          <w:p>
            <w:pPr>
              <w:spacing w:after="40" w:before="0" w:line="259" w:lineRule="auto"/>
            </w:pPr>
            <w:r>
              <w:rPr>
                <w:rFonts w:ascii="Calibri" w:hAnsi="Calibri"/>
                <w:b w:val="0"/>
                <w:i w:val="0"/>
                <w:color w:val="212121"/>
                <w:sz w:val="19"/>
              </w:rPr>
              <w:t>Low water drinkers, elderly, outdoor workers</w:t>
            </w:r>
          </w:p>
        </w:tc>
        <w:tc>
          <w:tcPr>
            <w:tcW w:type="dxa" w:w="4276"/>
            <w:vAlign w:val="top"/>
          </w:tcPr>
          <w:p>
            <w:pPr>
              <w:spacing w:after="60" w:line="259" w:lineRule="auto"/>
            </w:pPr>
            <w:r>
              <w:rPr>
                <w:rFonts w:ascii="Calibri" w:hAnsi="Calibri"/>
                <w:b w:val="0"/>
                <w:i w:val="0"/>
                <w:color w:val="212121"/>
                <w:sz w:val="19"/>
              </w:rPr>
              <w:t>Inadequate fluid intake, common in the elderly, outdoor labourers and in hot weather, lowers stool water content and hardens stool, worsening straining and incomplete evacuation.</w:t>
            </w:r>
          </w:p>
          <w:p>
            <w:pPr>
              <w:spacing w:after="40" w:before="60" w:line="259" w:lineRule="auto"/>
            </w:pPr>
            <w:r>
              <w:rPr>
                <w:rFonts w:ascii="Calibri" w:hAnsi="Calibri"/>
                <w:b w:val="0"/>
                <w:i w:val="0"/>
                <w:color w:val="212121"/>
                <w:sz w:val="19"/>
              </w:rPr>
              <w:t>Lesser fluid intake per day was a significant factor associated with constipation in an Indian community survey.</w:t>
            </w:r>
          </w:p>
          <w:p>
            <w:pPr>
              <w:spacing w:after="40" w:line="252" w:lineRule="auto"/>
            </w:pPr>
            <w:hyperlink r:id="rId9">
              <w:r>
                <w:rPr>
                  <w:rFonts w:ascii="Calibri" w:hAnsi="Calibri" w:cs="Calibri"/>
                  <w:sz w:val="18"/>
                  <w:color w:val="1155CC"/>
                  <w:u w:val="single"/>
                </w:rPr>
                <w:t xml:space="preserve">PubMed - low fluid intake &amp; constipation, India</w:t>
              </w:r>
            </w:hyperlink>
          </w:p>
          <w:p>
            <w:pPr>
              <w:spacing w:before="60" w:after="40"/>
            </w:pPr>
            <w:r>
              <w:rPr>
                <w:rFonts w:ascii="Calibri" w:hAnsi="Calibri"/>
                <w:b w:val="0"/>
                <w:i w:val="0"/>
                <w:color w:val="5A5A5A"/>
                <w:sz w:val="18"/>
              </w:rPr>
              <w:t>#dehydration  #lowwater  #hardstool  #elderly  #modifiable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Toilet behaviour / hygiene</w:t>
            </w:r>
          </w:p>
        </w:tc>
        <w:tc>
          <w:tcPr>
            <w:tcW w:type="dxa" w:w="2160"/>
            <w:vAlign w:val="top"/>
          </w:tcPr>
          <w:p>
            <w:pPr>
              <w:spacing w:after="40" w:before="0" w:line="259" w:lineRule="auto"/>
            </w:pPr>
            <w:r>
              <w:rPr>
                <w:rFonts w:ascii="Calibri" w:hAnsi="Calibri"/>
                <w:b w:val="0"/>
                <w:i w:val="0"/>
                <w:color w:val="212121"/>
                <w:sz w:val="19"/>
              </w:rPr>
              <w:t>Urge-suppressors, travellers, shift &amp; field workers, poor toilet access</w:t>
            </w:r>
          </w:p>
        </w:tc>
        <w:tc>
          <w:tcPr>
            <w:tcW w:type="dxa" w:w="4276"/>
            <w:vAlign w:val="top"/>
          </w:tcPr>
          <w:p>
            <w:pPr>
              <w:spacing w:after="60" w:line="259" w:lineRule="auto"/>
            </w:pPr>
            <w:r>
              <w:rPr>
                <w:rFonts w:ascii="Calibri" w:hAnsi="Calibri"/>
                <w:b w:val="0"/>
                <w:i w:val="0"/>
                <w:color w:val="212121"/>
                <w:sz w:val="19"/>
              </w:rPr>
              <w:t>Repeatedly ignoring the call to stool - because of work pressure, travel, shift patterns, or avoidance of unclean or shared/public toilets - blunts the rectal sampling reflex, allows rectal water reabsorption and entrenches constipation.</w:t>
            </w:r>
          </w:p>
          <w:p>
            <w:pPr>
              <w:spacing w:after="40" w:before="60" w:line="259" w:lineRule="auto"/>
            </w:pPr>
            <w:r>
              <w:rPr>
                <w:rFonts w:ascii="Calibri" w:hAnsi="Calibri"/>
                <w:b w:val="0"/>
                <w:i w:val="0"/>
                <w:color w:val="212121"/>
                <w:sz w:val="19"/>
              </w:rPr>
              <w:t>Habitual urge suppression and poor toilet access are recognised behavioural drivers of functional constipation, particularly relevant where sanitation is inadequate.</w:t>
            </w:r>
          </w:p>
          <w:p>
            <w:pPr>
              <w:spacing w:before="60" w:after="40"/>
            </w:pPr>
            <w:r>
              <w:rPr>
                <w:rFonts w:ascii="Calibri" w:hAnsi="Calibri"/>
                <w:b w:val="0"/>
                <w:i w:val="0"/>
                <w:color w:val="5A5A5A"/>
                <w:sz w:val="18"/>
              </w:rPr>
              <w:t>#urgesuppression  #toiletaccess  #sanitation  #shiftwork  #behavioural</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Low-fibre / refined-food eaters</w:t>
            </w:r>
          </w:p>
        </w:tc>
        <w:tc>
          <w:tcPr>
            <w:tcW w:type="dxa" w:w="4276"/>
            <w:vAlign w:val="top"/>
          </w:tcPr>
          <w:p>
            <w:pPr>
              <w:spacing w:after="60" w:line="259" w:lineRule="auto"/>
            </w:pPr>
            <w:r>
              <w:rPr>
                <w:rFonts w:ascii="Calibri" w:hAnsi="Calibri"/>
                <w:b w:val="0"/>
                <w:i w:val="0"/>
                <w:color w:val="212121"/>
                <w:sz w:val="19"/>
              </w:rPr>
              <w:t>Diets high in refined grains (maida, polished rice), fried and fast foods, with little whole grain, millet, pulse, fruit or vegetable, provide too little fibre to bulk and soften stool or speed transit.</w:t>
            </w:r>
          </w:p>
          <w:p>
            <w:pPr>
              <w:spacing w:after="40" w:before="60" w:line="259" w:lineRule="auto"/>
            </w:pPr>
            <w:r>
              <w:rPr>
                <w:rFonts w:ascii="Calibri" w:hAnsi="Calibri"/>
                <w:b w:val="0"/>
                <w:i w:val="0"/>
                <w:color w:val="212121"/>
                <w:sz w:val="19"/>
              </w:rPr>
              <w:t>Guidelines recommend 20-30 g of total dietary and/or supplementary fibre per day; intakes below this are strongly linked to constipation.</w:t>
            </w:r>
          </w:p>
          <w:p>
            <w:pPr>
              <w:spacing w:after="40" w:line="252" w:lineRule="auto"/>
            </w:pPr>
            <w:hyperlink r:id="rId12">
              <w:r>
                <w:rPr>
                  <w:rFonts w:ascii="Calibri" w:hAnsi="Calibri" w:cs="Calibri"/>
                  <w:sz w:val="18"/>
                  <w:color w:val="1155CC"/>
                  <w:u w:val="single"/>
                </w:rPr>
                <w:t xml:space="preserve">WGO guideline - dietary fibre target 20-30 g/day</w:t>
              </w:r>
            </w:hyperlink>
          </w:p>
          <w:p>
            <w:pPr>
              <w:spacing w:before="60" w:after="40"/>
            </w:pPr>
            <w:r>
              <w:rPr>
                <w:rFonts w:ascii="Calibri" w:hAnsi="Calibri"/>
                <w:b w:val="0"/>
                <w:i w:val="0"/>
                <w:color w:val="5A5A5A"/>
                <w:sz w:val="18"/>
              </w:rPr>
              <w:t>#lowfibre  #refinedgrains  #maida  #fastfood  #stoolbulk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Fruit / vegetable intake</w:t>
            </w:r>
          </w:p>
        </w:tc>
        <w:tc>
          <w:tcPr>
            <w:tcW w:type="dxa" w:w="2160"/>
            <w:vAlign w:val="top"/>
          </w:tcPr>
          <w:p>
            <w:pPr>
              <w:spacing w:after="40" w:before="0" w:line="259" w:lineRule="auto"/>
            </w:pPr>
            <w:r>
              <w:rPr>
                <w:rFonts w:ascii="Calibri" w:hAnsi="Calibri"/>
                <w:b w:val="0"/>
                <w:i w:val="0"/>
                <w:color w:val="212121"/>
                <w:sz w:val="19"/>
              </w:rPr>
              <w:t>Low fruit &amp; vegetable, high processed-food consumers</w:t>
            </w:r>
          </w:p>
        </w:tc>
        <w:tc>
          <w:tcPr>
            <w:tcW w:type="dxa" w:w="4276"/>
            <w:vAlign w:val="top"/>
          </w:tcPr>
          <w:p>
            <w:pPr>
              <w:spacing w:after="60" w:line="259" w:lineRule="auto"/>
            </w:pPr>
            <w:r>
              <w:rPr>
                <w:rFonts w:ascii="Calibri" w:hAnsi="Calibri"/>
                <w:b w:val="0"/>
                <w:i w:val="0"/>
                <w:color w:val="212121"/>
                <w:sz w:val="19"/>
              </w:rPr>
              <w:t>Inadequate fruit, vegetable and whole-grain intake deprives the colon of fermentable fibre and sorbitol/fructose that draw water into stool, while ultra-processed, low-residue foods slow transit.</w:t>
            </w:r>
          </w:p>
          <w:p>
            <w:pPr>
              <w:spacing w:after="40" w:before="60" w:line="259" w:lineRule="auto"/>
            </w:pPr>
            <w:r>
              <w:rPr>
                <w:rFonts w:ascii="Calibri" w:hAnsi="Calibri"/>
                <w:b w:val="0"/>
                <w:i w:val="0"/>
                <w:color w:val="212121"/>
                <w:sz w:val="19"/>
              </w:rPr>
              <w:t>Poor dietary habits were among the significant factors associated with constipation in the Indian community survey.</w:t>
            </w:r>
          </w:p>
          <w:p>
            <w:pPr>
              <w:spacing w:after="40" w:line="252" w:lineRule="auto"/>
            </w:pPr>
            <w:hyperlink r:id="rId9">
              <w:r>
                <w:rPr>
                  <w:rFonts w:ascii="Calibri" w:hAnsi="Calibri" w:cs="Calibri"/>
                  <w:sz w:val="18"/>
                  <w:color w:val="1155CC"/>
                  <w:u w:val="single"/>
                </w:rPr>
                <w:t xml:space="preserve">PubMed - poor dietary habits &amp; constipation, India</w:t>
              </w:r>
            </w:hyperlink>
          </w:p>
          <w:p>
            <w:pPr>
              <w:spacing w:before="60" w:after="40"/>
            </w:pPr>
            <w:r>
              <w:rPr>
                <w:rFonts w:ascii="Calibri" w:hAnsi="Calibri"/>
                <w:b w:val="0"/>
                <w:i w:val="0"/>
                <w:color w:val="5A5A5A"/>
                <w:sz w:val="18"/>
              </w:rPr>
              <w:t>#fruitveg  #processedfood  #lowresidue  #fermentablefibre  #diet</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with constipation / STC / dyssynergia</w:t>
            </w:r>
          </w:p>
        </w:tc>
        <w:tc>
          <w:tcPr>
            <w:tcW w:type="dxa" w:w="4276"/>
            <w:vAlign w:val="top"/>
          </w:tcPr>
          <w:p>
            <w:pPr>
              <w:spacing w:after="60" w:line="259" w:lineRule="auto"/>
            </w:pPr>
            <w:r>
              <w:rPr>
                <w:rFonts w:ascii="Calibri" w:hAnsi="Calibri"/>
                <w:b w:val="0"/>
                <w:i w:val="0"/>
                <w:color w:val="212121"/>
                <w:sz w:val="19"/>
              </w:rPr>
              <w:t>Slow-transit constipation, dyssynergic defecation and (rarely) Hirschsprung disease show familial clustering through shared genes affecting enteric neurons and pelvic-floor function as well as shared diet and habits.</w:t>
            </w:r>
          </w:p>
          <w:p>
            <w:pPr>
              <w:spacing w:after="40" w:before="60" w:line="259" w:lineRule="auto"/>
            </w:pPr>
            <w:r>
              <w:rPr>
                <w:rFonts w:ascii="Calibri" w:hAnsi="Calibri"/>
                <w:b w:val="0"/>
                <w:i w:val="0"/>
                <w:color w:val="212121"/>
                <w:sz w:val="19"/>
              </w:rPr>
              <w:t>Familial aggregation is recognised in chronic constipation, particularly in slow-transit constipation and Hirschsprung disease, indicating a heritable component alongside shared environment.</w:t>
            </w:r>
          </w:p>
          <w:p>
            <w:pPr>
              <w:spacing w:before="60" w:after="40"/>
            </w:pPr>
            <w:r>
              <w:rPr>
                <w:rFonts w:ascii="Calibri" w:hAnsi="Calibri"/>
                <w:b w:val="0"/>
                <w:i w:val="0"/>
                <w:color w:val="5A5A5A"/>
                <w:sz w:val="18"/>
              </w:rPr>
              <w:t>#familyhistory  #slowtransit  #hirschsprung  #entericnerves  #heritability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Hypothyroidism</w:t>
            </w:r>
          </w:p>
        </w:tc>
        <w:tc>
          <w:tcPr>
            <w:tcW w:type="dxa" w:w="2160"/>
            <w:vAlign w:val="top"/>
          </w:tcPr>
          <w:p>
            <w:pPr>
              <w:spacing w:after="40" w:before="0" w:line="259" w:lineRule="auto"/>
            </w:pPr>
            <w:r>
              <w:rPr>
                <w:rFonts w:ascii="Calibri" w:hAnsi="Calibri"/>
                <w:b w:val="0"/>
                <w:i w:val="0"/>
                <w:color w:val="212121"/>
                <w:sz w:val="19"/>
              </w:rPr>
              <w:t>Patients with hypothyroidism</w:t>
            </w:r>
          </w:p>
        </w:tc>
        <w:tc>
          <w:tcPr>
            <w:tcW w:type="dxa" w:w="4276"/>
            <w:vAlign w:val="top"/>
          </w:tcPr>
          <w:p>
            <w:pPr>
              <w:spacing w:after="60" w:line="259" w:lineRule="auto"/>
            </w:pPr>
            <w:r>
              <w:rPr>
                <w:rFonts w:ascii="Calibri" w:hAnsi="Calibri"/>
                <w:b w:val="0"/>
                <w:i w:val="0"/>
                <w:color w:val="212121"/>
                <w:sz w:val="19"/>
              </w:rPr>
              <w:t>Thyroid hormone deficiency slows gastrointestinal smooth-muscle activity and colonic transit, making constipation a classic and often early feature; it is readily reversible with thyroxine replacement.</w:t>
            </w:r>
          </w:p>
          <w:p>
            <w:pPr>
              <w:spacing w:after="40" w:before="60" w:line="259" w:lineRule="auto"/>
            </w:pPr>
            <w:r>
              <w:rPr>
                <w:rFonts w:ascii="Calibri" w:hAnsi="Calibri"/>
                <w:b w:val="0"/>
                <w:i w:val="0"/>
                <w:color w:val="212121"/>
                <w:sz w:val="19"/>
              </w:rPr>
              <w:t>Hypothyroidism is a well-recognised, reversible metabolic cause of secondary constipation via reduced gut motility, so TSH is checked in new or refractory cases.</w:t>
            </w:r>
          </w:p>
          <w:p>
            <w:pPr>
              <w:spacing w:after="40" w:line="252" w:lineRule="auto"/>
            </w:pPr>
            <w:hyperlink r:id="rId10">
              <w:r>
                <w:rPr>
                  <w:rFonts w:ascii="Calibri" w:hAnsi="Calibri" w:cs="Calibri"/>
                  <w:sz w:val="18"/>
                  <w:color w:val="1155CC"/>
                  <w:u w:val="single"/>
                </w:rPr>
                <w:t xml:space="preserve">StatPearls - hypothyroidism as a cause of constipation</w:t>
              </w:r>
            </w:hyperlink>
          </w:p>
          <w:p>
            <w:pPr>
              <w:spacing w:before="60" w:after="40"/>
            </w:pPr>
            <w:r>
              <w:rPr>
                <w:rFonts w:ascii="Calibri" w:hAnsi="Calibri"/>
                <w:b w:val="0"/>
                <w:i w:val="0"/>
                <w:color w:val="5A5A5A"/>
                <w:sz w:val="18"/>
              </w:rPr>
              <w:t>#hypothyroidism  #secondaryconstipation  #slowgut  #reversible  #tsh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Patients with diabetic autonomic neuropathy</w:t>
            </w:r>
          </w:p>
        </w:tc>
        <w:tc>
          <w:tcPr>
            <w:tcW w:type="dxa" w:w="4276"/>
            <w:vAlign w:val="top"/>
          </w:tcPr>
          <w:p>
            <w:pPr>
              <w:spacing w:after="60" w:line="259" w:lineRule="auto"/>
            </w:pPr>
            <w:r>
              <w:rPr>
                <w:rFonts w:ascii="Calibri" w:hAnsi="Calibri"/>
                <w:b w:val="0"/>
                <w:i w:val="0"/>
                <w:color w:val="212121"/>
                <w:sz w:val="19"/>
              </w:rPr>
              <w:t>Long-standing diabetes damages the enteric and autonomic nerves controlling the colon, slowing transit; constipation is the commonest GI symptom in diabetes and tracks with poor glycaemic control and other complications.</w:t>
            </w:r>
          </w:p>
          <w:p>
            <w:pPr>
              <w:spacing w:after="40" w:before="60" w:line="259" w:lineRule="auto"/>
            </w:pPr>
            <w:r>
              <w:rPr>
                <w:rFonts w:ascii="Calibri" w:hAnsi="Calibri"/>
                <w:b w:val="0"/>
                <w:i w:val="0"/>
                <w:color w:val="212121"/>
                <w:sz w:val="19"/>
              </w:rPr>
              <w:t>Constipation in diabetes is associated with both poor glycaemic control and the presence of diabetic complications, reflecting autonomic neuropathy.</w:t>
            </w:r>
          </w:p>
          <w:p>
            <w:pPr>
              <w:spacing w:after="40" w:line="252" w:lineRule="auto"/>
            </w:pPr>
            <w:hyperlink r:id="rId15">
              <w:r>
                <w:rPr>
                  <w:rFonts w:ascii="Calibri" w:hAnsi="Calibri" w:cs="Calibri"/>
                  <w:sz w:val="18"/>
                  <w:color w:val="1155CC"/>
                  <w:u w:val="single"/>
                </w:rPr>
                <w:t xml:space="preserve">Biomed &amp; Pharmacother - constipation, glycaemic control &amp; DM complications</w:t>
              </w:r>
            </w:hyperlink>
          </w:p>
          <w:p>
            <w:pPr>
              <w:spacing w:before="60" w:after="40"/>
            </w:pPr>
            <w:r>
              <w:rPr>
                <w:rFonts w:ascii="Calibri" w:hAnsi="Calibri"/>
                <w:b w:val="0"/>
                <w:i w:val="0"/>
                <w:color w:val="5A5A5A"/>
                <w:sz w:val="18"/>
              </w:rPr>
              <w:t>#diabetes  #autonomicneuropathy  #slowtransit  #glycaemiccontrol  #comorbidity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Parkinson's disease</w:t>
            </w:r>
          </w:p>
        </w:tc>
        <w:tc>
          <w:tcPr>
            <w:tcW w:type="dxa" w:w="2160"/>
            <w:vAlign w:val="top"/>
          </w:tcPr>
          <w:p>
            <w:pPr>
              <w:spacing w:after="40" w:before="0" w:line="259" w:lineRule="auto"/>
            </w:pPr>
            <w:r>
              <w:rPr>
                <w:rFonts w:ascii="Calibri" w:hAnsi="Calibri"/>
                <w:b w:val="0"/>
                <w:i w:val="0"/>
                <w:color w:val="212121"/>
                <w:sz w:val="19"/>
              </w:rPr>
              <w:t>Patients with Parkinson's disease</w:t>
            </w:r>
          </w:p>
        </w:tc>
        <w:tc>
          <w:tcPr>
            <w:tcW w:type="dxa" w:w="4276"/>
            <w:vAlign w:val="top"/>
          </w:tcPr>
          <w:p>
            <w:pPr>
              <w:spacing w:after="60" w:line="259" w:lineRule="auto"/>
            </w:pPr>
            <w:r>
              <w:rPr>
                <w:rFonts w:ascii="Calibri" w:hAnsi="Calibri"/>
                <w:b w:val="0"/>
                <w:i w:val="0"/>
                <w:color w:val="212121"/>
                <w:sz w:val="19"/>
              </w:rPr>
              <w:t>Neurodegeneration and autonomic dysfunction slow colonic transit and impair pelvic-floor coordination; constipation is frequently the earliest non-motor symptom, sometimes preceding tremor and rigidity by years.</w:t>
            </w:r>
          </w:p>
          <w:p>
            <w:pPr>
              <w:spacing w:after="40" w:before="60" w:line="259" w:lineRule="auto"/>
            </w:pPr>
            <w:r>
              <w:rPr>
                <w:rFonts w:ascii="Calibri" w:hAnsi="Calibri"/>
                <w:b w:val="0"/>
                <w:i w:val="0"/>
                <w:color w:val="212121"/>
                <w:sz w:val="19"/>
              </w:rPr>
              <w:t>In a Parkinson's cohort 61.4% had constipation, and in 24.5% of these it began before the motor diagnosis; autonomic dysfunction was the primary risk factor.</w:t>
            </w:r>
          </w:p>
          <w:p>
            <w:pPr>
              <w:spacing w:after="40" w:line="252" w:lineRule="auto"/>
            </w:pPr>
            <w:hyperlink r:id="rId16">
              <w:r>
                <w:rPr>
                  <w:rFonts w:ascii="Calibri" w:hAnsi="Calibri" w:cs="Calibri"/>
                  <w:sz w:val="18"/>
                  <w:color w:val="1155CC"/>
                  <w:u w:val="single"/>
                </w:rPr>
                <w:t xml:space="preserve">Scientific Reports - constipation in Parkinson's disease</w:t>
              </w:r>
            </w:hyperlink>
          </w:p>
          <w:p>
            <w:pPr>
              <w:spacing w:before="60" w:after="40"/>
            </w:pPr>
            <w:r>
              <w:rPr>
                <w:rFonts w:ascii="Calibri" w:hAnsi="Calibri"/>
                <w:b w:val="0"/>
                <w:i w:val="0"/>
                <w:color w:val="5A5A5A"/>
                <w:sz w:val="18"/>
              </w:rPr>
              <w:t>#parkinsons  #autonomic  #nonmotor  #prodromal  #neurogenic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Irritable bowel syndrome (IBS-C)</w:t>
            </w:r>
          </w:p>
        </w:tc>
        <w:tc>
          <w:tcPr>
            <w:tcW w:type="dxa" w:w="2160"/>
            <w:vAlign w:val="top"/>
          </w:tcPr>
          <w:p>
            <w:pPr>
              <w:spacing w:after="40" w:before="0" w:line="259" w:lineRule="auto"/>
            </w:pPr>
            <w:r>
              <w:rPr>
                <w:rFonts w:ascii="Calibri" w:hAnsi="Calibri"/>
                <w:b w:val="0"/>
                <w:i w:val="0"/>
                <w:color w:val="212121"/>
                <w:sz w:val="19"/>
              </w:rPr>
              <w:t>Patients with constipation-predominant IBS</w:t>
            </w:r>
          </w:p>
        </w:tc>
        <w:tc>
          <w:tcPr>
            <w:tcW w:type="dxa" w:w="4276"/>
            <w:vAlign w:val="top"/>
          </w:tcPr>
          <w:p>
            <w:pPr>
              <w:spacing w:after="60" w:line="259" w:lineRule="auto"/>
            </w:pPr>
            <w:r>
              <w:rPr>
                <w:rFonts w:ascii="Calibri" w:hAnsi="Calibri"/>
                <w:b w:val="0"/>
                <w:i w:val="0"/>
                <w:color w:val="212121"/>
                <w:sz w:val="19"/>
              </w:rPr>
              <w:t>IBS-C shares disordered gut-brain interaction, visceral hypersensitivity and dysmotility with functional constipation, but is distinguished by prominent abdominal pain related to defecation; the two overlap substantially in Indian clinics.</w:t>
            </w:r>
          </w:p>
          <w:p>
            <w:pPr>
              <w:spacing w:after="40" w:before="60" w:line="259" w:lineRule="auto"/>
            </w:pPr>
            <w:r>
              <w:rPr>
                <w:rFonts w:ascii="Calibri" w:hAnsi="Calibri"/>
                <w:b w:val="0"/>
                <w:i w:val="0"/>
                <w:color w:val="212121"/>
                <w:sz w:val="19"/>
              </w:rPr>
              <w:t>Constipation-predominant IBS is a major overlap of chronic constipation, differentiated by recurrent abdominal pain associated with altered bowel habit.</w:t>
            </w:r>
          </w:p>
          <w:p>
            <w:pPr>
              <w:spacing w:after="40" w:line="252" w:lineRule="auto"/>
            </w:pPr>
            <w:hyperlink r:id="rId12">
              <w:r>
                <w:rPr>
                  <w:rFonts w:ascii="Calibri" w:hAnsi="Calibri" w:cs="Calibri"/>
                  <w:sz w:val="18"/>
                  <w:color w:val="1155CC"/>
                  <w:u w:val="single"/>
                </w:rPr>
                <w:t xml:space="preserve">WGO guideline - IBS-C overlap with chronic constipation</w:t>
              </w:r>
            </w:hyperlink>
          </w:p>
          <w:p>
            <w:pPr>
              <w:spacing w:before="60" w:after="40"/>
            </w:pPr>
            <w:r>
              <w:rPr>
                <w:rFonts w:ascii="Calibri" w:hAnsi="Calibri"/>
                <w:b w:val="0"/>
                <w:i w:val="0"/>
                <w:color w:val="5A5A5A"/>
                <w:sz w:val="18"/>
              </w:rPr>
              <w:t>#ibsc  #gutbrain  #visceralpain  #overlap  #dysmotility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drug use</w:t>
            </w:r>
          </w:p>
        </w:tc>
        <w:tc>
          <w:tcPr>
            <w:tcW w:type="dxa" w:w="2160"/>
            <w:vAlign w:val="top"/>
          </w:tcPr>
          <w:p>
            <w:pPr>
              <w:spacing w:after="40" w:before="0" w:line="259" w:lineRule="auto"/>
            </w:pPr>
            <w:r>
              <w:rPr>
                <w:rFonts w:ascii="Calibri" w:hAnsi="Calibri"/>
                <w:b w:val="0"/>
                <w:i w:val="0"/>
                <w:color w:val="212121"/>
                <w:sz w:val="19"/>
              </w:rPr>
              <w:t>Patients on opioids, iron, anticholinergics or calcium-channel blockers</w:t>
            </w:r>
          </w:p>
        </w:tc>
        <w:tc>
          <w:tcPr>
            <w:tcW w:type="dxa" w:w="4276"/>
            <w:vAlign w:val="top"/>
          </w:tcPr>
          <w:p>
            <w:pPr>
              <w:spacing w:after="60" w:line="259" w:lineRule="auto"/>
            </w:pPr>
            <w:r>
              <w:rPr>
                <w:rFonts w:ascii="Calibri" w:hAnsi="Calibri"/>
                <w:b w:val="0"/>
                <w:i w:val="0"/>
                <w:color w:val="212121"/>
                <w:sz w:val="19"/>
              </w:rPr>
              <w:t>Opioids bind gut mu-receptors to slow transit and increase sphincter tone, while oral iron, anticholinergics, calcium-channel blockers, antacids and some antidepressants independently harden stool and slow the colon.</w:t>
            </w:r>
          </w:p>
          <w:p>
            <w:pPr>
              <w:spacing w:after="40" w:before="60" w:line="259" w:lineRule="auto"/>
            </w:pPr>
            <w:r>
              <w:rPr>
                <w:rFonts w:ascii="Calibri" w:hAnsi="Calibri"/>
                <w:b w:val="0"/>
                <w:i w:val="0"/>
                <w:color w:val="212121"/>
                <w:sz w:val="19"/>
              </w:rPr>
              <w:t>Opioid-induced constipation is very common, affecting a large proportion (commonly cited as 40-90%) of patients on chronic opioid therapy, and often persists without tolerance.</w:t>
            </w:r>
          </w:p>
          <w:p>
            <w:pPr>
              <w:spacing w:after="40" w:line="252" w:lineRule="auto"/>
            </w:pPr>
            <w:hyperlink r:id="rId17">
              <w:r>
                <w:rPr>
                  <w:rFonts w:ascii="Calibri" w:hAnsi="Calibri" w:cs="Calibri"/>
                  <w:sz w:val="18"/>
                  <w:color w:val="1155CC"/>
                  <w:u w:val="single"/>
                </w:rPr>
                <w:t xml:space="preserve">StatPearls - Opioid-Induced Constipation</w:t>
              </w:r>
            </w:hyperlink>
          </w:p>
          <w:p>
            <w:pPr>
              <w:spacing w:before="60" w:after="40"/>
            </w:pPr>
            <w:r>
              <w:rPr>
                <w:rFonts w:ascii="Calibri" w:hAnsi="Calibri"/>
                <w:b w:val="0"/>
                <w:i w:val="0"/>
                <w:color w:val="5A5A5A"/>
                <w:sz w:val="18"/>
              </w:rPr>
              <w:t>#opioids  #druginduced  #iron  #anticholinergics  #polypharmacy</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Physical activity stimulates colonic propulsive motility and the gastrocolic reflex; inactivity is a consistent risk factor, and in NHANES data better diet reduced constipation only among the physically active (OR ~0.96-0.98 per diet-quality point).</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Adequate dietary fibre (20-30 g/day) with whole grains, millets, pulses, fruit and vegetables bulks and softens stool and speeds transit; low-fibre refined diets are a leading, modifiable cause, and soluble fibre such as psyllium is the best-evidenced supplement.</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Circadian rhythm governs colonic motility, which peaks on waking; shift work, disturbed sleep and jet lag blunt the morning defecatory reflex and are associated with irregular bowel habit, though direct trial evidence is limited.</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Nicotine acutely stimulates colonic activity, so constipation is not caused by smoking; however, smoking cessation can transiently reduce bowel frequency and cause short-term constipation.</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Heavy alcohol use promotes dehydration and can disturb bowel habit, but evidence directly linking alcohol to chronic constipation is weak and inconsistent.</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Anxiety, depression and stress act through the gut-brain axis to alter colonic motility and heighten symptom perception, and are associated with functional constipation and with poorer response to treatment.</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Dehydration hardens stool and correlates with reduced defecation frequency (shown in an Indian study); increasing fluids helps chiefly when intake is inadequate, with less benefit once euhydrated.</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Caffeinated coffee stimulates colonic motor activity and can trigger the urge to defecate, offering modest benefit; excessive caffeine may, conversely, contribute to dehydration.</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Access to clean, private toilets supports responding promptly to the urge to defecate; poor or shared sanitation encourages urge suppression that entrenches constipation - a relevant factor in parts of India.</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Opioids, oral iron, anticholinergics and calcium-channel blockers, immobility, dehydration, travel, ignoring the urge to defecate, and intercurrent illness precipitate or aggravate constipation.</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 squatting posture, or using a footstool to raise the knees above the hips on a Western toilet, relaxes the puborectalis and straightens the anorectal angle, reducing straining and easing evacuation.</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Moderate-vigorous activity (min/week)</w:t>
            </w:r>
          </w:p>
        </w:tc>
        <w:tc>
          <w:tcPr>
            <w:tcW w:type="dxa" w:w="1655"/>
            <w:vAlign w:val="top"/>
          </w:tcPr>
          <w:p>
            <w:pPr>
              <w:spacing w:after="40" w:before="0" w:line="259" w:lineRule="auto"/>
            </w:pPr>
            <w:r>
              <w:rPr>
                <w:rFonts w:ascii="Calibri" w:hAnsi="Calibri"/>
                <w:b w:val="0"/>
                <w:i w:val="0"/>
                <w:color w:val="212121"/>
                <w:sz w:val="19"/>
              </w:rPr>
              <w:t>Adults with constipation, sedentary &amp; elderly</w:t>
            </w:r>
          </w:p>
        </w:tc>
        <w:tc>
          <w:tcPr>
            <w:tcW w:type="dxa" w:w="1512"/>
            <w:vAlign w:val="top"/>
          </w:tcPr>
          <w:p>
            <w:pPr>
              <w:spacing w:after="40" w:before="0" w:line="259" w:lineRule="auto"/>
            </w:pPr>
            <w:r>
              <w:rPr>
                <w:rFonts w:ascii="Calibri" w:hAnsi="Calibri"/>
                <w:b w:val="0"/>
                <w:i w:val="0"/>
                <w:color w:val="212121"/>
                <w:sz w:val="19"/>
              </w:rPr>
              <w:t>&gt;= 150 min/week</w:t>
            </w:r>
          </w:p>
        </w:tc>
        <w:tc>
          <w:tcPr>
            <w:tcW w:type="dxa" w:w="1512"/>
            <w:vAlign w:val="top"/>
          </w:tcPr>
          <w:p>
            <w:pPr>
              <w:spacing w:after="40" w:before="0" w:line="259" w:lineRule="auto"/>
            </w:pPr>
            <w:r>
              <w:rPr>
                <w:rFonts w:ascii="Calibri" w:hAnsi="Calibri"/>
                <w:b w:val="0"/>
                <w:i w:val="0"/>
                <w:color w:val="212121"/>
                <w:sz w:val="19"/>
              </w:rPr>
              <w:t>&lt; 60 min/week or largely sedentary</w:t>
            </w:r>
          </w:p>
        </w:tc>
        <w:tc>
          <w:tcPr>
            <w:tcW w:type="dxa" w:w="1468"/>
            <w:vAlign w:val="top"/>
          </w:tcPr>
          <w:p>
            <w:pPr>
              <w:spacing w:after="60" w:line="259" w:lineRule="auto"/>
            </w:pPr>
            <w:r>
              <w:rPr>
                <w:rFonts w:ascii="Calibri" w:hAnsi="Calibri"/>
                <w:b w:val="0"/>
                <w:i w:val="0"/>
                <w:color w:val="212121"/>
                <w:sz w:val="19"/>
              </w:rPr>
              <w:t>Diet reduces constipation mainly in the physically active (NHANES)</w:t>
            </w:r>
          </w:p>
          <w:p>
            <w:pPr>
              <w:spacing w:after="40" w:line="252" w:lineRule="auto"/>
            </w:pPr>
            <w:hyperlink r:id="rId14">
              <w:r>
                <w:rPr>
                  <w:rFonts w:ascii="Calibri" w:hAnsi="Calibri" w:cs="Calibri"/>
                  <w:sz w:val="18"/>
                  <w:color w:val="1155CC"/>
                  <w:u w:val="single"/>
                </w:rPr>
                <w:t xml:space="preserve">https://pmc.ncbi.nlm.nih.gov/articles/PMC11238098/</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Daily steps / mobility</w:t>
            </w:r>
          </w:p>
        </w:tc>
        <w:tc>
          <w:tcPr>
            <w:tcW w:type="dxa" w:w="1655"/>
            <w:vAlign w:val="top"/>
          </w:tcPr>
          <w:p>
            <w:pPr>
              <w:spacing w:after="40" w:before="0" w:line="259" w:lineRule="auto"/>
            </w:pPr>
            <w:r>
              <w:rPr>
                <w:rFonts w:ascii="Calibri" w:hAnsi="Calibri"/>
                <w:b w:val="0"/>
                <w:i w:val="0"/>
                <w:color w:val="212121"/>
                <w:sz w:val="19"/>
              </w:rPr>
              <w:t>Elderly, bedbound, desk workers</w:t>
            </w:r>
          </w:p>
        </w:tc>
        <w:tc>
          <w:tcPr>
            <w:tcW w:type="dxa" w:w="1512"/>
            <w:vAlign w:val="top"/>
          </w:tcPr>
          <w:p>
            <w:pPr>
              <w:spacing w:after="40" w:before="0" w:line="259" w:lineRule="auto"/>
            </w:pPr>
            <w:r>
              <w:rPr>
                <w:rFonts w:ascii="Calibri" w:hAnsi="Calibri"/>
                <w:b w:val="0"/>
                <w:i w:val="0"/>
                <w:color w:val="212121"/>
                <w:sz w:val="19"/>
              </w:rPr>
              <w:t>~7,000-10,000 steps/day or regular ambulation</w:t>
            </w:r>
          </w:p>
        </w:tc>
        <w:tc>
          <w:tcPr>
            <w:tcW w:type="dxa" w:w="1512"/>
            <w:vAlign w:val="top"/>
          </w:tcPr>
          <w:p>
            <w:pPr>
              <w:spacing w:after="40" w:before="0" w:line="259" w:lineRule="auto"/>
            </w:pPr>
            <w:r>
              <w:rPr>
                <w:rFonts w:ascii="Calibri" w:hAnsi="Calibri"/>
                <w:b w:val="0"/>
                <w:i w:val="0"/>
                <w:color w:val="212121"/>
                <w:sz w:val="19"/>
              </w:rPr>
              <w:t>Prolonged immobility / very low step count</w:t>
            </w:r>
          </w:p>
        </w:tc>
        <w:tc>
          <w:tcPr>
            <w:tcW w:type="dxa" w:w="1468"/>
            <w:vAlign w:val="top"/>
          </w:tcPr>
          <w:p>
            <w:pPr>
              <w:spacing w:after="40" w:before="0" w:line="259" w:lineRule="auto"/>
            </w:pPr>
            <w:r>
              <w:rPr>
                <w:rFonts w:ascii="Calibri" w:hAnsi="Calibri"/>
                <w:b w:val="0"/>
                <w:i w:val="0"/>
                <w:color w:val="212121"/>
                <w:sz w:val="19"/>
              </w:rPr>
              <w:t>Ambulation stimulates colonic motility and the gastrocolic reflex</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Dietary fibre (g/day)</w:t>
            </w:r>
          </w:p>
        </w:tc>
        <w:tc>
          <w:tcPr>
            <w:tcW w:type="dxa" w:w="1655"/>
            <w:vAlign w:val="top"/>
          </w:tcPr>
          <w:p>
            <w:pPr>
              <w:spacing w:after="40" w:before="0" w:line="259" w:lineRule="auto"/>
            </w:pPr>
            <w:r>
              <w:rPr>
                <w:rFonts w:ascii="Calibri" w:hAnsi="Calibri"/>
                <w:b w:val="0"/>
                <w:i w:val="0"/>
                <w:color w:val="212121"/>
                <w:sz w:val="19"/>
              </w:rPr>
              <w:t>All patients, low-fibre eaters</w:t>
            </w:r>
          </w:p>
        </w:tc>
        <w:tc>
          <w:tcPr>
            <w:tcW w:type="dxa" w:w="1512"/>
            <w:vAlign w:val="top"/>
          </w:tcPr>
          <w:p>
            <w:pPr>
              <w:spacing w:after="40" w:before="0" w:line="259" w:lineRule="auto"/>
            </w:pPr>
            <w:r>
              <w:rPr>
                <w:rFonts w:ascii="Calibri" w:hAnsi="Calibri"/>
                <w:b w:val="0"/>
                <w:i w:val="0"/>
                <w:color w:val="212121"/>
                <w:sz w:val="19"/>
              </w:rPr>
              <w:t>20-30 g/day (increase gradually)</w:t>
            </w:r>
          </w:p>
        </w:tc>
        <w:tc>
          <w:tcPr>
            <w:tcW w:type="dxa" w:w="1512"/>
            <w:vAlign w:val="top"/>
          </w:tcPr>
          <w:p>
            <w:pPr>
              <w:spacing w:after="40" w:before="0" w:line="259" w:lineRule="auto"/>
            </w:pPr>
            <w:r>
              <w:rPr>
                <w:rFonts w:ascii="Calibri" w:hAnsi="Calibri"/>
                <w:b w:val="0"/>
                <w:i w:val="0"/>
                <w:color w:val="212121"/>
                <w:sz w:val="19"/>
              </w:rPr>
              <w:t>&lt; 15 g/day</w:t>
            </w:r>
          </w:p>
        </w:tc>
        <w:tc>
          <w:tcPr>
            <w:tcW w:type="dxa" w:w="1468"/>
            <w:vAlign w:val="top"/>
          </w:tcPr>
          <w:p>
            <w:pPr>
              <w:spacing w:after="60" w:line="259" w:lineRule="auto"/>
            </w:pPr>
            <w:r>
              <w:rPr>
                <w:rFonts w:ascii="Calibri" w:hAnsi="Calibri"/>
                <w:b w:val="0"/>
                <w:i w:val="0"/>
                <w:color w:val="212121"/>
                <w:sz w:val="19"/>
              </w:rPr>
              <w:t>Bulks and softens stool; introduce slowly to limit bloating</w:t>
            </w:r>
          </w:p>
          <w:p>
            <w:pPr>
              <w:spacing w:after="40" w:line="252" w:lineRule="auto"/>
            </w:pPr>
            <w:hyperlink r:id="rId12">
              <w:r>
                <w:rPr>
                  <w:rFonts w:ascii="Calibri" w:hAnsi="Calibri" w:cs="Calibri"/>
                  <w:sz w:val="18"/>
                  <w:color w:val="1155CC"/>
                  <w:u w:val="single"/>
                </w:rPr>
                <w:t xml:space="preserve">https://www.worldgastroenterology.org/UserFiles/file/guidelines/constipation-english-2025.pdf</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Soluble fibre supplement (psyllium)</w:t>
            </w:r>
          </w:p>
        </w:tc>
        <w:tc>
          <w:tcPr>
            <w:tcW w:type="dxa" w:w="1655"/>
            <w:vAlign w:val="top"/>
          </w:tcPr>
          <w:p>
            <w:pPr>
              <w:spacing w:after="40" w:before="0" w:line="259" w:lineRule="auto"/>
            </w:pPr>
            <w:r>
              <w:rPr>
                <w:rFonts w:ascii="Calibri" w:hAnsi="Calibri"/>
                <w:b w:val="0"/>
                <w:i w:val="0"/>
                <w:color w:val="212121"/>
                <w:sz w:val="19"/>
              </w:rPr>
              <w:t>NTC, fibre non-responders to food alone</w:t>
            </w:r>
          </w:p>
        </w:tc>
        <w:tc>
          <w:tcPr>
            <w:tcW w:type="dxa" w:w="1512"/>
            <w:vAlign w:val="top"/>
          </w:tcPr>
          <w:p>
            <w:pPr>
              <w:spacing w:after="40" w:before="0" w:line="259" w:lineRule="auto"/>
            </w:pPr>
            <w:r>
              <w:rPr>
                <w:rFonts w:ascii="Calibri" w:hAnsi="Calibri"/>
                <w:b w:val="0"/>
                <w:i w:val="0"/>
                <w:color w:val="212121"/>
                <w:sz w:val="19"/>
              </w:rPr>
              <w:t>~10-20 g/day psyllium with fluids</w:t>
            </w:r>
          </w:p>
        </w:tc>
        <w:tc>
          <w:tcPr>
            <w:tcW w:type="dxa" w:w="1512"/>
            <w:vAlign w:val="top"/>
          </w:tcPr>
          <w:p>
            <w:pPr>
              <w:spacing w:after="40" w:before="0" w:line="259" w:lineRule="auto"/>
            </w:pPr>
            <w:r>
              <w:rPr>
                <w:rFonts w:ascii="Calibri" w:hAnsi="Calibri"/>
                <w:b w:val="0"/>
                <w:i w:val="0"/>
                <w:color w:val="212121"/>
                <w:sz w:val="19"/>
              </w:rPr>
              <w:t>No supplement despite low dietary fibre</w:t>
            </w:r>
          </w:p>
        </w:tc>
        <w:tc>
          <w:tcPr>
            <w:tcW w:type="dxa" w:w="1468"/>
            <w:vAlign w:val="top"/>
          </w:tcPr>
          <w:p>
            <w:pPr>
              <w:spacing w:after="40" w:before="0" w:line="259" w:lineRule="auto"/>
            </w:pPr>
            <w:r>
              <w:rPr>
                <w:rFonts w:ascii="Calibri" w:hAnsi="Calibri"/>
                <w:b w:val="0"/>
                <w:i w:val="0"/>
                <w:color w:val="212121"/>
                <w:sz w:val="19"/>
              </w:rPr>
              <w:t>Psyllium is the best-evidenced fibre for chronic constipation</w:t>
            </w:r>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Fluid intake (L/day)</w:t>
            </w:r>
          </w:p>
        </w:tc>
        <w:tc>
          <w:tcPr>
            <w:tcW w:type="dxa" w:w="1655"/>
            <w:vAlign w:val="top"/>
          </w:tcPr>
          <w:p>
            <w:pPr>
              <w:spacing w:after="40" w:before="0" w:line="259" w:lineRule="auto"/>
            </w:pPr>
            <w:r>
              <w:rPr>
                <w:rFonts w:ascii="Calibri" w:hAnsi="Calibri"/>
                <w:b w:val="0"/>
                <w:i w:val="0"/>
                <w:color w:val="212121"/>
                <w:sz w:val="19"/>
              </w:rPr>
              <w:t>Elderly, hot-climate &amp; outdoor workers</w:t>
            </w:r>
          </w:p>
        </w:tc>
        <w:tc>
          <w:tcPr>
            <w:tcW w:type="dxa" w:w="1512"/>
            <w:vAlign w:val="top"/>
          </w:tcPr>
          <w:p>
            <w:pPr>
              <w:spacing w:after="40" w:before="0" w:line="259" w:lineRule="auto"/>
            </w:pPr>
            <w:r>
              <w:rPr>
                <w:rFonts w:ascii="Calibri" w:hAnsi="Calibri"/>
                <w:b w:val="0"/>
                <w:i w:val="0"/>
                <w:color w:val="212121"/>
                <w:sz w:val="19"/>
              </w:rPr>
              <w:t>~1.5-2.0 L/day (more in heat/exertion)</w:t>
            </w:r>
          </w:p>
        </w:tc>
        <w:tc>
          <w:tcPr>
            <w:tcW w:type="dxa" w:w="1512"/>
            <w:vAlign w:val="top"/>
          </w:tcPr>
          <w:p>
            <w:pPr>
              <w:spacing w:after="40" w:before="0" w:line="259" w:lineRule="auto"/>
            </w:pPr>
            <w:r>
              <w:rPr>
                <w:rFonts w:ascii="Calibri" w:hAnsi="Calibri"/>
                <w:b w:val="0"/>
                <w:i w:val="0"/>
                <w:color w:val="212121"/>
                <w:sz w:val="19"/>
              </w:rPr>
              <w:t>&lt; 1.0 L/day or clinical dehydration</w:t>
            </w:r>
          </w:p>
        </w:tc>
        <w:tc>
          <w:tcPr>
            <w:tcW w:type="dxa" w:w="1468"/>
            <w:vAlign w:val="top"/>
          </w:tcPr>
          <w:p>
            <w:pPr>
              <w:spacing w:after="60" w:line="259" w:lineRule="auto"/>
            </w:pPr>
            <w:r>
              <w:rPr>
                <w:rFonts w:ascii="Calibri" w:hAnsi="Calibri"/>
                <w:b w:val="0"/>
                <w:i w:val="0"/>
                <w:color w:val="212121"/>
                <w:sz w:val="19"/>
              </w:rPr>
              <w:t>Low fluid intake linked to reduced defecation frequency in India</w:t>
            </w:r>
          </w:p>
          <w:p>
            <w:pPr>
              <w:spacing w:after="40" w:line="252" w:lineRule="auto"/>
            </w:pPr>
            <w:hyperlink r:id="rId13">
              <w:r>
                <w:rPr>
                  <w:rFonts w:ascii="Calibri" w:hAnsi="Calibri" w:cs="Calibri"/>
                  <w:sz w:val="18"/>
                  <w:color w:val="1155CC"/>
                  <w:u w:val="single"/>
                </w:rPr>
                <w:t xml:space="preserve">https://www.foodandnutritionjournal.org/volume4number2/water-intake-dietary-fibre-defecatory-habits-and-its-association-with-chronic-functional-constipation/</w:t>
              </w:r>
            </w:hyperlink>
          </w:p>
        </w:tc>
      </w:tr>
      <w:tr>
        <w:trPr>
          <w:cantSplit/>
        </w:trPr>
        <w:tc>
          <w:tcPr>
            <w:tcW w:type="dxa" w:w="1512"/>
            <w:vAlign w:val="center"/>
          </w:tcPr>
          <w:p>
            <w:pPr>
              <w:spacing w:after="40"/>
            </w:pPr>
            <w:r>
              <w:rPr>
                <w:rFonts w:ascii="Calibri" w:hAnsi="Calibri"/>
                <w:b w:val="0"/>
                <w:i w:val="0"/>
                <w:color w:val="212121"/>
                <w:sz w:val="19"/>
              </w:rPr>
              <w:t>Caffeine</w:t>
            </w:r>
          </w:p>
        </w:tc>
        <w:tc>
          <w:tcPr>
            <w:tcW w:type="dxa" w:w="1944"/>
            <w:vAlign w:val="top"/>
          </w:tcPr>
          <w:p>
            <w:pPr>
              <w:spacing w:after="40" w:before="0" w:line="259" w:lineRule="auto"/>
            </w:pPr>
            <w:r>
              <w:rPr>
                <w:rFonts w:ascii="Calibri" w:hAnsi="Calibri"/>
                <w:b w:val="0"/>
                <w:i w:val="0"/>
                <w:color w:val="212121"/>
                <w:sz w:val="19"/>
              </w:rPr>
              <w:t>Coffee intake (cups/day)</w:t>
            </w:r>
          </w:p>
        </w:tc>
        <w:tc>
          <w:tcPr>
            <w:tcW w:type="dxa" w:w="1655"/>
            <w:vAlign w:val="top"/>
          </w:tcPr>
          <w:p>
            <w:pPr>
              <w:spacing w:after="40" w:before="0" w:line="259" w:lineRule="auto"/>
            </w:pPr>
            <w:r>
              <w:rPr>
                <w:rFonts w:ascii="Calibri" w:hAnsi="Calibri"/>
                <w:b w:val="0"/>
                <w:i w:val="0"/>
                <w:color w:val="212121"/>
                <w:sz w:val="19"/>
              </w:rPr>
              <w:t>Adults with sluggish morning bowels</w:t>
            </w:r>
          </w:p>
        </w:tc>
        <w:tc>
          <w:tcPr>
            <w:tcW w:type="dxa" w:w="1512"/>
            <w:vAlign w:val="top"/>
          </w:tcPr>
          <w:p>
            <w:pPr>
              <w:spacing w:after="40" w:before="0" w:line="259" w:lineRule="auto"/>
            </w:pPr>
            <w:r>
              <w:rPr>
                <w:rFonts w:ascii="Calibri" w:hAnsi="Calibri"/>
                <w:b w:val="0"/>
                <w:i w:val="0"/>
                <w:color w:val="212121"/>
                <w:sz w:val="19"/>
              </w:rPr>
              <w:t>1-2 cups, e.g., after waking, if helpful</w:t>
            </w:r>
          </w:p>
        </w:tc>
        <w:tc>
          <w:tcPr>
            <w:tcW w:type="dxa" w:w="1512"/>
            <w:vAlign w:val="top"/>
          </w:tcPr>
          <w:p>
            <w:pPr>
              <w:spacing w:after="40" w:before="0" w:line="259" w:lineRule="auto"/>
            </w:pPr>
            <w:r>
              <w:rPr>
                <w:rFonts w:ascii="Calibri" w:hAnsi="Calibri"/>
                <w:b w:val="0"/>
                <w:i w:val="0"/>
                <w:color w:val="212121"/>
                <w:sz w:val="19"/>
              </w:rPr>
              <w:t>&gt; 4 cups/day (dehydration risk)</w:t>
            </w:r>
          </w:p>
        </w:tc>
        <w:tc>
          <w:tcPr>
            <w:tcW w:type="dxa" w:w="1468"/>
            <w:vAlign w:val="top"/>
          </w:tcPr>
          <w:p>
            <w:pPr>
              <w:spacing w:after="40" w:before="0" w:line="259" w:lineRule="auto"/>
            </w:pPr>
            <w:r>
              <w:rPr>
                <w:rFonts w:ascii="Calibri" w:hAnsi="Calibri"/>
                <w:b w:val="0"/>
                <w:i w:val="0"/>
                <w:color w:val="212121"/>
                <w:sz w:val="19"/>
              </w:rPr>
              <w:t>Caffeinated coffee can stimulate colonic motility and the urge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Stool frequency (spontaneous BM/week)</w:t>
            </w:r>
          </w:p>
        </w:tc>
        <w:tc>
          <w:tcPr>
            <w:tcW w:type="dxa" w:w="1655"/>
            <w:vAlign w:val="top"/>
          </w:tcPr>
          <w:p>
            <w:pPr>
              <w:spacing w:after="40" w:before="0" w:line="259" w:lineRule="auto"/>
            </w:pPr>
            <w:r>
              <w:rPr>
                <w:rFonts w:ascii="Calibri" w:hAnsi="Calibri"/>
                <w:b w:val="0"/>
                <w:i w:val="0"/>
                <w:color w:val="212121"/>
                <w:sz w:val="19"/>
              </w:rPr>
              <w:t>All patients</w:t>
            </w:r>
          </w:p>
        </w:tc>
        <w:tc>
          <w:tcPr>
            <w:tcW w:type="dxa" w:w="1512"/>
            <w:vAlign w:val="top"/>
          </w:tcPr>
          <w:p>
            <w:pPr>
              <w:spacing w:after="40" w:before="0" w:line="259" w:lineRule="auto"/>
            </w:pPr>
            <w:r>
              <w:rPr>
                <w:rFonts w:ascii="Calibri" w:hAnsi="Calibri"/>
                <w:b w:val="0"/>
                <w:i w:val="0"/>
                <w:color w:val="212121"/>
                <w:sz w:val="19"/>
              </w:rPr>
              <w:t>&gt;= 3 spontaneous BM/week</w:t>
            </w:r>
          </w:p>
        </w:tc>
        <w:tc>
          <w:tcPr>
            <w:tcW w:type="dxa" w:w="1512"/>
            <w:vAlign w:val="top"/>
          </w:tcPr>
          <w:p>
            <w:pPr>
              <w:spacing w:after="40" w:before="0" w:line="259" w:lineRule="auto"/>
            </w:pPr>
            <w:r>
              <w:rPr>
                <w:rFonts w:ascii="Calibri" w:hAnsi="Calibri"/>
                <w:b w:val="0"/>
                <w:i w:val="0"/>
                <w:color w:val="212121"/>
                <w:sz w:val="19"/>
              </w:rPr>
              <w:t>&lt; 3 spontaneous BM/week</w:t>
            </w:r>
          </w:p>
        </w:tc>
        <w:tc>
          <w:tcPr>
            <w:tcW w:type="dxa" w:w="1468"/>
            <w:vAlign w:val="top"/>
          </w:tcPr>
          <w:p>
            <w:pPr>
              <w:spacing w:after="40" w:before="0" w:line="259" w:lineRule="auto"/>
            </w:pPr>
            <w:r>
              <w:rPr>
                <w:rFonts w:ascii="Calibri" w:hAnsi="Calibri"/>
                <w:b w:val="0"/>
                <w:i w:val="0"/>
                <w:color w:val="212121"/>
                <w:sz w:val="19"/>
              </w:rPr>
              <w:t>Core Rome IV threshold for constipation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Stool form (Bristol Stool Scale)</w:t>
            </w:r>
          </w:p>
        </w:tc>
        <w:tc>
          <w:tcPr>
            <w:tcW w:type="dxa" w:w="1655"/>
            <w:vAlign w:val="top"/>
          </w:tcPr>
          <w:p>
            <w:pPr>
              <w:spacing w:after="40" w:before="0" w:line="259" w:lineRule="auto"/>
            </w:pPr>
            <w:r>
              <w:rPr>
                <w:rFonts w:ascii="Calibri" w:hAnsi="Calibri"/>
                <w:b w:val="0"/>
                <w:i w:val="0"/>
                <w:color w:val="212121"/>
                <w:sz w:val="19"/>
              </w:rPr>
              <w:t>All patients</w:t>
            </w:r>
          </w:p>
        </w:tc>
        <w:tc>
          <w:tcPr>
            <w:tcW w:type="dxa" w:w="1512"/>
            <w:vAlign w:val="top"/>
          </w:tcPr>
          <w:p>
            <w:pPr>
              <w:spacing w:after="40" w:before="0" w:line="259" w:lineRule="auto"/>
            </w:pPr>
            <w:r>
              <w:rPr>
                <w:rFonts w:ascii="Calibri" w:hAnsi="Calibri"/>
                <w:b w:val="0"/>
                <w:i w:val="0"/>
                <w:color w:val="212121"/>
                <w:sz w:val="19"/>
              </w:rPr>
              <w:t>Type 3-4 (soft, formed)</w:t>
            </w:r>
          </w:p>
        </w:tc>
        <w:tc>
          <w:tcPr>
            <w:tcW w:type="dxa" w:w="1512"/>
            <w:vAlign w:val="top"/>
          </w:tcPr>
          <w:p>
            <w:pPr>
              <w:spacing w:after="40" w:before="0" w:line="259" w:lineRule="auto"/>
            </w:pPr>
            <w:r>
              <w:rPr>
                <w:rFonts w:ascii="Calibri" w:hAnsi="Calibri"/>
                <w:b w:val="0"/>
                <w:i w:val="0"/>
                <w:color w:val="212121"/>
                <w:sz w:val="19"/>
              </w:rPr>
              <w:t>Type 1-2 (lumpy/hard)</w:t>
            </w:r>
          </w:p>
        </w:tc>
        <w:tc>
          <w:tcPr>
            <w:tcW w:type="dxa" w:w="1468"/>
            <w:vAlign w:val="top"/>
          </w:tcPr>
          <w:p>
            <w:pPr>
              <w:spacing w:after="40" w:before="0" w:line="259" w:lineRule="auto"/>
            </w:pPr>
            <w:r>
              <w:rPr>
                <w:rFonts w:ascii="Calibri" w:hAnsi="Calibri"/>
                <w:b w:val="0"/>
                <w:i w:val="0"/>
                <w:color w:val="212121"/>
                <w:sz w:val="19"/>
              </w:rPr>
              <w:t>Hard stool reflects slow transit and low stool water</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Straining &amp; time on toilet</w:t>
            </w:r>
          </w:p>
        </w:tc>
        <w:tc>
          <w:tcPr>
            <w:tcW w:type="dxa" w:w="1655"/>
            <w:vAlign w:val="top"/>
          </w:tcPr>
          <w:p>
            <w:pPr>
              <w:spacing w:after="40" w:before="0" w:line="259" w:lineRule="auto"/>
            </w:pPr>
            <w:r>
              <w:rPr>
                <w:rFonts w:ascii="Calibri" w:hAnsi="Calibri"/>
                <w:b w:val="0"/>
                <w:i w:val="0"/>
                <w:color w:val="212121"/>
                <w:sz w:val="19"/>
              </w:rPr>
              <w:t>Dyssynergic &amp; straining patients</w:t>
            </w:r>
          </w:p>
        </w:tc>
        <w:tc>
          <w:tcPr>
            <w:tcW w:type="dxa" w:w="1512"/>
            <w:vAlign w:val="top"/>
          </w:tcPr>
          <w:p>
            <w:pPr>
              <w:spacing w:after="40" w:before="0" w:line="259" w:lineRule="auto"/>
            </w:pPr>
            <w:r>
              <w:rPr>
                <w:rFonts w:ascii="Calibri" w:hAnsi="Calibri"/>
                <w:b w:val="0"/>
                <w:i w:val="0"/>
                <w:color w:val="212121"/>
                <w:sz w:val="19"/>
              </w:rPr>
              <w:t>Minimal strain; &lt; 5-10 min per attempt</w:t>
            </w:r>
          </w:p>
        </w:tc>
        <w:tc>
          <w:tcPr>
            <w:tcW w:type="dxa" w:w="1512"/>
            <w:vAlign w:val="top"/>
          </w:tcPr>
          <w:p>
            <w:pPr>
              <w:spacing w:after="40" w:before="0" w:line="259" w:lineRule="auto"/>
            </w:pPr>
            <w:r>
              <w:rPr>
                <w:rFonts w:ascii="Calibri" w:hAnsi="Calibri"/>
                <w:b w:val="0"/>
                <w:i w:val="0"/>
                <w:color w:val="212121"/>
                <w:sz w:val="19"/>
              </w:rPr>
              <w:t>Straining &gt; 25% of defecations; prolonged sitting</w:t>
            </w:r>
          </w:p>
        </w:tc>
        <w:tc>
          <w:tcPr>
            <w:tcW w:type="dxa" w:w="1468"/>
            <w:vAlign w:val="top"/>
          </w:tcPr>
          <w:p>
            <w:pPr>
              <w:spacing w:after="40" w:before="0" w:line="259" w:lineRule="auto"/>
            </w:pPr>
            <w:r>
              <w:rPr>
                <w:rFonts w:ascii="Calibri" w:hAnsi="Calibri"/>
                <w:b w:val="0"/>
                <w:i w:val="0"/>
                <w:color w:val="212121"/>
                <w:sz w:val="19"/>
              </w:rPr>
              <w:t>Excess straining risks haemorrhoids, fissures, prolapse</w:t>
            </w:r>
          </w:p>
        </w:tc>
      </w:tr>
      <w:tr>
        <w:trPr>
          <w:cantSplit/>
        </w:trPr>
        <w:tc>
          <w:tcPr>
            <w:tcW w:type="dxa" w:w="1512"/>
            <w:vAlign w:val="center"/>
          </w:tcPr>
          <w:p>
            <w:pPr>
              <w:spacing w:after="40"/>
            </w:pPr>
            <w:r>
              <w:rPr>
                <w:rFonts w:ascii="Calibri" w:hAnsi="Calibri"/>
                <w:b w:val="0"/>
                <w:i w:val="0"/>
                <w:color w:val="212121"/>
                <w:sz w:val="19"/>
              </w:rPr>
              <w:t>Posture</w:t>
            </w:r>
          </w:p>
        </w:tc>
        <w:tc>
          <w:tcPr>
            <w:tcW w:type="dxa" w:w="1944"/>
            <w:vAlign w:val="top"/>
          </w:tcPr>
          <w:p>
            <w:pPr>
              <w:spacing w:after="40" w:before="0" w:line="259" w:lineRule="auto"/>
            </w:pPr>
            <w:r>
              <w:rPr>
                <w:rFonts w:ascii="Calibri" w:hAnsi="Calibri"/>
                <w:b w:val="0"/>
                <w:i w:val="0"/>
                <w:color w:val="212121"/>
                <w:sz w:val="19"/>
              </w:rPr>
              <w:t>Defecation posture (footstool / squat)</w:t>
            </w:r>
          </w:p>
        </w:tc>
        <w:tc>
          <w:tcPr>
            <w:tcW w:type="dxa" w:w="1655"/>
            <w:vAlign w:val="top"/>
          </w:tcPr>
          <w:p>
            <w:pPr>
              <w:spacing w:after="40" w:before="0" w:line="259" w:lineRule="auto"/>
            </w:pPr>
            <w:r>
              <w:rPr>
                <w:rFonts w:ascii="Calibri" w:hAnsi="Calibri"/>
                <w:b w:val="0"/>
                <w:i w:val="0"/>
                <w:color w:val="212121"/>
                <w:sz w:val="19"/>
              </w:rPr>
              <w:t>Western-toilet users, dyssynergia</w:t>
            </w:r>
          </w:p>
        </w:tc>
        <w:tc>
          <w:tcPr>
            <w:tcW w:type="dxa" w:w="1512"/>
            <w:vAlign w:val="top"/>
          </w:tcPr>
          <w:p>
            <w:pPr>
              <w:spacing w:after="40" w:before="0" w:line="259" w:lineRule="auto"/>
            </w:pPr>
            <w:r>
              <w:rPr>
                <w:rFonts w:ascii="Calibri" w:hAnsi="Calibri"/>
                <w:b w:val="0"/>
                <w:i w:val="0"/>
                <w:color w:val="212121"/>
                <w:sz w:val="19"/>
              </w:rPr>
              <w:t>Squat or knees-above-hips using a footstool</w:t>
            </w:r>
          </w:p>
        </w:tc>
        <w:tc>
          <w:tcPr>
            <w:tcW w:type="dxa" w:w="1512"/>
            <w:vAlign w:val="top"/>
          </w:tcPr>
          <w:p>
            <w:pPr>
              <w:spacing w:after="40" w:before="0" w:line="259" w:lineRule="auto"/>
            </w:pPr>
            <w:r>
              <w:rPr>
                <w:rFonts w:ascii="Calibri" w:hAnsi="Calibri"/>
                <w:b w:val="0"/>
                <w:i w:val="0"/>
                <w:color w:val="212121"/>
                <w:sz w:val="19"/>
              </w:rPr>
              <w:t>Upright sitting with feet flat and heavy straining</w:t>
            </w:r>
          </w:p>
        </w:tc>
        <w:tc>
          <w:tcPr>
            <w:tcW w:type="dxa" w:w="1468"/>
            <w:vAlign w:val="top"/>
          </w:tcPr>
          <w:p>
            <w:pPr>
              <w:spacing w:after="40" w:before="0" w:line="259" w:lineRule="auto"/>
            </w:pPr>
            <w:r>
              <w:rPr>
                <w:rFonts w:ascii="Calibri" w:hAnsi="Calibri"/>
                <w:b w:val="0"/>
                <w:i w:val="0"/>
                <w:color w:val="212121"/>
                <w:sz w:val="19"/>
              </w:rPr>
              <w:t>Squat posture relaxes puborectalis and eases evacuation</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Anxiety / depression screen (GAD-7 / PHQ-9)</w:t>
            </w:r>
          </w:p>
        </w:tc>
        <w:tc>
          <w:tcPr>
            <w:tcW w:type="dxa" w:w="1655"/>
            <w:vAlign w:val="top"/>
          </w:tcPr>
          <w:p>
            <w:pPr>
              <w:spacing w:after="40" w:before="0" w:line="259" w:lineRule="auto"/>
            </w:pPr>
            <w:r>
              <w:rPr>
                <w:rFonts w:ascii="Calibri" w:hAnsi="Calibri"/>
                <w:b w:val="0"/>
                <w:i w:val="0"/>
                <w:color w:val="212121"/>
                <w:sz w:val="19"/>
              </w:rPr>
              <w:t>Refractory &amp; IBS-C overlap patients</w:t>
            </w:r>
          </w:p>
        </w:tc>
        <w:tc>
          <w:tcPr>
            <w:tcW w:type="dxa" w:w="1512"/>
            <w:vAlign w:val="top"/>
          </w:tcPr>
          <w:p>
            <w:pPr>
              <w:spacing w:after="40" w:before="0" w:line="259" w:lineRule="auto"/>
            </w:pPr>
            <w:r>
              <w:rPr>
                <w:rFonts w:ascii="Calibri" w:hAnsi="Calibri"/>
                <w:b w:val="0"/>
                <w:i w:val="0"/>
                <w:color w:val="212121"/>
                <w:sz w:val="19"/>
              </w:rPr>
              <w:t>GAD-7 &lt; 5 and PHQ-9 &lt; 5</w:t>
            </w:r>
          </w:p>
        </w:tc>
        <w:tc>
          <w:tcPr>
            <w:tcW w:type="dxa" w:w="1512"/>
            <w:vAlign w:val="top"/>
          </w:tcPr>
          <w:p>
            <w:pPr>
              <w:spacing w:after="40" w:before="0" w:line="259" w:lineRule="auto"/>
            </w:pPr>
            <w:r>
              <w:rPr>
                <w:rFonts w:ascii="Calibri" w:hAnsi="Calibri"/>
                <w:b w:val="0"/>
                <w:i w:val="0"/>
                <w:color w:val="212121"/>
                <w:sz w:val="19"/>
              </w:rPr>
              <w:t>GAD-7 &gt;= 10 or PHQ-9 &gt;= 10</w:t>
            </w:r>
          </w:p>
        </w:tc>
        <w:tc>
          <w:tcPr>
            <w:tcW w:type="dxa" w:w="1468"/>
            <w:vAlign w:val="top"/>
          </w:tcPr>
          <w:p>
            <w:pPr>
              <w:spacing w:after="40" w:before="0" w:line="259" w:lineRule="auto"/>
            </w:pPr>
            <w:r>
              <w:rPr>
                <w:rFonts w:ascii="Calibri" w:hAnsi="Calibri"/>
                <w:b w:val="0"/>
                <w:i w:val="0"/>
                <w:color w:val="212121"/>
                <w:sz w:val="19"/>
              </w:rPr>
              <w:t>Psychological distress alters motility and worsens symptoms</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Biochemistry</w:t>
            </w:r>
          </w:p>
        </w:tc>
        <w:tc>
          <w:tcPr>
            <w:tcW w:type="dxa" w:w="1036"/>
            <w:vAlign w:val="top"/>
          </w:tcPr>
          <w:p>
            <w:pPr>
              <w:spacing w:after="40" w:before="0" w:line="259" w:lineRule="auto"/>
            </w:pPr>
            <w:r>
              <w:rPr>
                <w:rFonts w:ascii="Calibri" w:hAnsi="Calibri"/>
                <w:b w:val="0"/>
                <w:i w:val="0"/>
                <w:color w:val="212121"/>
                <w:sz w:val="16"/>
              </w:rPr>
              <w:t>Thyroid-stimulating hormone (TSH)</w:t>
            </w:r>
          </w:p>
        </w:tc>
        <w:tc>
          <w:tcPr>
            <w:tcW w:type="dxa" w:w="892"/>
            <w:vAlign w:val="top"/>
          </w:tcPr>
          <w:p>
            <w:pPr>
              <w:spacing w:after="40" w:before="0" w:line="259" w:lineRule="auto"/>
            </w:pPr>
            <w:r>
              <w:rPr>
                <w:rFonts w:ascii="Calibri" w:hAnsi="Calibri"/>
                <w:b w:val="0"/>
                <w:i w:val="0"/>
                <w:color w:val="212121"/>
                <w:sz w:val="16"/>
              </w:rPr>
              <w:t>Thyroid function test</w:t>
            </w:r>
          </w:p>
        </w:tc>
        <w:tc>
          <w:tcPr>
            <w:tcW w:type="dxa" w:w="950"/>
            <w:vAlign w:val="top"/>
          </w:tcPr>
          <w:p>
            <w:pPr>
              <w:spacing w:after="40" w:before="0" w:line="259" w:lineRule="auto"/>
            </w:pPr>
            <w:r>
              <w:rPr>
                <w:rFonts w:ascii="Calibri" w:hAnsi="Calibri"/>
                <w:b w:val="0"/>
                <w:i w:val="0"/>
                <w:color w:val="212121"/>
                <w:sz w:val="16"/>
              </w:rPr>
              <w:t>~0.4-4.0 mIU/L</w:t>
            </w:r>
          </w:p>
        </w:tc>
        <w:tc>
          <w:tcPr>
            <w:tcW w:type="dxa" w:w="950"/>
            <w:vAlign w:val="top"/>
          </w:tcPr>
          <w:p>
            <w:pPr>
              <w:spacing w:after="40" w:before="0" w:line="259" w:lineRule="auto"/>
            </w:pPr>
            <w:r>
              <w:rPr>
                <w:rFonts w:ascii="Calibri" w:hAnsi="Calibri"/>
                <w:b w:val="0"/>
                <w:i w:val="0"/>
                <w:color w:val="212121"/>
                <w:sz w:val="16"/>
              </w:rPr>
              <w:t>Elevated TSH (hypothyroidism)</w:t>
            </w:r>
          </w:p>
        </w:tc>
        <w:tc>
          <w:tcPr>
            <w:tcW w:type="dxa" w:w="1036"/>
            <w:vAlign w:val="top"/>
          </w:tcPr>
          <w:p>
            <w:pPr>
              <w:spacing w:after="40" w:before="0" w:line="259" w:lineRule="auto"/>
            </w:pPr>
            <w:r>
              <w:rPr>
                <w:rFonts w:ascii="Calibri" w:hAnsi="Calibri"/>
                <w:b w:val="0"/>
                <w:i w:val="0"/>
                <w:color w:val="212121"/>
                <w:sz w:val="16"/>
              </w:rPr>
              <w:t>Hypothyroidism is a reversible metabolic cause of constipation</w:t>
            </w:r>
          </w:p>
        </w:tc>
        <w:tc>
          <w:tcPr>
            <w:tcW w:type="dxa" w:w="1036"/>
            <w:vAlign w:val="top"/>
          </w:tcPr>
          <w:p>
            <w:pPr>
              <w:spacing w:after="40" w:before="0" w:line="259" w:lineRule="auto"/>
            </w:pPr>
            <w:r>
              <w:rPr>
                <w:rFonts w:ascii="Calibri" w:hAnsi="Calibri"/>
                <w:b w:val="0"/>
                <w:i w:val="0"/>
                <w:color w:val="212121"/>
                <w:sz w:val="16"/>
              </w:rPr>
              <w:t>New, refractory or older patients; women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 (secondary cause)</w:t>
            </w:r>
          </w:p>
        </w:tc>
        <w:tc>
          <w:tcPr>
            <w:tcW w:type="dxa" w:w="720"/>
            <w:vAlign w:val="top"/>
          </w:tcPr>
          <w:p>
            <w:pPr>
              <w:spacing w:after="40" w:before="0" w:line="259" w:lineRule="auto"/>
            </w:pPr>
            <w:r>
              <w:rPr>
                <w:rFonts w:ascii="Calibri" w:hAnsi="Calibri"/>
                <w:b w:val="0"/>
                <w:i w:val="0"/>
                <w:color w:val="212121"/>
                <w:sz w:val="16"/>
              </w:rPr>
              <w:t>Correcting thyroxine often resolves symptoms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Biochemistry</w:t>
            </w:r>
          </w:p>
        </w:tc>
        <w:tc>
          <w:tcPr>
            <w:tcW w:type="dxa" w:w="1036"/>
            <w:vAlign w:val="top"/>
          </w:tcPr>
          <w:p>
            <w:pPr>
              <w:spacing w:after="40" w:before="0" w:line="259" w:lineRule="auto"/>
            </w:pPr>
            <w:r>
              <w:rPr>
                <w:rFonts w:ascii="Calibri" w:hAnsi="Calibri"/>
                <w:b w:val="0"/>
                <w:i w:val="0"/>
                <w:color w:val="212121"/>
                <w:sz w:val="16"/>
              </w:rPr>
              <w:t>Serum calcium &amp; potassium</w:t>
            </w:r>
          </w:p>
        </w:tc>
        <w:tc>
          <w:tcPr>
            <w:tcW w:type="dxa" w:w="892"/>
            <w:vAlign w:val="top"/>
          </w:tcPr>
          <w:p>
            <w:pPr>
              <w:spacing w:after="40" w:before="0" w:line="259" w:lineRule="auto"/>
            </w:pPr>
            <w:r>
              <w:rPr>
                <w:rFonts w:ascii="Calibri" w:hAnsi="Calibri"/>
                <w:b w:val="0"/>
                <w:i w:val="0"/>
                <w:color w:val="212121"/>
                <w:sz w:val="16"/>
              </w:rPr>
              <w:t>Electrolyte panel</w:t>
            </w:r>
          </w:p>
        </w:tc>
        <w:tc>
          <w:tcPr>
            <w:tcW w:type="dxa" w:w="950"/>
            <w:vAlign w:val="top"/>
          </w:tcPr>
          <w:p>
            <w:pPr>
              <w:spacing w:after="40" w:before="0" w:line="259" w:lineRule="auto"/>
            </w:pPr>
            <w:r>
              <w:rPr>
                <w:rFonts w:ascii="Calibri" w:hAnsi="Calibri"/>
                <w:b w:val="0"/>
                <w:i w:val="0"/>
                <w:color w:val="212121"/>
                <w:sz w:val="16"/>
              </w:rPr>
              <w:t>Ca 8.5-10.5 mg/dL; K 3.5-5.0 mmol/L</w:t>
            </w:r>
          </w:p>
        </w:tc>
        <w:tc>
          <w:tcPr>
            <w:tcW w:type="dxa" w:w="950"/>
            <w:vAlign w:val="top"/>
          </w:tcPr>
          <w:p>
            <w:pPr>
              <w:spacing w:after="40" w:before="0" w:line="259" w:lineRule="auto"/>
            </w:pPr>
            <w:r>
              <w:rPr>
                <w:rFonts w:ascii="Calibri" w:hAnsi="Calibri"/>
                <w:b w:val="0"/>
                <w:i w:val="0"/>
                <w:color w:val="212121"/>
                <w:sz w:val="16"/>
              </w:rPr>
              <w:t>Hypercalcaemia or hypokalaemia</w:t>
            </w:r>
          </w:p>
        </w:tc>
        <w:tc>
          <w:tcPr>
            <w:tcW w:type="dxa" w:w="1036"/>
            <w:vAlign w:val="top"/>
          </w:tcPr>
          <w:p>
            <w:pPr>
              <w:spacing w:after="40" w:before="0" w:line="259" w:lineRule="auto"/>
            </w:pPr>
            <w:r>
              <w:rPr>
                <w:rFonts w:ascii="Calibri" w:hAnsi="Calibri"/>
                <w:b w:val="0"/>
                <w:i w:val="0"/>
                <w:color w:val="212121"/>
                <w:sz w:val="16"/>
              </w:rPr>
              <w:t>Both slow colonic smooth muscle and cause constipation</w:t>
            </w:r>
          </w:p>
        </w:tc>
        <w:tc>
          <w:tcPr>
            <w:tcW w:type="dxa" w:w="1036"/>
            <w:vAlign w:val="top"/>
          </w:tcPr>
          <w:p>
            <w:pPr>
              <w:spacing w:after="40" w:before="0" w:line="259" w:lineRule="auto"/>
            </w:pPr>
            <w:r>
              <w:rPr>
                <w:rFonts w:ascii="Calibri" w:hAnsi="Calibri"/>
                <w:b w:val="0"/>
                <w:i w:val="0"/>
                <w:color w:val="212121"/>
                <w:sz w:val="16"/>
              </w:rPr>
              <w:t>Elderly, refractory cases, on diuretics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 (secondary cause)</w:t>
            </w:r>
          </w:p>
        </w:tc>
        <w:tc>
          <w:tcPr>
            <w:tcW w:type="dxa" w:w="720"/>
            <w:vAlign w:val="top"/>
          </w:tcPr>
          <w:p>
            <w:pPr>
              <w:spacing w:after="40" w:before="0" w:line="259" w:lineRule="auto"/>
            </w:pPr>
            <w:r>
              <w:rPr>
                <w:rFonts w:ascii="Calibri" w:hAnsi="Calibri"/>
                <w:b w:val="0"/>
                <w:i w:val="0"/>
                <w:color w:val="212121"/>
                <w:sz w:val="16"/>
              </w:rPr>
              <w:t>Correct the metabolic abnormality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Biochemistry</w:t>
            </w:r>
          </w:p>
        </w:tc>
        <w:tc>
          <w:tcPr>
            <w:tcW w:type="dxa" w:w="1036"/>
            <w:vAlign w:val="top"/>
          </w:tcPr>
          <w:p>
            <w:pPr>
              <w:spacing w:after="40" w:before="0" w:line="259" w:lineRule="auto"/>
            </w:pPr>
            <w:r>
              <w:rPr>
                <w:rFonts w:ascii="Calibri" w:hAnsi="Calibri"/>
                <w:b w:val="0"/>
                <w:i w:val="0"/>
                <w:color w:val="212121"/>
                <w:sz w:val="16"/>
              </w:rPr>
              <w:t>Fasting glucose / HbA1c</w:t>
            </w:r>
          </w:p>
        </w:tc>
        <w:tc>
          <w:tcPr>
            <w:tcW w:type="dxa" w:w="892"/>
            <w:vAlign w:val="top"/>
          </w:tcPr>
          <w:p>
            <w:pPr>
              <w:spacing w:after="40" w:before="0" w:line="259" w:lineRule="auto"/>
            </w:pPr>
            <w:r>
              <w:rPr>
                <w:rFonts w:ascii="Calibri" w:hAnsi="Calibri"/>
                <w:b w:val="0"/>
                <w:i w:val="0"/>
                <w:color w:val="212121"/>
                <w:sz w:val="16"/>
              </w:rPr>
              <w:t>Glycaemic assessment</w:t>
            </w:r>
          </w:p>
        </w:tc>
        <w:tc>
          <w:tcPr>
            <w:tcW w:type="dxa" w:w="950"/>
            <w:vAlign w:val="top"/>
          </w:tcPr>
          <w:p>
            <w:pPr>
              <w:spacing w:after="40" w:before="0" w:line="259" w:lineRule="auto"/>
            </w:pPr>
            <w:r>
              <w:rPr>
                <w:rFonts w:ascii="Calibri" w:hAnsi="Calibri"/>
                <w:b w:val="0"/>
                <w:i w:val="0"/>
                <w:color w:val="212121"/>
                <w:sz w:val="16"/>
              </w:rPr>
              <w:t>HbA1c &lt; 5.7%</w:t>
            </w:r>
          </w:p>
        </w:tc>
        <w:tc>
          <w:tcPr>
            <w:tcW w:type="dxa" w:w="950"/>
            <w:vAlign w:val="top"/>
          </w:tcPr>
          <w:p>
            <w:pPr>
              <w:spacing w:after="40" w:before="0" w:line="259" w:lineRule="auto"/>
            </w:pPr>
            <w:r>
              <w:rPr>
                <w:rFonts w:ascii="Calibri" w:hAnsi="Calibri"/>
                <w:b w:val="0"/>
                <w:i w:val="0"/>
                <w:color w:val="212121"/>
                <w:sz w:val="16"/>
              </w:rPr>
              <w:t>HbA1c &gt;= 6.5% (diabetes)</w:t>
            </w:r>
          </w:p>
        </w:tc>
        <w:tc>
          <w:tcPr>
            <w:tcW w:type="dxa" w:w="1036"/>
            <w:vAlign w:val="top"/>
          </w:tcPr>
          <w:p>
            <w:pPr>
              <w:spacing w:after="40" w:before="0" w:line="259" w:lineRule="auto"/>
            </w:pPr>
            <w:r>
              <w:rPr>
                <w:rFonts w:ascii="Calibri" w:hAnsi="Calibri"/>
                <w:b w:val="0"/>
                <w:i w:val="0"/>
                <w:color w:val="212121"/>
                <w:sz w:val="16"/>
              </w:rPr>
              <w:t>Detects diabetes; autonomic neuropathy slows transit</w:t>
            </w:r>
          </w:p>
        </w:tc>
        <w:tc>
          <w:tcPr>
            <w:tcW w:type="dxa" w:w="1036"/>
            <w:vAlign w:val="top"/>
          </w:tcPr>
          <w:p>
            <w:pPr>
              <w:spacing w:after="40" w:before="0" w:line="259" w:lineRule="auto"/>
            </w:pPr>
            <w:r>
              <w:rPr>
                <w:rFonts w:ascii="Calibri" w:hAnsi="Calibri"/>
                <w:b w:val="0"/>
                <w:i w:val="0"/>
                <w:color w:val="212121"/>
                <w:sz w:val="16"/>
              </w:rPr>
              <w:t>Adults with risk factors, neuropathy</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Screening (secondary cause)</w:t>
            </w:r>
          </w:p>
        </w:tc>
        <w:tc>
          <w:tcPr>
            <w:tcW w:type="dxa" w:w="720"/>
            <w:vAlign w:val="top"/>
          </w:tcPr>
          <w:p>
            <w:pPr>
              <w:spacing w:after="40" w:before="0" w:line="259" w:lineRule="auto"/>
            </w:pPr>
            <w:r>
              <w:rPr>
                <w:rFonts w:ascii="Calibri" w:hAnsi="Calibri"/>
                <w:b w:val="0"/>
                <w:i w:val="0"/>
                <w:color w:val="212121"/>
                <w:sz w:val="16"/>
              </w:rPr>
              <w:t>Constipation tracks with poor glycaemic control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Complete blood count</w:t>
            </w:r>
          </w:p>
        </w:tc>
        <w:tc>
          <w:tcPr>
            <w:tcW w:type="dxa" w:w="892"/>
            <w:vAlign w:val="top"/>
          </w:tcPr>
          <w:p>
            <w:pPr>
              <w:spacing w:after="40" w:before="0" w:line="259" w:lineRule="auto"/>
            </w:pPr>
            <w:r>
              <w:rPr>
                <w:rFonts w:ascii="Calibri" w:hAnsi="Calibri"/>
                <w:b w:val="0"/>
                <w:i w:val="0"/>
                <w:color w:val="212121"/>
                <w:sz w:val="16"/>
              </w:rPr>
              <w:t>Full blood count</w:t>
            </w:r>
          </w:p>
        </w:tc>
        <w:tc>
          <w:tcPr>
            <w:tcW w:type="dxa" w:w="950"/>
            <w:vAlign w:val="top"/>
          </w:tcPr>
          <w:p>
            <w:pPr>
              <w:spacing w:after="40" w:before="0" w:line="259" w:lineRule="auto"/>
            </w:pPr>
            <w:r>
              <w:rPr>
                <w:rFonts w:ascii="Calibri" w:hAnsi="Calibri"/>
                <w:b w:val="0"/>
                <w:i w:val="0"/>
                <w:color w:val="212121"/>
                <w:sz w:val="16"/>
              </w:rPr>
              <w:t>Normal Hb &amp; indices</w:t>
            </w:r>
          </w:p>
        </w:tc>
        <w:tc>
          <w:tcPr>
            <w:tcW w:type="dxa" w:w="950"/>
            <w:vAlign w:val="top"/>
          </w:tcPr>
          <w:p>
            <w:pPr>
              <w:spacing w:after="40" w:before="0" w:line="259" w:lineRule="auto"/>
            </w:pPr>
            <w:r>
              <w:rPr>
                <w:rFonts w:ascii="Calibri" w:hAnsi="Calibri"/>
                <w:b w:val="0"/>
                <w:i w:val="0"/>
                <w:color w:val="212121"/>
                <w:sz w:val="16"/>
              </w:rPr>
              <w:t>Iron-deficiency anaemia</w:t>
            </w:r>
          </w:p>
        </w:tc>
        <w:tc>
          <w:tcPr>
            <w:tcW w:type="dxa" w:w="1036"/>
            <w:vAlign w:val="top"/>
          </w:tcPr>
          <w:p>
            <w:pPr>
              <w:spacing w:after="40" w:before="0" w:line="259" w:lineRule="auto"/>
            </w:pPr>
            <w:r>
              <w:rPr>
                <w:rFonts w:ascii="Calibri" w:hAnsi="Calibri"/>
                <w:b w:val="0"/>
                <w:i w:val="0"/>
                <w:color w:val="212121"/>
                <w:sz w:val="16"/>
              </w:rPr>
              <w:t>Anaemia is an alarm feature mandating colonoscopy</w:t>
            </w:r>
          </w:p>
        </w:tc>
        <w:tc>
          <w:tcPr>
            <w:tcW w:type="dxa" w:w="1036"/>
            <w:vAlign w:val="top"/>
          </w:tcPr>
          <w:p>
            <w:pPr>
              <w:spacing w:after="40" w:before="0" w:line="259" w:lineRule="auto"/>
            </w:pPr>
            <w:r>
              <w:rPr>
                <w:rFonts w:ascii="Calibri" w:hAnsi="Calibri"/>
                <w:b w:val="0"/>
                <w:i w:val="0"/>
                <w:color w:val="212121"/>
                <w:sz w:val="16"/>
              </w:rPr>
              <w:t>Age &gt; 50, bleeding, weight loss, red flags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 (safety)</w:t>
            </w:r>
          </w:p>
        </w:tc>
        <w:tc>
          <w:tcPr>
            <w:tcW w:type="dxa" w:w="720"/>
            <w:vAlign w:val="top"/>
          </w:tcPr>
          <w:p>
            <w:pPr>
              <w:spacing w:after="40" w:before="0" w:line="259" w:lineRule="auto"/>
            </w:pPr>
            <w:r>
              <w:rPr>
                <w:rFonts w:ascii="Calibri" w:hAnsi="Calibri"/>
                <w:b w:val="0"/>
                <w:i w:val="0"/>
                <w:color w:val="212121"/>
                <w:sz w:val="16"/>
              </w:rPr>
              <w:t>Iron therapy itself can worsen constipation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Endoscopy</w:t>
            </w:r>
          </w:p>
        </w:tc>
        <w:tc>
          <w:tcPr>
            <w:tcW w:type="dxa" w:w="1036"/>
            <w:vAlign w:val="top"/>
          </w:tcPr>
          <w:p>
            <w:pPr>
              <w:spacing w:after="40" w:before="0" w:line="259" w:lineRule="auto"/>
            </w:pPr>
            <w:r>
              <w:rPr>
                <w:rFonts w:ascii="Calibri" w:hAnsi="Calibri"/>
                <w:b w:val="0"/>
                <w:i w:val="0"/>
                <w:color w:val="212121"/>
                <w:sz w:val="16"/>
              </w:rPr>
              <w:t>Colonoscopy</w:t>
            </w:r>
          </w:p>
        </w:tc>
        <w:tc>
          <w:tcPr>
            <w:tcW w:type="dxa" w:w="892"/>
            <w:vAlign w:val="top"/>
          </w:tcPr>
          <w:p>
            <w:pPr>
              <w:spacing w:after="40" w:before="0" w:line="259" w:lineRule="auto"/>
            </w:pPr>
            <w:r>
              <w:rPr>
                <w:rFonts w:ascii="Calibri" w:hAnsi="Calibri"/>
                <w:b w:val="0"/>
                <w:i w:val="0"/>
                <w:color w:val="212121"/>
                <w:sz w:val="16"/>
              </w:rPr>
              <w:t>Lower GI endoscopy</w:t>
            </w:r>
          </w:p>
        </w:tc>
        <w:tc>
          <w:tcPr>
            <w:tcW w:type="dxa" w:w="950"/>
            <w:vAlign w:val="top"/>
          </w:tcPr>
          <w:p>
            <w:pPr>
              <w:spacing w:after="40" w:before="0" w:line="259" w:lineRule="auto"/>
            </w:pPr>
            <w:r>
              <w:rPr>
                <w:rFonts w:ascii="Calibri" w:hAnsi="Calibri"/>
                <w:b w:val="0"/>
                <w:i w:val="0"/>
                <w:color w:val="212121"/>
                <w:sz w:val="16"/>
              </w:rPr>
              <w:t>No obstructing lesion or mass</w:t>
            </w:r>
          </w:p>
        </w:tc>
        <w:tc>
          <w:tcPr>
            <w:tcW w:type="dxa" w:w="950"/>
            <w:vAlign w:val="top"/>
          </w:tcPr>
          <w:p>
            <w:pPr>
              <w:spacing w:after="40" w:before="0" w:line="259" w:lineRule="auto"/>
            </w:pPr>
            <w:r>
              <w:rPr>
                <w:rFonts w:ascii="Calibri" w:hAnsi="Calibri"/>
                <w:b w:val="0"/>
                <w:i w:val="0"/>
                <w:color w:val="212121"/>
                <w:sz w:val="16"/>
              </w:rPr>
              <w:t>Colorectal cancer, stricture, obstructing mass</w:t>
            </w:r>
          </w:p>
        </w:tc>
        <w:tc>
          <w:tcPr>
            <w:tcW w:type="dxa" w:w="1036"/>
            <w:vAlign w:val="top"/>
          </w:tcPr>
          <w:p>
            <w:pPr>
              <w:spacing w:after="40" w:before="0" w:line="259" w:lineRule="auto"/>
            </w:pPr>
            <w:r>
              <w:rPr>
                <w:rFonts w:ascii="Calibri" w:hAnsi="Calibri"/>
                <w:b w:val="0"/>
                <w:i w:val="0"/>
                <w:color w:val="212121"/>
                <w:sz w:val="16"/>
              </w:rPr>
              <w:t>Excludes structural/malignant obstruction in alarm cases</w:t>
            </w:r>
          </w:p>
        </w:tc>
        <w:tc>
          <w:tcPr>
            <w:tcW w:type="dxa" w:w="1036"/>
            <w:vAlign w:val="top"/>
          </w:tcPr>
          <w:p>
            <w:pPr>
              <w:spacing w:after="40" w:before="0" w:line="259" w:lineRule="auto"/>
            </w:pPr>
            <w:r>
              <w:rPr>
                <w:rFonts w:ascii="Calibri" w:hAnsi="Calibri"/>
                <w:b w:val="0"/>
                <w:i w:val="0"/>
                <w:color w:val="212121"/>
                <w:sz w:val="16"/>
              </w:rPr>
              <w:t>Onset &gt; 50 y, bleeding, anaemia, weight loss, family history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(rule-out)</w:t>
            </w:r>
          </w:p>
        </w:tc>
        <w:tc>
          <w:tcPr>
            <w:tcW w:type="dxa" w:w="720"/>
            <w:vAlign w:val="top"/>
          </w:tcPr>
          <w:p>
            <w:pPr>
              <w:spacing w:after="40" w:before="0" w:line="259" w:lineRule="auto"/>
            </w:pPr>
            <w:r>
              <w:rPr>
                <w:rFonts w:ascii="Calibri" w:hAnsi="Calibri"/>
                <w:b w:val="0"/>
                <w:i w:val="0"/>
                <w:color w:val="212121"/>
                <w:sz w:val="16"/>
              </w:rPr>
              <w:t>Not routine in young patients without red flags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Motility</w:t>
            </w:r>
          </w:p>
        </w:tc>
        <w:tc>
          <w:tcPr>
            <w:tcW w:type="dxa" w:w="1036"/>
            <w:vAlign w:val="top"/>
          </w:tcPr>
          <w:p>
            <w:pPr>
              <w:spacing w:after="40" w:before="0" w:line="259" w:lineRule="auto"/>
            </w:pPr>
            <w:r>
              <w:rPr>
                <w:rFonts w:ascii="Calibri" w:hAnsi="Calibri"/>
                <w:b w:val="0"/>
                <w:i w:val="0"/>
                <w:color w:val="212121"/>
                <w:sz w:val="16"/>
              </w:rPr>
              <w:t>Colonic transit study (radio-opaque markers)</w:t>
            </w:r>
          </w:p>
        </w:tc>
        <w:tc>
          <w:tcPr>
            <w:tcW w:type="dxa" w:w="892"/>
            <w:vAlign w:val="top"/>
          </w:tcPr>
          <w:p>
            <w:pPr>
              <w:spacing w:after="40" w:before="0" w:line="259" w:lineRule="auto"/>
            </w:pPr>
            <w:r>
              <w:rPr>
                <w:rFonts w:ascii="Calibri" w:hAnsi="Calibri"/>
                <w:b w:val="0"/>
                <w:i w:val="0"/>
                <w:color w:val="212121"/>
                <w:sz w:val="16"/>
              </w:rPr>
              <w:t>Sitzmarks / colon transit test</w:t>
            </w:r>
          </w:p>
        </w:tc>
        <w:tc>
          <w:tcPr>
            <w:tcW w:type="dxa" w:w="950"/>
            <w:vAlign w:val="top"/>
          </w:tcPr>
          <w:p>
            <w:pPr>
              <w:spacing w:after="40" w:before="0" w:line="259" w:lineRule="auto"/>
            </w:pPr>
            <w:r>
              <w:rPr>
                <w:rFonts w:ascii="Calibri" w:hAnsi="Calibri"/>
                <w:b w:val="0"/>
                <w:i w:val="0"/>
                <w:color w:val="212121"/>
                <w:sz w:val="16"/>
              </w:rPr>
              <w:t>&gt;= 80% markers cleared by day 5</w:t>
            </w:r>
          </w:p>
        </w:tc>
        <w:tc>
          <w:tcPr>
            <w:tcW w:type="dxa" w:w="950"/>
            <w:vAlign w:val="top"/>
          </w:tcPr>
          <w:p>
            <w:pPr>
              <w:spacing w:after="40" w:before="0" w:line="259" w:lineRule="auto"/>
            </w:pPr>
            <w:r>
              <w:rPr>
                <w:rFonts w:ascii="Calibri" w:hAnsi="Calibri"/>
                <w:b w:val="0"/>
                <w:i w:val="0"/>
                <w:color w:val="212121"/>
                <w:sz w:val="16"/>
              </w:rPr>
              <w:t>Marker retention (delayed transit)</w:t>
            </w:r>
          </w:p>
        </w:tc>
        <w:tc>
          <w:tcPr>
            <w:tcW w:type="dxa" w:w="1036"/>
            <w:vAlign w:val="top"/>
          </w:tcPr>
          <w:p>
            <w:pPr>
              <w:spacing w:after="40" w:before="0" w:line="259" w:lineRule="auto"/>
            </w:pPr>
            <w:r>
              <w:rPr>
                <w:rFonts w:ascii="Calibri" w:hAnsi="Calibri"/>
                <w:b w:val="0"/>
                <w:i w:val="0"/>
                <w:color w:val="212121"/>
                <w:sz w:val="16"/>
              </w:rPr>
              <w:t>Confirms slow-transit constipation and its severity</w:t>
            </w:r>
          </w:p>
        </w:tc>
        <w:tc>
          <w:tcPr>
            <w:tcW w:type="dxa" w:w="1036"/>
            <w:vAlign w:val="top"/>
          </w:tcPr>
          <w:p>
            <w:pPr>
              <w:spacing w:after="40" w:before="0" w:line="259" w:lineRule="auto"/>
            </w:pPr>
            <w:r>
              <w:rPr>
                <w:rFonts w:ascii="Calibri" w:hAnsi="Calibri"/>
                <w:b w:val="0"/>
                <w:i w:val="0"/>
                <w:color w:val="212121"/>
                <w:sz w:val="16"/>
              </w:rPr>
              <w:t>Refractory constipation, suspected STC</w:t>
            </w:r>
          </w:p>
        </w:tc>
        <w:tc>
          <w:tcPr>
            <w:tcW w:type="dxa" w:w="720"/>
            <w:vAlign w:val="top"/>
          </w:tcPr>
          <w:p>
            <w:pPr>
              <w:spacing w:after="40" w:before="0" w:line="259" w:lineRule="auto"/>
            </w:pPr>
            <w:r>
              <w:rPr>
                <w:rFonts w:ascii="Calibri" w:hAnsi="Calibri"/>
                <w:b w:val="0"/>
                <w:i w:val="0"/>
                <w:color w:val="212121"/>
                <w:sz w:val="16"/>
              </w:rPr>
              <w:t>Physical activity; Food</w:t>
            </w:r>
          </w:p>
        </w:tc>
        <w:tc>
          <w:tcPr>
            <w:tcW w:type="dxa" w:w="720"/>
            <w:vAlign w:val="top"/>
          </w:tcPr>
          <w:p>
            <w:pPr>
              <w:spacing w:after="40" w:before="0" w:line="259" w:lineRule="auto"/>
            </w:pPr>
            <w:r>
              <w:rPr>
                <w:rFonts w:ascii="Calibri" w:hAnsi="Calibri"/>
                <w:b w:val="0"/>
                <w:i w:val="0"/>
                <w:color w:val="212121"/>
                <w:sz w:val="16"/>
              </w:rPr>
              <w:t>Subtyping</w:t>
            </w:r>
          </w:p>
        </w:tc>
        <w:tc>
          <w:tcPr>
            <w:tcW w:type="dxa" w:w="720"/>
            <w:vAlign w:val="top"/>
          </w:tcPr>
          <w:p>
            <w:pPr>
              <w:spacing w:after="40" w:before="0" w:line="259" w:lineRule="auto"/>
            </w:pPr>
            <w:r>
              <w:rPr>
                <w:rFonts w:ascii="Calibri" w:hAnsi="Calibri"/>
                <w:b w:val="0"/>
                <w:i w:val="0"/>
                <w:color w:val="212121"/>
                <w:sz w:val="16"/>
              </w:rPr>
              <w:t>Distinguishes STC from normal-transit and evacuation disorders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Anorectal physiology</w:t>
            </w:r>
          </w:p>
        </w:tc>
        <w:tc>
          <w:tcPr>
            <w:tcW w:type="dxa" w:w="1036"/>
            <w:vAlign w:val="top"/>
          </w:tcPr>
          <w:p>
            <w:pPr>
              <w:spacing w:after="40" w:before="0" w:line="259" w:lineRule="auto"/>
            </w:pPr>
            <w:r>
              <w:rPr>
                <w:rFonts w:ascii="Calibri" w:hAnsi="Calibri"/>
                <w:b w:val="0"/>
                <w:i w:val="0"/>
                <w:color w:val="212121"/>
                <w:sz w:val="16"/>
              </w:rPr>
              <w:t>Anorectal manometry + balloon expulsion</w:t>
            </w:r>
          </w:p>
        </w:tc>
        <w:tc>
          <w:tcPr>
            <w:tcW w:type="dxa" w:w="892"/>
            <w:vAlign w:val="top"/>
          </w:tcPr>
          <w:p>
            <w:pPr>
              <w:spacing w:after="40" w:before="0" w:line="259" w:lineRule="auto"/>
            </w:pPr>
            <w:r>
              <w:rPr>
                <w:rFonts w:ascii="Calibri" w:hAnsi="Calibri"/>
                <w:b w:val="0"/>
                <w:i w:val="0"/>
                <w:color w:val="212121"/>
                <w:sz w:val="16"/>
              </w:rPr>
              <w:t>Anorectal function test</w:t>
            </w:r>
          </w:p>
        </w:tc>
        <w:tc>
          <w:tcPr>
            <w:tcW w:type="dxa" w:w="950"/>
            <w:vAlign w:val="top"/>
          </w:tcPr>
          <w:p>
            <w:pPr>
              <w:spacing w:after="40" w:before="0" w:line="259" w:lineRule="auto"/>
            </w:pPr>
            <w:r>
              <w:rPr>
                <w:rFonts w:ascii="Calibri" w:hAnsi="Calibri"/>
                <w:b w:val="0"/>
                <w:i w:val="0"/>
                <w:color w:val="212121"/>
                <w:sz w:val="16"/>
              </w:rPr>
              <w:t>Normal relaxation; balloon expelled &lt; 1 min</w:t>
            </w:r>
          </w:p>
        </w:tc>
        <w:tc>
          <w:tcPr>
            <w:tcW w:type="dxa" w:w="950"/>
            <w:vAlign w:val="top"/>
          </w:tcPr>
          <w:p>
            <w:pPr>
              <w:spacing w:after="40" w:before="0" w:line="259" w:lineRule="auto"/>
            </w:pPr>
            <w:r>
              <w:rPr>
                <w:rFonts w:ascii="Calibri" w:hAnsi="Calibri"/>
                <w:b w:val="0"/>
                <w:i w:val="0"/>
                <w:color w:val="212121"/>
                <w:sz w:val="16"/>
              </w:rPr>
              <w:t>Paradoxical contraction / failed balloon expulsion</w:t>
            </w:r>
          </w:p>
        </w:tc>
        <w:tc>
          <w:tcPr>
            <w:tcW w:type="dxa" w:w="1036"/>
            <w:vAlign w:val="top"/>
          </w:tcPr>
          <w:p>
            <w:pPr>
              <w:spacing w:after="40" w:before="0" w:line="259" w:lineRule="auto"/>
            </w:pPr>
            <w:r>
              <w:rPr>
                <w:rFonts w:ascii="Calibri" w:hAnsi="Calibri"/>
                <w:b w:val="0"/>
                <w:i w:val="0"/>
                <w:color w:val="212121"/>
                <w:sz w:val="16"/>
              </w:rPr>
              <w:t>Diagnoses dyssynergic defecation, treatable by biofeedback</w:t>
            </w:r>
          </w:p>
        </w:tc>
        <w:tc>
          <w:tcPr>
            <w:tcW w:type="dxa" w:w="1036"/>
            <w:vAlign w:val="top"/>
          </w:tcPr>
          <w:p>
            <w:pPr>
              <w:spacing w:after="40" w:before="0" w:line="259" w:lineRule="auto"/>
            </w:pPr>
            <w:r>
              <w:rPr>
                <w:rFonts w:ascii="Calibri" w:hAnsi="Calibri"/>
                <w:b w:val="0"/>
                <w:i w:val="0"/>
                <w:color w:val="212121"/>
                <w:sz w:val="16"/>
              </w:rPr>
              <w:t>Straining, incomplete evacuation, manual manoeuvres</w:t>
            </w:r>
          </w:p>
        </w:tc>
        <w:tc>
          <w:tcPr>
            <w:tcW w:type="dxa" w:w="720"/>
            <w:vAlign w:val="top"/>
          </w:tcPr>
          <w:p>
            <w:pPr>
              <w:spacing w:after="40" w:before="0" w:line="259" w:lineRule="auto"/>
            </w:pPr>
            <w:r>
              <w:rPr>
                <w:rFonts w:ascii="Calibri" w:hAnsi="Calibri"/>
                <w:b w:val="0"/>
                <w:i w:val="0"/>
                <w:color w:val="212121"/>
                <w:sz w:val="16"/>
              </w:rPr>
              <w:t>Posture; Provoking factors</w:t>
            </w:r>
          </w:p>
        </w:tc>
        <w:tc>
          <w:tcPr>
            <w:tcW w:type="dxa" w:w="720"/>
            <w:vAlign w:val="top"/>
          </w:tcPr>
          <w:p>
            <w:pPr>
              <w:spacing w:after="40" w:before="0" w:line="259" w:lineRule="auto"/>
            </w:pPr>
            <w:r>
              <w:rPr>
                <w:rFonts w:ascii="Calibri" w:hAnsi="Calibri"/>
                <w:b w:val="0"/>
                <w:i w:val="0"/>
                <w:color w:val="212121"/>
                <w:sz w:val="16"/>
              </w:rPr>
              <w:t>Diagnostic (evacuation disorder)</w:t>
            </w:r>
          </w:p>
        </w:tc>
        <w:tc>
          <w:tcPr>
            <w:tcW w:type="dxa" w:w="720"/>
            <w:vAlign w:val="top"/>
          </w:tcPr>
          <w:p>
            <w:pPr>
              <w:spacing w:after="40" w:before="0" w:line="259" w:lineRule="auto"/>
            </w:pPr>
            <w:r>
              <w:rPr>
                <w:rFonts w:ascii="Calibri" w:hAnsi="Calibri"/>
                <w:b w:val="0"/>
                <w:i w:val="0"/>
                <w:color w:val="212121"/>
                <w:sz w:val="16"/>
              </w:rPr>
              <w:t>In India 34-55.8% of chronic constipation is dyssynergic</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Defecography (barium or MR)</w:t>
            </w:r>
          </w:p>
        </w:tc>
        <w:tc>
          <w:tcPr>
            <w:tcW w:type="dxa" w:w="892"/>
            <w:vAlign w:val="top"/>
          </w:tcPr>
          <w:p>
            <w:pPr>
              <w:spacing w:after="40" w:before="0" w:line="259" w:lineRule="auto"/>
            </w:pPr>
            <w:r>
              <w:rPr>
                <w:rFonts w:ascii="Calibri" w:hAnsi="Calibri"/>
                <w:b w:val="0"/>
                <w:i w:val="0"/>
                <w:color w:val="212121"/>
                <w:sz w:val="16"/>
              </w:rPr>
              <w:t>Dynamic defecography</w:t>
            </w:r>
          </w:p>
        </w:tc>
        <w:tc>
          <w:tcPr>
            <w:tcW w:type="dxa" w:w="950"/>
            <w:vAlign w:val="top"/>
          </w:tcPr>
          <w:p>
            <w:pPr>
              <w:spacing w:after="40" w:before="0" w:line="259" w:lineRule="auto"/>
            </w:pPr>
            <w:r>
              <w:rPr>
                <w:rFonts w:ascii="Calibri" w:hAnsi="Calibri"/>
                <w:b w:val="0"/>
                <w:i w:val="0"/>
                <w:color w:val="212121"/>
                <w:sz w:val="16"/>
              </w:rPr>
              <w:t>Complete evacuation, no structural defect</w:t>
            </w:r>
          </w:p>
        </w:tc>
        <w:tc>
          <w:tcPr>
            <w:tcW w:type="dxa" w:w="950"/>
            <w:vAlign w:val="top"/>
          </w:tcPr>
          <w:p>
            <w:pPr>
              <w:spacing w:after="40" w:before="0" w:line="259" w:lineRule="auto"/>
            </w:pPr>
            <w:r>
              <w:rPr>
                <w:rFonts w:ascii="Calibri" w:hAnsi="Calibri"/>
                <w:b w:val="0"/>
                <w:i w:val="0"/>
                <w:color w:val="212121"/>
                <w:sz w:val="16"/>
              </w:rPr>
              <w:t>Rectocele, intussusception, prolapse, dyssynergia</w:t>
            </w:r>
          </w:p>
        </w:tc>
        <w:tc>
          <w:tcPr>
            <w:tcW w:type="dxa" w:w="1036"/>
            <w:vAlign w:val="top"/>
          </w:tcPr>
          <w:p>
            <w:pPr>
              <w:spacing w:after="40" w:before="0" w:line="259" w:lineRule="auto"/>
            </w:pPr>
            <w:r>
              <w:rPr>
                <w:rFonts w:ascii="Calibri" w:hAnsi="Calibri"/>
                <w:b w:val="0"/>
                <w:i w:val="0"/>
                <w:color w:val="212121"/>
                <w:sz w:val="16"/>
              </w:rPr>
              <w:t>Defines structural evacuation disorders for surgery/therapy</w:t>
            </w:r>
          </w:p>
        </w:tc>
        <w:tc>
          <w:tcPr>
            <w:tcW w:type="dxa" w:w="1036"/>
            <w:vAlign w:val="top"/>
          </w:tcPr>
          <w:p>
            <w:pPr>
              <w:spacing w:after="40" w:before="0" w:line="259" w:lineRule="auto"/>
            </w:pPr>
            <w:r>
              <w:rPr>
                <w:rFonts w:ascii="Calibri" w:hAnsi="Calibri"/>
                <w:b w:val="0"/>
                <w:i w:val="0"/>
                <w:color w:val="212121"/>
                <w:sz w:val="16"/>
              </w:rPr>
              <w:t>Refractory evacuation disorder, suspected rectocele/prolapse</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Selective (structural)</w:t>
            </w:r>
          </w:p>
        </w:tc>
        <w:tc>
          <w:tcPr>
            <w:tcW w:type="dxa" w:w="720"/>
            <w:vAlign w:val="top"/>
          </w:tcPr>
          <w:p>
            <w:pPr>
              <w:spacing w:after="40" w:before="0" w:line="259" w:lineRule="auto"/>
            </w:pPr>
            <w:r>
              <w:rPr>
                <w:rFonts w:ascii="Calibri" w:hAnsi="Calibri"/>
                <w:b w:val="0"/>
                <w:i w:val="0"/>
                <w:color w:val="212121"/>
                <w:sz w:val="16"/>
              </w:rPr>
              <w:t>Reserved for refractory or surgical evaluation</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 (Rome IV)</w:t>
            </w:r>
          </w:p>
        </w:tc>
        <w:tc>
          <w:tcPr>
            <w:tcW w:type="dxa" w:w="979"/>
            <w:vAlign w:val="top"/>
          </w:tcPr>
          <w:p>
            <w:pPr>
              <w:spacing w:after="40" w:before="0" w:line="259" w:lineRule="auto"/>
            </w:pPr>
            <w:r>
              <w:rPr>
                <w:rFonts w:ascii="Calibri" w:hAnsi="Calibri"/>
                <w:b w:val="0"/>
                <w:i w:val="0"/>
                <w:color w:val="212121"/>
                <w:sz w:val="16"/>
              </w:rPr>
              <w:t>Straining, hard stool, incomplete evacuation, &lt; 3 BM/week</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Two or more present &gt;= 3 months</w:t>
            </w:r>
          </w:p>
        </w:tc>
        <w:tc>
          <w:tcPr>
            <w:tcW w:type="dxa" w:w="1036"/>
            <w:vAlign w:val="top"/>
          </w:tcPr>
          <w:p>
            <w:pPr>
              <w:spacing w:after="40" w:before="0" w:line="259" w:lineRule="auto"/>
            </w:pPr>
            <w:r>
              <w:rPr>
                <w:rFonts w:ascii="Calibri" w:hAnsi="Calibri"/>
                <w:b w:val="0"/>
                <w:i w:val="0"/>
                <w:color w:val="212121"/>
                <w:sz w:val="16"/>
              </w:rPr>
              <w:t>Establishes the positive Rome IV diagnosis</w:t>
            </w:r>
          </w:p>
        </w:tc>
        <w:tc>
          <w:tcPr>
            <w:tcW w:type="dxa" w:w="1036"/>
            <w:vAlign w:val="top"/>
          </w:tcPr>
          <w:p>
            <w:pPr>
              <w:spacing w:after="40" w:before="0" w:line="259" w:lineRule="auto"/>
            </w:pPr>
            <w:r>
              <w:rPr>
                <w:rFonts w:ascii="Calibri" w:hAnsi="Calibri"/>
                <w:b w:val="0"/>
                <w:i w:val="0"/>
                <w:color w:val="212121"/>
                <w:sz w:val="16"/>
              </w:rPr>
              <w:t>All suspected constipation</w:t>
            </w:r>
          </w:p>
        </w:tc>
        <w:tc>
          <w:tcPr>
            <w:tcW w:type="dxa" w:w="720"/>
            <w:vAlign w:val="top"/>
          </w:tcPr>
          <w:p>
            <w:pPr>
              <w:spacing w:after="40" w:before="0" w:line="259" w:lineRule="auto"/>
            </w:pPr>
            <w:r>
              <w:rPr>
                <w:rFonts w:ascii="Calibri" w:hAnsi="Calibri"/>
                <w:b w:val="0"/>
                <w:i w:val="0"/>
                <w:color w:val="212121"/>
                <w:sz w:val="16"/>
              </w:rPr>
              <w:t>Food; Water</w:t>
            </w:r>
          </w:p>
        </w:tc>
        <w:tc>
          <w:tcPr>
            <w:tcW w:type="dxa" w:w="720"/>
            <w:vAlign w:val="top"/>
          </w:tcPr>
          <w:p>
            <w:pPr>
              <w:spacing w:after="40" w:before="0" w:line="259" w:lineRule="auto"/>
            </w:pPr>
            <w:r>
              <w:rPr>
                <w:rFonts w:ascii="Calibri" w:hAnsi="Calibri"/>
                <w:b w:val="0"/>
                <w:i w:val="0"/>
                <w:color w:val="212121"/>
                <w:sz w:val="16"/>
              </w:rPr>
              <w:t>Gold standard (clinical)</w:t>
            </w:r>
          </w:p>
        </w:tc>
        <w:tc>
          <w:tcPr>
            <w:tcW w:type="dxa" w:w="720"/>
            <w:vAlign w:val="top"/>
          </w:tcPr>
          <w:p>
            <w:pPr>
              <w:spacing w:after="40" w:before="0" w:line="259" w:lineRule="auto"/>
            </w:pPr>
            <w:r>
              <w:rPr>
                <w:rFonts w:ascii="Calibri" w:hAnsi="Calibri"/>
                <w:b w:val="0"/>
                <w:i w:val="0"/>
                <w:color w:val="212121"/>
                <w:sz w:val="16"/>
              </w:rPr>
              <w:t>Onset at least 6 months before diagnosis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Bowel-habit characterisation</w:t>
            </w:r>
          </w:p>
        </w:tc>
        <w:tc>
          <w:tcPr>
            <w:tcW w:type="dxa" w:w="979"/>
            <w:vAlign w:val="top"/>
          </w:tcPr>
          <w:p>
            <w:pPr>
              <w:spacing w:after="40" w:before="0" w:line="259" w:lineRule="auto"/>
            </w:pPr>
            <w:r>
              <w:rPr>
                <w:rFonts w:ascii="Calibri" w:hAnsi="Calibri"/>
                <w:b w:val="0"/>
                <w:i w:val="0"/>
                <w:color w:val="212121"/>
                <w:sz w:val="16"/>
              </w:rPr>
              <w:t>Frequency, Bristol stool form, need for manual manoeuvres</w:t>
            </w:r>
          </w:p>
        </w:tc>
        <w:tc>
          <w:tcPr>
            <w:tcW w:type="dxa" w:w="950"/>
            <w:vAlign w:val="top"/>
          </w:tcPr>
          <w:p>
            <w:pPr>
              <w:spacing w:after="40" w:before="0" w:line="259" w:lineRule="auto"/>
            </w:pPr>
            <w:r>
              <w:rPr>
                <w:rFonts w:ascii="Calibri" w:hAnsi="Calibri"/>
                <w:b w:val="0"/>
                <w:i w:val="0"/>
                <w:color w:val="212121"/>
                <w:sz w:val="16"/>
              </w:rPr>
              <w:t>Regular, Bristol 3-4, no manoeuvres</w:t>
            </w:r>
          </w:p>
        </w:tc>
        <w:tc>
          <w:tcPr>
            <w:tcW w:type="dxa" w:w="950"/>
            <w:vAlign w:val="top"/>
          </w:tcPr>
          <w:p>
            <w:pPr>
              <w:spacing w:after="40" w:before="0" w:line="259" w:lineRule="auto"/>
            </w:pPr>
            <w:r>
              <w:rPr>
                <w:rFonts w:ascii="Calibri" w:hAnsi="Calibri"/>
                <w:b w:val="0"/>
                <w:i w:val="0"/>
                <w:color w:val="212121"/>
                <w:sz w:val="16"/>
              </w:rPr>
              <w:t>Infrequent, Bristol 1-2, digital/splinting manoeuvres</w:t>
            </w:r>
          </w:p>
        </w:tc>
        <w:tc>
          <w:tcPr>
            <w:tcW w:type="dxa" w:w="1036"/>
            <w:vAlign w:val="top"/>
          </w:tcPr>
          <w:p>
            <w:pPr>
              <w:spacing w:after="40" w:before="0" w:line="259" w:lineRule="auto"/>
            </w:pPr>
            <w:r>
              <w:rPr>
                <w:rFonts w:ascii="Calibri" w:hAnsi="Calibri"/>
                <w:b w:val="0"/>
                <w:i w:val="0"/>
                <w:color w:val="212121"/>
                <w:sz w:val="16"/>
              </w:rPr>
              <w:t>Suggests subtype (STC vs evacuation disorder)</w:t>
            </w:r>
          </w:p>
        </w:tc>
        <w:tc>
          <w:tcPr>
            <w:tcW w:type="dxa" w:w="1036"/>
            <w:vAlign w:val="top"/>
          </w:tcPr>
          <w:p>
            <w:pPr>
              <w:spacing w:after="40" w:before="0" w:line="259" w:lineRule="auto"/>
            </w:pPr>
            <w:r>
              <w:rPr>
                <w:rFonts w:ascii="Calibri" w:hAnsi="Calibri"/>
                <w:b w:val="0"/>
                <w:i w:val="0"/>
                <w:color w:val="212121"/>
                <w:sz w:val="16"/>
              </w:rPr>
              <w:t>All patients, for subtyping</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Diagnostic (subtype)</w:t>
            </w:r>
          </w:p>
        </w:tc>
        <w:tc>
          <w:tcPr>
            <w:tcW w:type="dxa" w:w="720"/>
            <w:vAlign w:val="top"/>
          </w:tcPr>
          <w:p>
            <w:pPr>
              <w:spacing w:after="40" w:before="0" w:line="259" w:lineRule="auto"/>
            </w:pPr>
            <w:r>
              <w:rPr>
                <w:rFonts w:ascii="Calibri" w:hAnsi="Calibri"/>
                <w:b w:val="0"/>
                <w:i w:val="0"/>
                <w:color w:val="212121"/>
                <w:sz w:val="16"/>
              </w:rPr>
              <w:t>Manual manoeuvres point to a defecatory disorder</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Alarm / red-flag screen</w:t>
            </w:r>
          </w:p>
        </w:tc>
        <w:tc>
          <w:tcPr>
            <w:tcW w:type="dxa" w:w="979"/>
            <w:vAlign w:val="top"/>
          </w:tcPr>
          <w:p>
            <w:pPr>
              <w:spacing w:after="40" w:before="0" w:line="259" w:lineRule="auto"/>
            </w:pPr>
            <w:r>
              <w:rPr>
                <w:rFonts w:ascii="Calibri" w:hAnsi="Calibri"/>
                <w:b w:val="0"/>
                <w:i w:val="0"/>
                <w:color w:val="212121"/>
                <w:sz w:val="16"/>
              </w:rPr>
              <w:t>Weight loss, rectal bleeding, anaemia, change in calibre, age &gt; 50, family history</w:t>
            </w:r>
          </w:p>
        </w:tc>
        <w:tc>
          <w:tcPr>
            <w:tcW w:type="dxa" w:w="950"/>
            <w:vAlign w:val="top"/>
          </w:tcPr>
          <w:p>
            <w:pPr>
              <w:spacing w:after="40" w:before="0" w:line="259" w:lineRule="auto"/>
            </w:pPr>
            <w:r>
              <w:rPr>
                <w:rFonts w:ascii="Calibri" w:hAnsi="Calibri"/>
                <w:b w:val="0"/>
                <w:i w:val="0"/>
                <w:color w:val="212121"/>
                <w:sz w:val="16"/>
              </w:rPr>
              <w:t>No alarm features</w:t>
            </w:r>
          </w:p>
        </w:tc>
        <w:tc>
          <w:tcPr>
            <w:tcW w:type="dxa" w:w="950"/>
            <w:vAlign w:val="top"/>
          </w:tcPr>
          <w:p>
            <w:pPr>
              <w:spacing w:after="40" w:before="0" w:line="259" w:lineRule="auto"/>
            </w:pPr>
            <w:r>
              <w:rPr>
                <w:rFonts w:ascii="Calibri" w:hAnsi="Calibri"/>
                <w:b w:val="0"/>
                <w:i w:val="0"/>
                <w:color w:val="212121"/>
                <w:sz w:val="16"/>
              </w:rPr>
              <w:t>Any alarm feature present</w:t>
            </w:r>
          </w:p>
        </w:tc>
        <w:tc>
          <w:tcPr>
            <w:tcW w:type="dxa" w:w="1036"/>
            <w:vAlign w:val="top"/>
          </w:tcPr>
          <w:p>
            <w:pPr>
              <w:spacing w:after="40" w:before="0" w:line="259" w:lineRule="auto"/>
            </w:pPr>
            <w:r>
              <w:rPr>
                <w:rFonts w:ascii="Calibri" w:hAnsi="Calibri"/>
                <w:b w:val="0"/>
                <w:i w:val="0"/>
                <w:color w:val="212121"/>
                <w:sz w:val="16"/>
              </w:rPr>
              <w:t>Mandates colonoscopy to exclude colorectal cancer</w:t>
            </w:r>
          </w:p>
        </w:tc>
        <w:tc>
          <w:tcPr>
            <w:tcW w:type="dxa" w:w="1036"/>
            <w:vAlign w:val="top"/>
          </w:tcPr>
          <w:p>
            <w:pPr>
              <w:spacing w:after="40" w:before="0" w:line="259" w:lineRule="auto"/>
            </w:pPr>
            <w:r>
              <w:rPr>
                <w:rFonts w:ascii="Calibri" w:hAnsi="Calibri"/>
                <w:b w:val="0"/>
                <w:i w:val="0"/>
                <w:color w:val="212121"/>
                <w:sz w:val="16"/>
              </w:rPr>
              <w:t>All patients before labelling functional</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 (safety)</w:t>
            </w:r>
          </w:p>
        </w:tc>
        <w:tc>
          <w:tcPr>
            <w:tcW w:type="dxa" w:w="720"/>
            <w:vAlign w:val="top"/>
          </w:tcPr>
          <w:p>
            <w:pPr>
              <w:spacing w:after="40" w:before="0" w:line="259" w:lineRule="auto"/>
            </w:pPr>
            <w:r>
              <w:rPr>
                <w:rFonts w:ascii="Calibri" w:hAnsi="Calibri"/>
                <w:b w:val="0"/>
                <w:i w:val="0"/>
                <w:color w:val="212121"/>
                <w:sz w:val="16"/>
              </w:rPr>
              <w:t>Recent-onset or nocturnal symptoms are red flags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Drug &amp; dietary history</w:t>
            </w:r>
          </w:p>
        </w:tc>
        <w:tc>
          <w:tcPr>
            <w:tcW w:type="dxa" w:w="979"/>
            <w:vAlign w:val="top"/>
          </w:tcPr>
          <w:p>
            <w:pPr>
              <w:spacing w:after="40" w:before="0" w:line="259" w:lineRule="auto"/>
            </w:pPr>
            <w:r>
              <w:rPr>
                <w:rFonts w:ascii="Calibri" w:hAnsi="Calibri"/>
                <w:b w:val="0"/>
                <w:i w:val="0"/>
                <w:color w:val="212121"/>
                <w:sz w:val="16"/>
              </w:rPr>
              <w:t>Opioids, iron, anticholinergics, CCBs; fibre, fluid, activity</w:t>
            </w:r>
          </w:p>
        </w:tc>
        <w:tc>
          <w:tcPr>
            <w:tcW w:type="dxa" w:w="950"/>
            <w:vAlign w:val="top"/>
          </w:tcPr>
          <w:p>
            <w:pPr>
              <w:spacing w:after="40" w:before="0" w:line="259" w:lineRule="auto"/>
            </w:pPr>
            <w:r>
              <w:rPr>
                <w:rFonts w:ascii="Calibri" w:hAnsi="Calibri"/>
                <w:b w:val="0"/>
                <w:i w:val="0"/>
                <w:color w:val="212121"/>
                <w:sz w:val="16"/>
              </w:rPr>
              <w:t>No constipating drugs; adequate fibre/fluid/activity</w:t>
            </w:r>
          </w:p>
        </w:tc>
        <w:tc>
          <w:tcPr>
            <w:tcW w:type="dxa" w:w="950"/>
            <w:vAlign w:val="top"/>
          </w:tcPr>
          <w:p>
            <w:pPr>
              <w:spacing w:after="40" w:before="0" w:line="259" w:lineRule="auto"/>
            </w:pPr>
            <w:r>
              <w:rPr>
                <w:rFonts w:ascii="Calibri" w:hAnsi="Calibri"/>
                <w:b w:val="0"/>
                <w:i w:val="0"/>
                <w:color w:val="212121"/>
                <w:sz w:val="16"/>
              </w:rPr>
              <w:t>Constipating drugs; low fibre, low fluid, sedentary</w:t>
            </w:r>
          </w:p>
        </w:tc>
        <w:tc>
          <w:tcPr>
            <w:tcW w:type="dxa" w:w="1036"/>
            <w:vAlign w:val="top"/>
          </w:tcPr>
          <w:p>
            <w:pPr>
              <w:spacing w:after="40" w:before="0" w:line="259" w:lineRule="auto"/>
            </w:pPr>
            <w:r>
              <w:rPr>
                <w:rFonts w:ascii="Calibri" w:hAnsi="Calibri"/>
                <w:b w:val="0"/>
                <w:i w:val="0"/>
                <w:color w:val="212121"/>
                <w:sz w:val="16"/>
              </w:rPr>
              <w:t>Identifies reversible drug and lifestyle causes</w:t>
            </w:r>
          </w:p>
        </w:tc>
        <w:tc>
          <w:tcPr>
            <w:tcW w:type="dxa" w:w="1036"/>
            <w:vAlign w:val="top"/>
          </w:tcPr>
          <w:p>
            <w:pPr>
              <w:spacing w:after="40" w:before="0" w:line="259" w:lineRule="auto"/>
            </w:pPr>
            <w:r>
              <w:rPr>
                <w:rFonts w:ascii="Calibri" w:hAnsi="Calibri"/>
                <w:b w:val="0"/>
                <w:i w:val="0"/>
                <w:color w:val="212121"/>
                <w:sz w:val="16"/>
              </w:rPr>
              <w:t>Elderly, chronic-pain, cardiac patients</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High (reversible cause)</w:t>
            </w:r>
          </w:p>
        </w:tc>
        <w:tc>
          <w:tcPr>
            <w:tcW w:type="dxa" w:w="720"/>
            <w:vAlign w:val="top"/>
          </w:tcPr>
          <w:p>
            <w:pPr>
              <w:spacing w:after="40" w:before="0" w:line="259" w:lineRule="auto"/>
            </w:pPr>
            <w:r>
              <w:rPr>
                <w:rFonts w:ascii="Calibri" w:hAnsi="Calibri"/>
                <w:b w:val="0"/>
                <w:i w:val="0"/>
                <w:color w:val="212121"/>
                <w:sz w:val="16"/>
              </w:rPr>
              <w:t>Deprescribing or switching drugs may resolve symptoms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Digital rectal examination</w:t>
            </w:r>
          </w:p>
        </w:tc>
        <w:tc>
          <w:tcPr>
            <w:tcW w:type="dxa" w:w="979"/>
            <w:vAlign w:val="top"/>
          </w:tcPr>
          <w:p>
            <w:pPr>
              <w:spacing w:after="40" w:before="0" w:line="259" w:lineRule="auto"/>
            </w:pPr>
            <w:r>
              <w:rPr>
                <w:rFonts w:ascii="Calibri" w:hAnsi="Calibri"/>
                <w:b w:val="0"/>
                <w:i w:val="0"/>
                <w:color w:val="212121"/>
                <w:sz w:val="16"/>
              </w:rPr>
              <w:t>Tone, faecal impaction, mass, dyssynergia on bear-down, fissure</w:t>
            </w:r>
          </w:p>
        </w:tc>
        <w:tc>
          <w:tcPr>
            <w:tcW w:type="dxa" w:w="950"/>
            <w:vAlign w:val="top"/>
          </w:tcPr>
          <w:p>
            <w:pPr>
              <w:spacing w:after="40" w:before="0" w:line="259" w:lineRule="auto"/>
            </w:pPr>
            <w:r>
              <w:rPr>
                <w:rFonts w:ascii="Calibri" w:hAnsi="Calibri"/>
                <w:b w:val="0"/>
                <w:i w:val="0"/>
                <w:color w:val="212121"/>
                <w:sz w:val="16"/>
              </w:rPr>
              <w:t>Normal tone, relaxes on straining, no mass</w:t>
            </w:r>
          </w:p>
        </w:tc>
        <w:tc>
          <w:tcPr>
            <w:tcW w:type="dxa" w:w="950"/>
            <w:vAlign w:val="top"/>
          </w:tcPr>
          <w:p>
            <w:pPr>
              <w:spacing w:after="40" w:before="0" w:line="259" w:lineRule="auto"/>
            </w:pPr>
            <w:r>
              <w:rPr>
                <w:rFonts w:ascii="Calibri" w:hAnsi="Calibri"/>
                <w:b w:val="0"/>
                <w:i w:val="0"/>
                <w:color w:val="212121"/>
                <w:sz w:val="16"/>
              </w:rPr>
              <w:t>Impaction, mass, paradoxical contraction, tender fissure</w:t>
            </w:r>
          </w:p>
        </w:tc>
        <w:tc>
          <w:tcPr>
            <w:tcW w:type="dxa" w:w="1036"/>
            <w:vAlign w:val="top"/>
          </w:tcPr>
          <w:p>
            <w:pPr>
              <w:spacing w:after="40" w:before="0" w:line="259" w:lineRule="auto"/>
            </w:pPr>
            <w:r>
              <w:rPr>
                <w:rFonts w:ascii="Calibri" w:hAnsi="Calibri"/>
                <w:b w:val="0"/>
                <w:i w:val="0"/>
                <w:color w:val="212121"/>
                <w:sz w:val="16"/>
              </w:rPr>
              <w:t>Detects impaction, dyssynergia and anorectal disease</w:t>
            </w:r>
          </w:p>
        </w:tc>
        <w:tc>
          <w:tcPr>
            <w:tcW w:type="dxa" w:w="1036"/>
            <w:vAlign w:val="top"/>
          </w:tcPr>
          <w:p>
            <w:pPr>
              <w:spacing w:after="40" w:before="0" w:line="259" w:lineRule="auto"/>
            </w:pPr>
            <w:r>
              <w:rPr>
                <w:rFonts w:ascii="Calibri" w:hAnsi="Calibri"/>
                <w:b w:val="0"/>
                <w:i w:val="0"/>
                <w:color w:val="212121"/>
                <w:sz w:val="16"/>
              </w:rPr>
              <w:t>All patients, especially with straining</w:t>
            </w:r>
          </w:p>
        </w:tc>
        <w:tc>
          <w:tcPr>
            <w:tcW w:type="dxa" w:w="720"/>
            <w:vAlign w:val="top"/>
          </w:tcPr>
          <w:p>
            <w:pPr>
              <w:spacing w:after="40" w:before="0" w:line="259" w:lineRule="auto"/>
            </w:pPr>
            <w:r>
              <w:rPr>
                <w:rFonts w:ascii="Calibri" w:hAnsi="Calibri"/>
                <w:b w:val="0"/>
                <w:i w:val="0"/>
                <w:color w:val="212121"/>
                <w:sz w:val="16"/>
              </w:rPr>
              <w:t>Posture; Provoking factors</w:t>
            </w:r>
          </w:p>
        </w:tc>
        <w:tc>
          <w:tcPr>
            <w:tcW w:type="dxa" w:w="720"/>
            <w:vAlign w:val="top"/>
          </w:tcPr>
          <w:p>
            <w:pPr>
              <w:spacing w:after="40" w:before="0" w:line="259" w:lineRule="auto"/>
            </w:pPr>
            <w:r>
              <w:rPr>
                <w:rFonts w:ascii="Calibri" w:hAnsi="Calibri"/>
                <w:b w:val="0"/>
                <w:i w:val="0"/>
                <w:color w:val="212121"/>
                <w:sz w:val="16"/>
              </w:rPr>
              <w:t>High (bedside)</w:t>
            </w:r>
          </w:p>
        </w:tc>
        <w:tc>
          <w:tcPr>
            <w:tcW w:type="dxa" w:w="720"/>
            <w:vAlign w:val="top"/>
          </w:tcPr>
          <w:p>
            <w:pPr>
              <w:spacing w:after="40" w:before="0" w:line="259" w:lineRule="auto"/>
            </w:pPr>
            <w:r>
              <w:rPr>
                <w:rFonts w:ascii="Calibri" w:hAnsi="Calibri"/>
                <w:b w:val="0"/>
                <w:i w:val="0"/>
                <w:color w:val="212121"/>
                <w:sz w:val="16"/>
              </w:rPr>
              <w:t>A skilled DRE reliably screens for dyssynergic defecation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Abdominal examination</w:t>
            </w:r>
          </w:p>
        </w:tc>
        <w:tc>
          <w:tcPr>
            <w:tcW w:type="dxa" w:w="979"/>
            <w:vAlign w:val="top"/>
          </w:tcPr>
          <w:p>
            <w:pPr>
              <w:spacing w:after="40" w:before="0" w:line="259" w:lineRule="auto"/>
            </w:pPr>
            <w:r>
              <w:rPr>
                <w:rFonts w:ascii="Calibri" w:hAnsi="Calibri"/>
                <w:b w:val="0"/>
                <w:i w:val="0"/>
                <w:color w:val="212121"/>
                <w:sz w:val="16"/>
              </w:rPr>
              <w:t>Faecal loading, distension, mass, tenderness</w:t>
            </w:r>
          </w:p>
        </w:tc>
        <w:tc>
          <w:tcPr>
            <w:tcW w:type="dxa" w:w="950"/>
            <w:vAlign w:val="top"/>
          </w:tcPr>
          <w:p>
            <w:pPr>
              <w:spacing w:after="40" w:before="0" w:line="259" w:lineRule="auto"/>
            </w:pPr>
            <w:r>
              <w:rPr>
                <w:rFonts w:ascii="Calibri" w:hAnsi="Calibri"/>
                <w:b w:val="0"/>
                <w:i w:val="0"/>
                <w:color w:val="212121"/>
                <w:sz w:val="16"/>
              </w:rPr>
              <w:t>Soft, non-tender, no palpable stool</w:t>
            </w:r>
          </w:p>
        </w:tc>
        <w:tc>
          <w:tcPr>
            <w:tcW w:type="dxa" w:w="950"/>
            <w:vAlign w:val="top"/>
          </w:tcPr>
          <w:p>
            <w:pPr>
              <w:spacing w:after="40" w:before="0" w:line="259" w:lineRule="auto"/>
            </w:pPr>
            <w:r>
              <w:rPr>
                <w:rFonts w:ascii="Calibri" w:hAnsi="Calibri"/>
                <w:b w:val="0"/>
                <w:i w:val="0"/>
                <w:color w:val="212121"/>
                <w:sz w:val="16"/>
              </w:rPr>
              <w:t>Palpable faecal loading (left iliac fossa), distension, mass</w:t>
            </w:r>
          </w:p>
        </w:tc>
        <w:tc>
          <w:tcPr>
            <w:tcW w:type="dxa" w:w="1036"/>
            <w:vAlign w:val="top"/>
          </w:tcPr>
          <w:p>
            <w:pPr>
              <w:spacing w:after="40" w:before="0" w:line="259" w:lineRule="auto"/>
            </w:pPr>
            <w:r>
              <w:rPr>
                <w:rFonts w:ascii="Calibri" w:hAnsi="Calibri"/>
                <w:b w:val="0"/>
                <w:i w:val="0"/>
                <w:color w:val="212121"/>
                <w:sz w:val="16"/>
              </w:rPr>
              <w:t>Assesses stool burden; a mass warrants investigation</w:t>
            </w:r>
          </w:p>
        </w:tc>
        <w:tc>
          <w:tcPr>
            <w:tcW w:type="dxa" w:w="1036"/>
            <w:vAlign w:val="top"/>
          </w:tcPr>
          <w:p>
            <w:pPr>
              <w:spacing w:after="40" w:before="0" w:line="259" w:lineRule="auto"/>
            </w:pPr>
            <w:r>
              <w:rPr>
                <w:rFonts w:ascii="Calibri" w:hAnsi="Calibri"/>
                <w:b w:val="0"/>
                <w:i w:val="0"/>
                <w:color w:val="212121"/>
                <w:sz w:val="16"/>
              </w:rPr>
              <w:t>Elderly, impaction, red-flag patients</w:t>
            </w:r>
          </w:p>
        </w:tc>
        <w:tc>
          <w:tcPr>
            <w:tcW w:type="dxa" w:w="720"/>
            <w:vAlign w:val="top"/>
          </w:tcPr>
          <w:p>
            <w:pPr>
              <w:spacing w:after="40" w:before="0" w:line="259" w:lineRule="auto"/>
            </w:pPr>
            <w:r>
              <w:rPr>
                <w:rFonts w:ascii="Calibri" w:hAnsi="Calibri"/>
                <w:b w:val="0"/>
                <w:i w:val="0"/>
                <w:color w:val="212121"/>
                <w:sz w:val="16"/>
              </w:rPr>
              <w:t>Food; Water</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Palpable faecal masses are indentable and mobile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Perianal inspection</w:t>
            </w:r>
          </w:p>
        </w:tc>
        <w:tc>
          <w:tcPr>
            <w:tcW w:type="dxa" w:w="979"/>
            <w:vAlign w:val="top"/>
          </w:tcPr>
          <w:p>
            <w:pPr>
              <w:spacing w:after="40" w:before="0" w:line="259" w:lineRule="auto"/>
            </w:pPr>
            <w:r>
              <w:rPr>
                <w:rFonts w:ascii="Calibri" w:hAnsi="Calibri"/>
                <w:b w:val="0"/>
                <w:i w:val="0"/>
                <w:color w:val="212121"/>
                <w:sz w:val="16"/>
              </w:rPr>
              <w:t>Anal fissure, haemorrhoids, prolapse, soiling, patulous anus</w:t>
            </w:r>
          </w:p>
        </w:tc>
        <w:tc>
          <w:tcPr>
            <w:tcW w:type="dxa" w:w="950"/>
            <w:vAlign w:val="top"/>
          </w:tcPr>
          <w:p>
            <w:pPr>
              <w:spacing w:after="40" w:before="0" w:line="259" w:lineRule="auto"/>
            </w:pPr>
            <w:r>
              <w:rPr>
                <w:rFonts w:ascii="Calibri" w:hAnsi="Calibri"/>
                <w:b w:val="0"/>
                <w:i w:val="0"/>
                <w:color w:val="212121"/>
                <w:sz w:val="16"/>
              </w:rPr>
              <w:t>Normal perianal skin and anus</w:t>
            </w:r>
          </w:p>
        </w:tc>
        <w:tc>
          <w:tcPr>
            <w:tcW w:type="dxa" w:w="950"/>
            <w:vAlign w:val="top"/>
          </w:tcPr>
          <w:p>
            <w:pPr>
              <w:spacing w:after="40" w:before="0" w:line="259" w:lineRule="auto"/>
            </w:pPr>
            <w:r>
              <w:rPr>
                <w:rFonts w:ascii="Calibri" w:hAnsi="Calibri"/>
                <w:b w:val="0"/>
                <w:i w:val="0"/>
                <w:color w:val="212121"/>
                <w:sz w:val="16"/>
              </w:rPr>
              <w:t>Fissure, prolapsed haemorrhoids, rectal prolapse, overflow soiling</w:t>
            </w:r>
          </w:p>
        </w:tc>
        <w:tc>
          <w:tcPr>
            <w:tcW w:type="dxa" w:w="1036"/>
            <w:vAlign w:val="top"/>
          </w:tcPr>
          <w:p>
            <w:pPr>
              <w:spacing w:after="40" w:before="0" w:line="259" w:lineRule="auto"/>
            </w:pPr>
            <w:r>
              <w:rPr>
                <w:rFonts w:ascii="Calibri" w:hAnsi="Calibri"/>
                <w:b w:val="0"/>
                <w:i w:val="0"/>
                <w:color w:val="212121"/>
                <w:sz w:val="16"/>
              </w:rPr>
              <w:t>Reveals straining complications and pain-avoidance cycle</w:t>
            </w:r>
          </w:p>
        </w:tc>
        <w:tc>
          <w:tcPr>
            <w:tcW w:type="dxa" w:w="1036"/>
            <w:vAlign w:val="top"/>
          </w:tcPr>
          <w:p>
            <w:pPr>
              <w:spacing w:after="40" w:before="0" w:line="259" w:lineRule="auto"/>
            </w:pPr>
            <w:r>
              <w:rPr>
                <w:rFonts w:ascii="Calibri" w:hAnsi="Calibri"/>
                <w:b w:val="0"/>
                <w:i w:val="0"/>
                <w:color w:val="212121"/>
                <w:sz w:val="16"/>
              </w:rPr>
              <w:t>Straining patients, elderly, children</w:t>
            </w:r>
          </w:p>
        </w:tc>
        <w:tc>
          <w:tcPr>
            <w:tcW w:type="dxa" w:w="720"/>
            <w:vAlign w:val="top"/>
          </w:tcPr>
          <w:p>
            <w:pPr>
              <w:spacing w:after="40" w:before="0" w:line="259" w:lineRule="auto"/>
            </w:pPr>
            <w:r>
              <w:rPr>
                <w:rFonts w:ascii="Calibri" w:hAnsi="Calibri"/>
                <w:b w:val="0"/>
                <w:i w:val="0"/>
                <w:color w:val="212121"/>
                <w:sz w:val="16"/>
              </w:rPr>
              <w:t>Posture; 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Painful fissure perpetuates stool withholding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Psychosocial &amp; toilet-behaviour assessment</w:t>
            </w:r>
          </w:p>
        </w:tc>
        <w:tc>
          <w:tcPr>
            <w:tcW w:type="dxa" w:w="979"/>
            <w:vAlign w:val="top"/>
          </w:tcPr>
          <w:p>
            <w:pPr>
              <w:spacing w:after="40" w:before="0" w:line="259" w:lineRule="auto"/>
            </w:pPr>
            <w:r>
              <w:rPr>
                <w:rFonts w:ascii="Calibri" w:hAnsi="Calibri"/>
                <w:b w:val="0"/>
                <w:i w:val="0"/>
                <w:color w:val="212121"/>
                <w:sz w:val="16"/>
              </w:rPr>
              <w:t>Stress, anxiety/depression, urge suppression, toilet access</w:t>
            </w:r>
          </w:p>
        </w:tc>
        <w:tc>
          <w:tcPr>
            <w:tcW w:type="dxa" w:w="950"/>
            <w:vAlign w:val="top"/>
          </w:tcPr>
          <w:p>
            <w:pPr>
              <w:spacing w:after="40" w:before="0" w:line="259" w:lineRule="auto"/>
            </w:pPr>
            <w:r>
              <w:rPr>
                <w:rFonts w:ascii="Calibri" w:hAnsi="Calibri"/>
                <w:b w:val="0"/>
                <w:i w:val="0"/>
                <w:color w:val="212121"/>
                <w:sz w:val="16"/>
              </w:rPr>
              <w:t>No distress; responds to urge; good toilet access</w:t>
            </w:r>
          </w:p>
        </w:tc>
        <w:tc>
          <w:tcPr>
            <w:tcW w:type="dxa" w:w="950"/>
            <w:vAlign w:val="top"/>
          </w:tcPr>
          <w:p>
            <w:pPr>
              <w:spacing w:after="40" w:before="0" w:line="259" w:lineRule="auto"/>
            </w:pPr>
            <w:r>
              <w:rPr>
                <w:rFonts w:ascii="Calibri" w:hAnsi="Calibri"/>
                <w:b w:val="0"/>
                <w:i w:val="0"/>
                <w:color w:val="212121"/>
                <w:sz w:val="16"/>
              </w:rPr>
              <w:t>Anxiety/depression; habitual urge suppression; poor access</w:t>
            </w:r>
          </w:p>
        </w:tc>
        <w:tc>
          <w:tcPr>
            <w:tcW w:type="dxa" w:w="1036"/>
            <w:vAlign w:val="top"/>
          </w:tcPr>
          <w:p>
            <w:pPr>
              <w:spacing w:after="40" w:before="0" w:line="259" w:lineRule="auto"/>
            </w:pPr>
            <w:r>
              <w:rPr>
                <w:rFonts w:ascii="Calibri" w:hAnsi="Calibri"/>
                <w:b w:val="0"/>
                <w:i w:val="0"/>
                <w:color w:val="212121"/>
                <w:sz w:val="16"/>
              </w:rPr>
              <w:t>Identifies gut-brain and behavioural contributors</w:t>
            </w:r>
          </w:p>
        </w:tc>
        <w:tc>
          <w:tcPr>
            <w:tcW w:type="dxa" w:w="1036"/>
            <w:vAlign w:val="top"/>
          </w:tcPr>
          <w:p>
            <w:pPr>
              <w:spacing w:after="40" w:before="0" w:line="259" w:lineRule="auto"/>
            </w:pPr>
            <w:r>
              <w:rPr>
                <w:rFonts w:ascii="Calibri" w:hAnsi="Calibri"/>
                <w:b w:val="0"/>
                <w:i w:val="0"/>
                <w:color w:val="212121"/>
                <w:sz w:val="16"/>
              </w:rPr>
              <w:t>Refractory, IBS-C overlap, shift workers</w:t>
            </w:r>
          </w:p>
        </w:tc>
        <w:tc>
          <w:tcPr>
            <w:tcW w:type="dxa" w:w="720"/>
            <w:vAlign w:val="top"/>
          </w:tcPr>
          <w:p>
            <w:pPr>
              <w:spacing w:after="40" w:before="0" w:line="259" w:lineRule="auto"/>
            </w:pPr>
            <w:r>
              <w:rPr>
                <w:rFonts w:ascii="Calibri" w:hAnsi="Calibri"/>
                <w:b w:val="0"/>
                <w:i w:val="0"/>
                <w:color w:val="212121"/>
                <w:sz w:val="16"/>
              </w:rPr>
              <w:t>Mental health; Hygiene</w:t>
            </w:r>
          </w:p>
        </w:tc>
        <w:tc>
          <w:tcPr>
            <w:tcW w:type="dxa" w:w="720"/>
            <w:vAlign w:val="top"/>
          </w:tcPr>
          <w:p>
            <w:pPr>
              <w:spacing w:after="40" w:before="0" w:line="259" w:lineRule="auto"/>
            </w:pPr>
            <w:r>
              <w:rPr>
                <w:rFonts w:ascii="Calibri" w:hAnsi="Calibri"/>
                <w:b w:val="0"/>
                <w:i w:val="0"/>
                <w:color w:val="212121"/>
                <w:sz w:val="16"/>
              </w:rPr>
              <w:t>Therapeutic planning</w:t>
            </w:r>
          </w:p>
        </w:tc>
        <w:tc>
          <w:tcPr>
            <w:tcW w:type="dxa" w:w="720"/>
            <w:vAlign w:val="top"/>
          </w:tcPr>
          <w:p>
            <w:pPr>
              <w:spacing w:after="40" w:before="0" w:line="259" w:lineRule="auto"/>
            </w:pPr>
            <w:r>
              <w:rPr>
                <w:rFonts w:ascii="Calibri" w:hAnsi="Calibri"/>
                <w:b w:val="0"/>
                <w:i w:val="0"/>
                <w:color w:val="212121"/>
                <w:sz w:val="16"/>
              </w:rPr>
              <w:t>Use GAD-7 / PHQ-9 where distress is suspected</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Infrequent bowel movements (&lt; 3/week)</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Reduced spontaneous stool frequency; a core Rome IV criterion.</w:t>
            </w:r>
          </w:p>
        </w:tc>
      </w:tr>
      <w:tr>
        <w:trPr>
          <w:cantSplit/>
        </w:trPr>
        <w:tc>
          <w:tcPr>
            <w:tcW w:type="dxa" w:w="2304"/>
            <w:vAlign w:val="top"/>
          </w:tcPr>
          <w:p>
            <w:pPr>
              <w:spacing w:after="40" w:before="0" w:line="259" w:lineRule="auto"/>
            </w:pPr>
            <w:r>
              <w:rPr>
                <w:rFonts w:ascii="Calibri" w:hAnsi="Calibri"/>
                <w:b/>
                <w:i w:val="0"/>
                <w:color w:val="212121"/>
                <w:sz w:val="19"/>
              </w:rPr>
              <w:t>Straining at stool</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Excessive effort needed to pass stool during more than a quarter of defecations.</w:t>
            </w:r>
          </w:p>
        </w:tc>
      </w:tr>
      <w:tr>
        <w:trPr>
          <w:cantSplit/>
        </w:trPr>
        <w:tc>
          <w:tcPr>
            <w:tcW w:type="dxa" w:w="2304"/>
            <w:vAlign w:val="top"/>
          </w:tcPr>
          <w:p>
            <w:pPr>
              <w:spacing w:after="40" w:before="0" w:line="259" w:lineRule="auto"/>
            </w:pPr>
            <w:r>
              <w:rPr>
                <w:rFonts w:ascii="Calibri" w:hAnsi="Calibri"/>
                <w:b/>
                <w:i w:val="0"/>
                <w:color w:val="212121"/>
                <w:sz w:val="19"/>
              </w:rPr>
              <w:t>Hard or lumpy stools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Bristol type 1-2 stool from slow transit and low stool water content.</w:t>
            </w:r>
          </w:p>
        </w:tc>
      </w:tr>
      <w:tr>
        <w:trPr>
          <w:cantSplit/>
        </w:trPr>
        <w:tc>
          <w:tcPr>
            <w:tcW w:type="dxa" w:w="2304"/>
            <w:vAlign w:val="top"/>
          </w:tcPr>
          <w:p>
            <w:pPr>
              <w:spacing w:after="40" w:before="0" w:line="259" w:lineRule="auto"/>
            </w:pPr>
            <w:r>
              <w:rPr>
                <w:rFonts w:ascii="Calibri" w:hAnsi="Calibri"/>
                <w:b/>
                <w:i w:val="0"/>
                <w:color w:val="212121"/>
                <w:sz w:val="19"/>
              </w:rPr>
              <w:t>Sensation of incomplete evacuation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Feeling that the rectum has not emptied fully after defecation.</w:t>
            </w:r>
          </w:p>
        </w:tc>
      </w:tr>
      <w:tr>
        <w:trPr>
          <w:cantSplit/>
        </w:trPr>
        <w:tc>
          <w:tcPr>
            <w:tcW w:type="dxa" w:w="2304"/>
            <w:vAlign w:val="top"/>
          </w:tcPr>
          <w:p>
            <w:pPr>
              <w:spacing w:after="40" w:before="0" w:line="259" w:lineRule="auto"/>
            </w:pPr>
            <w:r>
              <w:rPr>
                <w:rFonts w:ascii="Calibri" w:hAnsi="Calibri"/>
                <w:b/>
                <w:i w:val="0"/>
                <w:color w:val="212121"/>
                <w:sz w:val="19"/>
              </w:rPr>
              <w:t>Sensation of anorectal blockage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Perceived obstruction at the anus or rectum during attempted defecation.</w:t>
            </w:r>
          </w:p>
        </w:tc>
      </w:tr>
      <w:tr>
        <w:trPr>
          <w:cantSplit/>
        </w:trPr>
        <w:tc>
          <w:tcPr>
            <w:tcW w:type="dxa" w:w="2304"/>
            <w:vAlign w:val="top"/>
          </w:tcPr>
          <w:p>
            <w:pPr>
              <w:spacing w:after="40" w:before="0" w:line="259" w:lineRule="auto"/>
            </w:pPr>
            <w:r>
              <w:rPr>
                <w:rFonts w:ascii="Calibri" w:hAnsi="Calibri"/>
                <w:b/>
                <w:i w:val="0"/>
                <w:color w:val="212121"/>
                <w:sz w:val="19"/>
              </w:rPr>
              <w:t>Abdominal bloating &amp; distension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Gaseous fullness from delayed transit and stool retention.</w:t>
            </w:r>
          </w:p>
        </w:tc>
      </w:tr>
      <w:tr>
        <w:trPr>
          <w:cantSplit/>
        </w:trPr>
        <w:tc>
          <w:tcPr>
            <w:tcW w:type="dxa" w:w="2304"/>
            <w:vAlign w:val="top"/>
          </w:tcPr>
          <w:p>
            <w:pPr>
              <w:spacing w:after="40" w:before="0" w:line="259" w:lineRule="auto"/>
            </w:pPr>
            <w:r>
              <w:rPr>
                <w:rFonts w:ascii="Calibri" w:hAnsi="Calibri"/>
                <w:b/>
                <w:i w:val="0"/>
                <w:color w:val="212121"/>
                <w:sz w:val="19"/>
              </w:rPr>
              <w:t>Abdominal discomfort /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Cramping or dull ache; when pain is prominent and defecation-related, consider IBS-C.</w:t>
            </w:r>
          </w:p>
        </w:tc>
      </w:tr>
      <w:tr>
        <w:trPr>
          <w:cantSplit/>
        </w:trPr>
        <w:tc>
          <w:tcPr>
            <w:tcW w:type="dxa" w:w="2304"/>
            <w:vAlign w:val="top"/>
          </w:tcPr>
          <w:p>
            <w:pPr>
              <w:spacing w:after="40" w:before="0" w:line="259" w:lineRule="auto"/>
            </w:pPr>
            <w:r>
              <w:rPr>
                <w:rFonts w:ascii="Calibri" w:hAnsi="Calibri"/>
                <w:b/>
                <w:i w:val="0"/>
                <w:color w:val="212121"/>
                <w:sz w:val="19"/>
              </w:rPr>
              <w:t>Need for manual manoeuvres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Digital evacuation or perineal/vaginal splinting to pass stool - suggests a defecatory disorder.</w:t>
            </w:r>
          </w:p>
        </w:tc>
      </w:tr>
      <w:tr>
        <w:trPr>
          <w:cantSplit/>
        </w:trPr>
        <w:tc>
          <w:tcPr>
            <w:tcW w:type="dxa" w:w="2304"/>
            <w:vAlign w:val="top"/>
          </w:tcPr>
          <w:p>
            <w:pPr>
              <w:spacing w:after="40" w:before="0" w:line="259" w:lineRule="auto"/>
            </w:pPr>
            <w:r>
              <w:rPr>
                <w:rFonts w:ascii="Calibri" w:hAnsi="Calibri"/>
                <w:b/>
                <w:i w:val="0"/>
                <w:color w:val="212121"/>
                <w:sz w:val="19"/>
              </w:rPr>
              <w:t>Excessive time / prolonged sitting on toilet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Long, effortful toilet visits, often with little result.</w:t>
            </w:r>
          </w:p>
        </w:tc>
      </w:tr>
      <w:tr>
        <w:trPr>
          <w:cantSplit/>
        </w:trPr>
        <w:tc>
          <w:tcPr>
            <w:tcW w:type="dxa" w:w="2304"/>
            <w:vAlign w:val="top"/>
          </w:tcPr>
          <w:p>
            <w:pPr>
              <w:spacing w:after="40" w:before="0" w:line="259" w:lineRule="auto"/>
            </w:pPr>
            <w:r>
              <w:rPr>
                <w:rFonts w:ascii="Calibri" w:hAnsi="Calibri"/>
                <w:b/>
                <w:i w:val="0"/>
                <w:color w:val="212121"/>
                <w:sz w:val="19"/>
              </w:rPr>
              <w:t>Reduced appetite &amp; nausea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From colonic loading and abdominal distension in more severe cases.</w:t>
            </w:r>
          </w:p>
        </w:tc>
      </w:tr>
      <w:tr>
        <w:trPr>
          <w:cantSplit/>
        </w:trPr>
        <w:tc>
          <w:tcPr>
            <w:tcW w:type="dxa" w:w="2304"/>
            <w:vAlign w:val="top"/>
          </w:tcPr>
          <w:p>
            <w:pPr>
              <w:spacing w:after="40" w:before="0" w:line="259" w:lineRule="auto"/>
            </w:pPr>
            <w:r>
              <w:rPr>
                <w:rFonts w:ascii="Calibri" w:hAnsi="Calibri"/>
                <w:b/>
                <w:i w:val="0"/>
                <w:color w:val="212121"/>
                <w:sz w:val="19"/>
              </w:rPr>
              <w:t>Rectal bleeding / blood on stool surface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Usually from a fissure or haemorrhoid caused by straining; persistent bleeding is a red flag.</w:t>
            </w:r>
          </w:p>
        </w:tc>
      </w:tr>
      <w:tr>
        <w:trPr>
          <w:cantSplit/>
        </w:trPr>
        <w:tc>
          <w:tcPr>
            <w:tcW w:type="dxa" w:w="2304"/>
            <w:vAlign w:val="top"/>
          </w:tcPr>
          <w:p>
            <w:pPr>
              <w:spacing w:after="40" w:before="0" w:line="259" w:lineRule="auto"/>
            </w:pPr>
            <w:r>
              <w:rPr>
                <w:rFonts w:ascii="Calibri" w:hAnsi="Calibri"/>
                <w:b/>
                <w:i w:val="0"/>
                <w:color w:val="212121"/>
                <w:sz w:val="19"/>
              </w:rPr>
              <w:t>Paradoxical (overflow) diarrhoea / soiling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Liquid stool leaking around a faecal impaction, especially in the elderly and children.</w:t>
            </w:r>
          </w:p>
        </w:tc>
      </w:tr>
      <w:tr>
        <w:trPr>
          <w:cantSplit/>
        </w:trPr>
        <w:tc>
          <w:tcPr>
            <w:tcW w:type="dxa" w:w="2304"/>
            <w:vAlign w:val="top"/>
          </w:tcPr>
          <w:p>
            <w:pPr>
              <w:spacing w:after="40" w:before="0" w:line="259" w:lineRule="auto"/>
            </w:pPr>
            <w:r>
              <w:rPr>
                <w:rFonts w:ascii="Calibri" w:hAnsi="Calibri"/>
                <w:b/>
                <w:i w:val="0"/>
                <w:color w:val="212121"/>
                <w:sz w:val="19"/>
              </w:rPr>
              <w:t>Anorexia, malaise &amp; urinary symptoms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With severe impaction; rectal loading can cause urinary frequency or retention.</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Palpable faecal loading in the left iliac fossa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Indentable, mobile faecal masses along the descending/sigmoid colon on abdominal palpation.</w:t>
            </w:r>
          </w:p>
        </w:tc>
      </w:tr>
      <w:tr>
        <w:trPr>
          <w:cantSplit/>
        </w:trPr>
        <w:tc>
          <w:tcPr>
            <w:tcW w:type="dxa" w:w="3456"/>
            <w:vAlign w:val="top"/>
          </w:tcPr>
          <w:p>
            <w:pPr>
              <w:spacing w:after="40" w:before="0" w:line="259" w:lineRule="auto"/>
            </w:pPr>
            <w:r>
              <w:rPr>
                <w:rFonts w:ascii="Calibri" w:hAnsi="Calibri"/>
                <w:b/>
                <w:i w:val="0"/>
                <w:color w:val="212121"/>
                <w:sz w:val="19"/>
              </w:rPr>
              <w:t>Hard stool in the rectum on digital rectal examination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Rectum loaded with hard stool; an empty rectum may instead suggest slow-transit constipation.</w:t>
            </w:r>
          </w:p>
        </w:tc>
      </w:tr>
      <w:tr>
        <w:trPr>
          <w:cantSplit/>
        </w:trPr>
        <w:tc>
          <w:tcPr>
            <w:tcW w:type="dxa" w:w="3456"/>
            <w:vAlign w:val="top"/>
          </w:tcPr>
          <w:p>
            <w:pPr>
              <w:spacing w:after="40" w:before="0" w:line="259" w:lineRule="auto"/>
            </w:pPr>
            <w:r>
              <w:rPr>
                <w:rFonts w:ascii="Calibri" w:hAnsi="Calibri"/>
                <w:b/>
                <w:i w:val="0"/>
                <w:color w:val="212121"/>
                <w:sz w:val="19"/>
              </w:rPr>
              <w:t>Abdominal distension / tympany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Generalised distension with tympanitic percussion from gas and retained stool.</w:t>
            </w:r>
          </w:p>
        </w:tc>
      </w:tr>
      <w:tr>
        <w:trPr>
          <w:cantSplit/>
        </w:trPr>
        <w:tc>
          <w:tcPr>
            <w:tcW w:type="dxa" w:w="3456"/>
            <w:vAlign w:val="top"/>
          </w:tcPr>
          <w:p>
            <w:pPr>
              <w:spacing w:after="40" w:before="0" w:line="259" w:lineRule="auto"/>
            </w:pPr>
            <w:r>
              <w:rPr>
                <w:rFonts w:ascii="Calibri" w:hAnsi="Calibri"/>
                <w:b/>
                <w:i w:val="0"/>
                <w:color w:val="212121"/>
                <w:sz w:val="19"/>
              </w:rPr>
              <w:t>Dyssynergia on digital rectal examination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Paradoxical contraction or failure to relax the puborectalis/anal sphincter, or failure to bear down, on straining.</w:t>
            </w:r>
          </w:p>
        </w:tc>
      </w:tr>
      <w:tr>
        <w:trPr>
          <w:cantSplit/>
        </w:trPr>
        <w:tc>
          <w:tcPr>
            <w:tcW w:type="dxa" w:w="3456"/>
            <w:vAlign w:val="top"/>
          </w:tcPr>
          <w:p>
            <w:pPr>
              <w:spacing w:after="40" w:before="0" w:line="259" w:lineRule="auto"/>
            </w:pPr>
            <w:r>
              <w:rPr>
                <w:rFonts w:ascii="Calibri" w:hAnsi="Calibri"/>
                <w:b/>
                <w:i w:val="0"/>
                <w:color w:val="212121"/>
                <w:sz w:val="19"/>
              </w:rPr>
              <w:t>Anal fissure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painful posterior-midline tear from passage of hard stool, perpetuating stool withholding.</w:t>
            </w:r>
          </w:p>
        </w:tc>
      </w:tr>
      <w:tr>
        <w:trPr>
          <w:cantSplit/>
        </w:trPr>
        <w:tc>
          <w:tcPr>
            <w:tcW w:type="dxa" w:w="3456"/>
            <w:vAlign w:val="top"/>
          </w:tcPr>
          <w:p>
            <w:pPr>
              <w:spacing w:after="40" w:before="0" w:line="259" w:lineRule="auto"/>
            </w:pPr>
            <w:r>
              <w:rPr>
                <w:rFonts w:ascii="Calibri" w:hAnsi="Calibri"/>
                <w:b/>
                <w:i w:val="0"/>
                <w:color w:val="212121"/>
                <w:sz w:val="19"/>
              </w:rPr>
              <w:t>External or prolapsed haemorrhoids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Straining-related venous engorgement at the anal verge.</w:t>
            </w:r>
          </w:p>
        </w:tc>
      </w:tr>
      <w:tr>
        <w:trPr>
          <w:cantSplit/>
        </w:trPr>
        <w:tc>
          <w:tcPr>
            <w:tcW w:type="dxa" w:w="3456"/>
            <w:vAlign w:val="top"/>
          </w:tcPr>
          <w:p>
            <w:pPr>
              <w:spacing w:after="40" w:before="0" w:line="259" w:lineRule="auto"/>
            </w:pPr>
            <w:r>
              <w:rPr>
                <w:rFonts w:ascii="Calibri" w:hAnsi="Calibri"/>
                <w:b/>
                <w:i w:val="0"/>
                <w:color w:val="212121"/>
                <w:sz w:val="19"/>
              </w:rPr>
              <w:t>Perianal soiling / overflow staining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Faecal staining of perianal skin, typically from overflow around an impaction.</w:t>
            </w:r>
          </w:p>
        </w:tc>
      </w:tr>
      <w:tr>
        <w:trPr>
          <w:cantSplit/>
        </w:trPr>
        <w:tc>
          <w:tcPr>
            <w:tcW w:type="dxa" w:w="3456"/>
            <w:vAlign w:val="top"/>
          </w:tcPr>
          <w:p>
            <w:pPr>
              <w:spacing w:after="40" w:before="0" w:line="259" w:lineRule="auto"/>
            </w:pPr>
            <w:r>
              <w:rPr>
                <w:rFonts w:ascii="Calibri" w:hAnsi="Calibri"/>
                <w:b/>
                <w:i w:val="0"/>
                <w:color w:val="212121"/>
                <w:sz w:val="19"/>
              </w:rPr>
              <w:t>Reduced or excessive perineal descent</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Abnormal pelvic-floor movement on bearing down, indicating an evacuation disorder.</w:t>
            </w:r>
          </w:p>
        </w:tc>
      </w:tr>
      <w:tr>
        <w:trPr>
          <w:cantSplit/>
        </w:trPr>
        <w:tc>
          <w:tcPr>
            <w:tcW w:type="dxa" w:w="3456"/>
            <w:vAlign w:val="top"/>
          </w:tcPr>
          <w:p>
            <w:pPr>
              <w:spacing w:after="40" w:before="0" w:line="259" w:lineRule="auto"/>
            </w:pPr>
            <w:r>
              <w:rPr>
                <w:rFonts w:ascii="Calibri" w:hAnsi="Calibri"/>
                <w:b/>
                <w:i w:val="0"/>
                <w:color w:val="212121"/>
                <w:sz w:val="19"/>
              </w:rPr>
              <w:t>Features of a secondary cause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Dry skin, bradycardia and delayed reflexes (hypothyroidism) or parkinsonian signs pointing to secondary constipation.</w:t>
            </w:r>
          </w:p>
        </w:tc>
      </w:tr>
      <w:tr>
        <w:trPr>
          <w:cantSplit/>
        </w:trPr>
        <w:tc>
          <w:tcPr>
            <w:tcW w:type="dxa" w:w="3456"/>
            <w:vAlign w:val="top"/>
          </w:tcPr>
          <w:p>
            <w:pPr>
              <w:spacing w:after="40" w:before="0" w:line="259" w:lineRule="auto"/>
            </w:pPr>
            <w:r>
              <w:rPr>
                <w:rFonts w:ascii="Calibri" w:hAnsi="Calibri"/>
                <w:b/>
                <w:i w:val="0"/>
                <w:color w:val="212121"/>
                <w:sz w:val="19"/>
              </w:rPr>
              <w:t>Rectal prolapse</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Full-thickness protrusion of the rectum through the anus after chronic straining.</w:t>
            </w:r>
          </w:p>
        </w:tc>
      </w:tr>
      <w:tr>
        <w:trPr>
          <w:cantSplit/>
        </w:trPr>
        <w:tc>
          <w:tcPr>
            <w:tcW w:type="dxa" w:w="3456"/>
            <w:vAlign w:val="top"/>
          </w:tcPr>
          <w:p>
            <w:pPr>
              <w:spacing w:after="40" w:before="0" w:line="259" w:lineRule="auto"/>
            </w:pPr>
            <w:r>
              <w:rPr>
                <w:rFonts w:ascii="Calibri" w:hAnsi="Calibri"/>
                <w:b/>
                <w:i w:val="0"/>
                <w:color w:val="212121"/>
                <w:sz w:val="19"/>
              </w:rPr>
              <w:t>Palpable rectal or abdominal mass / pallor</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A red flag suggesting colorectal malignancy or obstruction, mandating colonoscopy.</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Anal fissures and painful defecation from passage of hard stool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Haemorrhoids from chronic straining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Faecal impaction with overflow (paradoxical) incontinence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Rectal bleeding from fissures or haemorrhoids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abdominal bloating, discomfort and reduced quality of life</w:t>
            </w:r>
          </w:p>
        </w:tc>
        <w:tc>
          <w:tcPr>
            <w:tcW w:type="dxa" w:w="2980"/>
            <w:vAlign w:val="top"/>
          </w:tcPr>
          <w:p>
            <w:pPr>
              <w:spacing w:after="40" w:before="0" w:line="259" w:lineRule="auto"/>
            </w:pPr>
            <w:r>
              <w:rPr>
                <w:rFonts w:ascii="Calibri" w:hAnsi="Calibri"/>
                <w:b w:val="0"/>
                <w:i w:val="0"/>
                <w:color w:val="212121"/>
                <w:sz w:val="19"/>
              </w:rPr>
              <w:t>Direct mechanical consequences of hard stool, straining and rectal loading</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Rectal prolapse and pelvic-floor descent / dysfunction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Stercoral ulceration of the colonic/rectal mucosa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Urinary retention or frequency from rectal loading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Laxative dependence and electrolyte disturbance from misuse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Anxiety, depression and social withdrawal driven by symptom burden</w:t>
            </w:r>
          </w:p>
        </w:tc>
        <w:tc>
          <w:tcPr>
            <w:tcW w:type="dxa" w:w="2980"/>
            <w:vAlign w:val="top"/>
          </w:tcPr>
          <w:p>
            <w:pPr>
              <w:spacing w:after="40" w:before="0" w:line="259" w:lineRule="auto"/>
            </w:pPr>
            <w:r>
              <w:rPr>
                <w:rFonts w:ascii="Calibri" w:hAnsi="Calibri"/>
                <w:b w:val="0"/>
                <w:i w:val="0"/>
                <w:color w:val="212121"/>
                <w:sz w:val="19"/>
              </w:rPr>
              <w:t>Consequences of longstanding straining, impaction and inappropriate self-treatment</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Stercoral colitis and stercoral perforation (a life-threatening emergency)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Large-bowel obstruction and sigmoid volvulus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Acquired megacolon / megarectum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faecal incontinence and disability, especially in the 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Need for surgery (e.g., subtotal colectomy) in refractory slow-transit constipation</w:t>
            </w:r>
          </w:p>
        </w:tc>
        <w:tc>
          <w:tcPr>
            <w:tcW w:type="dxa" w:w="2980"/>
            <w:vAlign w:val="top"/>
          </w:tcPr>
          <w:p>
            <w:pPr>
              <w:spacing w:after="40" w:before="0" w:line="259" w:lineRule="auto"/>
            </w:pPr>
            <w:r>
              <w:rPr>
                <w:rFonts w:ascii="Calibri" w:hAnsi="Calibri"/>
                <w:b w:val="0"/>
                <w:i w:val="0"/>
                <w:color w:val="212121"/>
                <w:sz w:val="19"/>
              </w:rPr>
              <w:t>Irreversible or emergency outcomes of severe, longstanding, poorly managed constipation</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Dyssynergic defecation / pelvic-floor dysfunction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Paradoxical pelvic-floor contraction obstructing evacuation; treatable by biofeedback.</w:t>
            </w:r>
          </w:p>
          <w:p>
            <w:pPr>
              <w:spacing w:after="40" w:before="0" w:line="259" w:lineRule="auto"/>
            </w:pPr>
            <w:r>
              <w:rPr>
                <w:rFonts w:ascii="Calibri" w:hAnsi="Calibri"/>
                <w:b/>
                <w:i w:val="0"/>
                <w:color w:val="212121"/>
                <w:sz w:val="19"/>
              </w:rPr>
              <w:t>34-55.8% (Indian series)</w:t>
            </w:r>
          </w:p>
        </w:tc>
      </w:tr>
      <w:tr>
        <w:trPr>
          <w:cantSplit/>
        </w:trPr>
        <w:tc>
          <w:tcPr>
            <w:tcW w:type="dxa" w:w="2232"/>
            <w:vAlign w:val="top"/>
          </w:tcPr>
          <w:p>
            <w:pPr>
              <w:spacing w:after="40" w:before="0" w:line="259" w:lineRule="auto"/>
            </w:pPr>
            <w:r>
              <w:rPr>
                <w:rFonts w:ascii="Calibri" w:hAnsi="Calibri"/>
                <w:b/>
                <w:i w:val="0"/>
                <w:color w:val="212121"/>
                <w:sz w:val="19"/>
              </w:rPr>
              <w:t>Haemorrhoids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Straining-related venous engorgement; a very common downstream condition.</w:t>
            </w:r>
          </w:p>
        </w:tc>
      </w:tr>
      <w:tr>
        <w:trPr>
          <w:cantSplit/>
        </w:trPr>
        <w:tc>
          <w:tcPr>
            <w:tcW w:type="dxa" w:w="2232"/>
            <w:vAlign w:val="top"/>
          </w:tcPr>
          <w:p>
            <w:pPr>
              <w:spacing w:after="40" w:before="0" w:line="259" w:lineRule="auto"/>
            </w:pPr>
            <w:r>
              <w:rPr>
                <w:rFonts w:ascii="Calibri" w:hAnsi="Calibri"/>
                <w:b/>
                <w:i w:val="0"/>
                <w:color w:val="212121"/>
                <w:sz w:val="19"/>
              </w:rPr>
              <w:t>Anal fissure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Hard-stool tear that perpetuates painful stool withholding.</w:t>
            </w:r>
          </w:p>
        </w:tc>
      </w:tr>
      <w:tr>
        <w:trPr>
          <w:cantSplit/>
        </w:trPr>
        <w:tc>
          <w:tcPr>
            <w:tcW w:type="dxa" w:w="2232"/>
            <w:vAlign w:val="top"/>
          </w:tcPr>
          <w:p>
            <w:pPr>
              <w:spacing w:after="40" w:before="0" w:line="259" w:lineRule="auto"/>
            </w:pPr>
            <w:r>
              <w:rPr>
                <w:rFonts w:ascii="Calibri" w:hAnsi="Calibri"/>
                <w:b/>
                <w:i w:val="0"/>
                <w:color w:val="212121"/>
                <w:sz w:val="19"/>
              </w:rPr>
              <w:t>Irritable bowel syndrome (IBS-C)</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Overlapping disorder of gut-brain interaction with prominent abdominal pain.</w:t>
            </w:r>
          </w:p>
        </w:tc>
      </w:tr>
      <w:tr>
        <w:trPr>
          <w:cantSplit/>
        </w:trPr>
        <w:tc>
          <w:tcPr>
            <w:tcW w:type="dxa" w:w="2232"/>
            <w:vAlign w:val="top"/>
          </w:tcPr>
          <w:p>
            <w:pPr>
              <w:spacing w:after="40" w:before="0" w:line="259" w:lineRule="auto"/>
            </w:pPr>
            <w:r>
              <w:rPr>
                <w:rFonts w:ascii="Calibri" w:hAnsi="Calibri"/>
                <w:b/>
                <w:i w:val="0"/>
                <w:color w:val="212121"/>
                <w:sz w:val="19"/>
              </w:rPr>
              <w:t>Hypothyroidism</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Reversible metabolic cause slowing colonic transit.</w:t>
            </w:r>
          </w:p>
        </w:tc>
      </w:tr>
      <w:tr>
        <w:trPr>
          <w:cantSplit/>
        </w:trPr>
        <w:tc>
          <w:tcPr>
            <w:tcW w:type="dxa" w:w="2232"/>
            <w:vAlign w:val="top"/>
          </w:tcPr>
          <w:p>
            <w:pPr>
              <w:spacing w:after="40" w:before="0" w:line="259" w:lineRule="auto"/>
            </w:pPr>
            <w:r>
              <w:rPr>
                <w:rFonts w:ascii="Calibri" w:hAnsi="Calibri"/>
                <w:b/>
                <w:i w:val="0"/>
                <w:color w:val="212121"/>
                <w:sz w:val="19"/>
              </w:rPr>
              <w:t>Diabetes mellitus (autonomic neuropathy)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Constipation is the commonest GI symptom, linked to poor glycaemic control.</w:t>
            </w:r>
          </w:p>
        </w:tc>
      </w:tr>
      <w:tr>
        <w:trPr>
          <w:cantSplit/>
        </w:trPr>
        <w:tc>
          <w:tcPr>
            <w:tcW w:type="dxa" w:w="2232"/>
            <w:vAlign w:val="top"/>
          </w:tcPr>
          <w:p>
            <w:pPr>
              <w:spacing w:after="40" w:before="0" w:line="259" w:lineRule="auto"/>
            </w:pPr>
            <w:r>
              <w:rPr>
                <w:rFonts w:ascii="Calibri" w:hAnsi="Calibri"/>
                <w:b/>
                <w:i w:val="0"/>
                <w:color w:val="212121"/>
                <w:sz w:val="19"/>
              </w:rPr>
              <w:t>Parkinson's disease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Neurogenic slow transit; often precedes the motor diagnosis.</w:t>
            </w:r>
          </w:p>
          <w:p>
            <w:pPr>
              <w:spacing w:after="40" w:before="0" w:line="259" w:lineRule="auto"/>
            </w:pPr>
            <w:r>
              <w:rPr>
                <w:rFonts w:ascii="Calibri" w:hAnsi="Calibri"/>
                <w:b/>
                <w:i w:val="0"/>
                <w:color w:val="212121"/>
                <w:sz w:val="19"/>
              </w:rPr>
              <w:t>~61%</w:t>
            </w:r>
          </w:p>
        </w:tc>
      </w:tr>
      <w:tr>
        <w:trPr>
          <w:cantSplit/>
        </w:trPr>
        <w:tc>
          <w:tcPr>
            <w:tcW w:type="dxa" w:w="2232"/>
            <w:vAlign w:val="top"/>
          </w:tcPr>
          <w:p>
            <w:pPr>
              <w:spacing w:after="40" w:before="0" w:line="259" w:lineRule="auto"/>
            </w:pPr>
            <w:r>
              <w:rPr>
                <w:rFonts w:ascii="Calibri" w:hAnsi="Calibri"/>
                <w:b/>
                <w:i w:val="0"/>
                <w:color w:val="212121"/>
                <w:sz w:val="19"/>
              </w:rPr>
              <w:t>Constipation in pregnancy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Hormonal and mechanical slowing plus iron supplementation.</w:t>
            </w:r>
          </w:p>
          <w:p>
            <w:pPr>
              <w:spacing w:after="40" w:before="0" w:line="259" w:lineRule="auto"/>
            </w:pPr>
            <w:r>
              <w:rPr>
                <w:rFonts w:ascii="Calibri" w:hAnsi="Calibri"/>
                <w:b/>
                <w:i w:val="0"/>
                <w:color w:val="212121"/>
                <w:sz w:val="19"/>
              </w:rPr>
              <w:t>~32%</w:t>
            </w:r>
          </w:p>
        </w:tc>
      </w:tr>
      <w:tr>
        <w:trPr>
          <w:cantSplit/>
        </w:trPr>
        <w:tc>
          <w:tcPr>
            <w:tcW w:type="dxa" w:w="2232"/>
            <w:vAlign w:val="top"/>
          </w:tcPr>
          <w:p>
            <w:pPr>
              <w:spacing w:after="40" w:before="0" w:line="259" w:lineRule="auto"/>
            </w:pPr>
            <w:r>
              <w:rPr>
                <w:rFonts w:ascii="Calibri" w:hAnsi="Calibri"/>
                <w:b/>
                <w:i w:val="0"/>
                <w:color w:val="212121"/>
                <w:sz w:val="19"/>
              </w:rPr>
              <w:t>Depression / anxiety</w:t>
            </w:r>
          </w:p>
        </w:tc>
        <w:tc>
          <w:tcPr>
            <w:tcW w:type="dxa" w:w="2520"/>
            <w:vAlign w:val="top"/>
          </w:tcPr>
          <w:p>
            <w:pPr>
              <w:spacing w:after="40" w:before="0" w:line="259" w:lineRule="auto"/>
            </w:pPr>
            <w:r>
              <w:rPr>
                <w:rFonts w:ascii="Calibri" w:hAnsi="Calibri"/>
                <w:b w:val="0"/>
                <w:i w:val="0"/>
                <w:color w:val="212121"/>
                <w:sz w:val="18"/>
              </w:rPr>
              <w:t>Bidirectional Association</w:t>
            </w:r>
          </w:p>
        </w:tc>
        <w:tc>
          <w:tcPr>
            <w:tcW w:type="dxa" w:w="4852"/>
            <w:vAlign w:val="top"/>
          </w:tcPr>
          <w:p>
            <w:pPr>
              <w:spacing w:after="40" w:before="0" w:line="259" w:lineRule="auto"/>
            </w:pPr>
            <w:r>
              <w:rPr>
                <w:rFonts w:ascii="Calibri" w:hAnsi="Calibri"/>
                <w:b w:val="0"/>
                <w:i w:val="0"/>
                <w:color w:val="212121"/>
                <w:sz w:val="19"/>
              </w:rPr>
              <w:t>Bidirectional gut-brain link worsening motility and symptoms.</w:t>
            </w:r>
          </w:p>
        </w:tc>
      </w:tr>
      <w:tr>
        <w:trPr>
          <w:cantSplit/>
        </w:trPr>
        <w:tc>
          <w:tcPr>
            <w:tcW w:type="dxa" w:w="2232"/>
            <w:vAlign w:val="top"/>
          </w:tcPr>
          <w:p>
            <w:pPr>
              <w:spacing w:after="40" w:before="0" w:line="259" w:lineRule="auto"/>
            </w:pPr>
            <w:r>
              <w:rPr>
                <w:rFonts w:ascii="Calibri" w:hAnsi="Calibri"/>
                <w:b/>
                <w:i w:val="0"/>
                <w:color w:val="212121"/>
                <w:sz w:val="19"/>
              </w:rPr>
              <w:t>Diverticular disease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Chronic straining and low-fibre diet promote colonic diverticula.</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a normal bowel pattern ranges from three times a day to three times a week; regularity and easy passage matter more than a daily motion.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ignore the urge to defecate - respond promptly, ideally after a meal (using the gastrocolic reflex), to preserve the natural reflex.</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Gradually build dietary fibre to 20-30 g/day with whole grains, millets, pulses, fruit and vegetables, and drink adequate fluids, especially in hot weather.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 footstool to raise the knees above the hips (or squat) and avoid prolonged straining and long periods on the toilet.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alarm features (rectal bleeding, unintentional weight loss, anaemia, a change in stool calibre, onset after 50, family history of bowel cancer) and seek prompt evaluation.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habitual, unsupervised stimulant-laxative use; seek advice for persistent symptoms rather than self-medicating.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Low-fibre diet consumers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at least 150 minutes/week of moderate activity such as brisk walking, cycling or swimming to stimulate colonic motility.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the elderly or bedbound, encourage regular ambulation and simple mobility and abdominal exercises.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a short walk after meals to enhance the gastrocolic reflex and the urge to defecate.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activity with dietary improvement, as fibre works best for constipation in the physically active.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pelvic-floor-directed exercises / biofeedback where dyssynergic defecation is diagnosed.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Slow-transit constipation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Dyssynergic defecation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Desk workers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Prefer whole grains and millets (ragi, jowar, bajra), brown rice, oats, whole-wheat rotis, pulses, nuts and seeds over refined maida and polished rice.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plenty of fibre-rich fruit and vegetables (e.g., papaya, guava, oranges, leafy greens) and include prunes/figs, which have a natural laxative effect.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 fibre gradually to minimise bloating and gas, and always pair higher fibre with more fluids.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low-residue, fried and ultra-processed foods and excessive dairy that can slow the bowel.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regular meal timings, including breakfast, to entrain the gastrocolic reflex.</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Low-fibre eaters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Urban / fast-food consumers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High-risk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a soluble-fibre supplement such as psyllium (isabgol) 10-20 g/day with adequate water when diet alone is insufficient.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 fluid intake of about 1.5-2.0 L/day (more in heat or exertion), as low fluid intake hardens stool.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kiwifruit, prunes or prune juice, which have evidence for improving stool frequency and consistency.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Escalate to osmotic laxatives (e.g., polyethylene glycol) if diet and fibre fail, under medical guidance, reserving stimulant laxatives for short-term 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Review and switch or minimise constipating drugs (opioids, oral iron, anticholinergics, calcium-channel blockers) where possible.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Established chronic constipation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Normal-transit constipation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constipating drugs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consistent sleep-wake schedule to support the natural morning surge in colonic motility.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Allow unhurried time for a bowel movement after waking and breakfast rather than rushing out.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shift work by protecting a regular toileting routine and adequate rest.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sleep disorders, which can disturb bowel rhythm through the gut-brain axis.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Travellers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Busy professionals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take up or continue smoking to regulate bowels - its effect is transient and its harms substantial.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Anticipate short-term constipation during smoking cessation and pre-empt it with extra fibre, fluids and activity.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nicotine-replacement therapy and behavioural support to quit while maintaining bowel-friendly habits.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attempting to quit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Recent quitters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adults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within low-risk limits, as heavy drinking promotes dehydration that can harden stool.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Match any alcohol with water to maintain hydration.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relying on alcohol and instead address diet, fluids and activity for regular bowels.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Regular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poor hydration</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manage anxiety, depression and stress (GAD-7/PHQ-9), which alter gut motility and worsen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stress-reduction (yoga, meditation, diaphragmatic breathing), which can help gut-brain-related constipation.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Access gut-directed cognitive behavioural therapy or hypnotherapy for refractory functional symptoms, particularly with IBS-C overlap.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Refer for pelvic-floor biofeedback in dyssynergic defecation, which retrains coordinated evacuation with high success rates.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 multidisciplinary approach (gastroenterologist, dietitian, physiotherapist, psychologist) for severe or refractory cases.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Refractory constipation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Dyssynergic defecation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IBS-C overlap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anxiety or depression</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25461464/" TargetMode="External"/><Relationship Id="rId10" Type="http://schemas.openxmlformats.org/officeDocument/2006/relationships/hyperlink" Target="https://www.ncbi.nlm.nih.gov/books/NBK513291/" TargetMode="External"/><Relationship Id="rId11" Type="http://schemas.openxmlformats.org/officeDocument/2006/relationships/hyperlink" Target="https://link.springer.com/article/10.1186/s12884-024-07057-y" TargetMode="External"/><Relationship Id="rId12" Type="http://schemas.openxmlformats.org/officeDocument/2006/relationships/hyperlink" Target="https://www.worldgastroenterology.org/UserFiles/file/guidelines/constipation-english-2025.pdf" TargetMode="External"/><Relationship Id="rId13" Type="http://schemas.openxmlformats.org/officeDocument/2006/relationships/hyperlink" Target="https://www.foodandnutritionjournal.org/volume4number2/water-intake-dietary-fibre-defecatory-habits-and-its-association-with-chronic-functional-constipation/" TargetMode="External"/><Relationship Id="rId14" Type="http://schemas.openxmlformats.org/officeDocument/2006/relationships/hyperlink" Target="https://pmc.ncbi.nlm.nih.gov/articles/PMC11238098/" TargetMode="External"/><Relationship Id="rId15" Type="http://schemas.openxmlformats.org/officeDocument/2006/relationships/hyperlink" Target="https://www.sciencedirect.com/science/article/pii/S0753332223009939" TargetMode="External"/><Relationship Id="rId16" Type="http://schemas.openxmlformats.org/officeDocument/2006/relationships/hyperlink" Target="https://www.nature.com/articles/s41598-017-16790-8" TargetMode="External"/><Relationship Id="rId17" Type="http://schemas.openxmlformats.org/officeDocument/2006/relationships/hyperlink" Target="https://www.ncbi.nlm.nih.gov/books/NBK4931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