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Acute Gastroenteritis / Diarrhea</w:t>
      </w:r>
    </w:p>
    <w:p>
      <w:pPr>
        <w:spacing w:before="0" w:after="160"/>
      </w:pPr>
      <w:r>
        <w:rPr>
          <w:rFonts w:ascii="Calibri" w:hAnsi="Calibri"/>
          <w:b/>
          <w:i w:val="0"/>
          <w:color w:val="212121"/>
          <w:sz w:val="22"/>
        </w:rPr>
        <w:t xml:space="preserve">AKA </w:t>
      </w:r>
      <w:r>
        <w:rPr>
          <w:rFonts w:ascii="Calibri" w:hAnsi="Calibri"/>
          <w:b w:val="0"/>
          <w:i w:val="0"/>
          <w:color w:val="212121"/>
          <w:sz w:val="22"/>
        </w:rPr>
        <w:t>i.e., Stomach flu, Gastric flu, Loose motions / Dast, Food poisoning, Traveller's diarrhoea, Acute diarrhoeal disease (ADD)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Acute gastroenteritis is an inflammation of the stomach and intestines, most often infectious, presenting with the acute onset of diarrhoea (defined by WHO as the passage of three or more loose or watery stools in 24 hours) with or without vomiting, nausea, abdominal cramps and fever. It is usually self-limiting and lasts less than 14 days. The principal danger is loss of water and electrolytes leading to dehydration, which is the main cause of morbidity and death, especially in young children and the elderly.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the National Family Health Survey (NFHS) shows that roughly 7-9% of children under five have had diarrhoea in the two weeks preceding the survey, with the highest burden in central and eastern states (Bihar highest at about 13.7%) and in rural areas. Diarrhoeal disease remains a leading cause of under-five death, although mortality has fallen sharply - from about 147 per 100,000 under-five children in 1990 to around 35 per 100,000 by 2021. Globally there are nearly 1.7 billion episodes of childhood diarrhoeal disease and about 4.44 lakh (443,832) under-five deaths every year.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gastroenteritis is primarily a clinical diagnosis based on history and assessment of hydration; laboratory investigations are reserved for severe, persistent, dysenteric, high-risk or outbreak presentations. It is recognised on the basis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three or more loose or watery stools in 24 hours (WHO definition), lasting less than 14 days, with or without vomiting;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associated features such as nausea, vomiting, peri-umbilical or lower abdominal cramps, low-grade fever, urgency or tenesmus;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grading of dehydration (WHO/IMNCI: no dehydration, some dehydration, severe dehydration) using general condition, sunken eyes, thirst and skin-pinch (turgor);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characterisation of stool - watery/large-volume (secretory or osmotic: rotavirus, norovirus, ETEC, Vibrio cholerae) versus bloody or mucoid dysentery (invasive: Shigella, Campylobacter, non-typhoidal Salmonella, Entamoeba histolytica);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microscopy, culture and sensitivity, rotavirus antigen ELISA/rapid test, or ova-and-parasite/Clostridioides difficile toxin assay - only when dysentery, persistence beyond 7 days, systemic toxicity, immunocompromise or outbreak investigation is present;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electrolytes, urea/creatinine and venous blood gas in severe dehydration or whenever intravenous rehydration is required.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Acute gastroenteritis/diarrhoea is classified by duration, underlying mechanism, stool character, aetiology and severity of dehydration:</w:t>
      </w:r>
    </w:p>
    <w:p>
      <w:pPr>
        <w:spacing w:before="0" w:after="80"/>
      </w:pPr>
      <w:r>
        <w:rPr>
          <w:rFonts w:ascii="Calibri" w:hAnsi="Calibri"/>
          <w:b w:val="0"/>
          <w:i w:val="0"/>
          <w:color w:val="212121"/>
          <w:sz w:val="21"/>
        </w:rPr>
        <w:t>(1) By duration: acute (less than 14 days), persistent (14-29 days) and chronic (30 days or more); acute gastroenteritis by definition falls within the acute, under-14-day group.</w:t>
      </w:r>
    </w:p>
    <w:p>
      <w:pPr>
        <w:spacing w:before="0" w:after="80"/>
      </w:pPr>
      <w:r>
        <w:rPr>
          <w:rFonts w:ascii="Calibri" w:hAnsi="Calibri"/>
          <w:b w:val="0"/>
          <w:i w:val="0"/>
          <w:color w:val="212121"/>
          <w:sz w:val="21"/>
        </w:rPr>
        <w:t>(2) By stool type and mechanism: acute watery diarrhoea (secretory or osmotic - rotavirus, norovirus, enterotoxigenic E. coli, Vibrio cholerae) causing large-volume fluid loss and rapid dehydration; and invasive or bloody diarrhoea/dysentery (Shigella, enteroinvasive and enterohaemorrhagic E. coli, Campylobacter, non-typhoidal Salmonella, Entamoeba histolytica) with fever and mucosal invasion.</w:t>
      </w:r>
    </w:p>
    <w:p>
      <w:pPr>
        <w:spacing w:before="0" w:after="80"/>
      </w:pPr>
      <w:r>
        <w:rPr>
          <w:rFonts w:ascii="Calibri" w:hAnsi="Calibri"/>
          <w:b w:val="0"/>
          <w:i w:val="0"/>
          <w:color w:val="212121"/>
          <w:sz w:val="21"/>
        </w:rPr>
        <w:t>(3) By aetiology: viral (the most common overall - rotavirus, norovirus, adenovirus, astrovirus), bacterial (diarrhoeagenic E. coli, Shigella, Salmonella, Campylobacter, Vibrio cholerae, Clostridioides difficile) and parasitic (Giardia lamblia, Entamoeba histolytica, Cryptosporidium).</w:t>
      </w:r>
    </w:p>
    <w:p>
      <w:pPr>
        <w:spacing w:before="0" w:after="80"/>
      </w:pPr>
      <w:r>
        <w:rPr>
          <w:rFonts w:ascii="Calibri" w:hAnsi="Calibri"/>
          <w:b w:val="0"/>
          <w:i w:val="0"/>
          <w:color w:val="212121"/>
          <w:sz w:val="21"/>
        </w:rPr>
        <w:t>(4) By severity of dehydration (WHO/IMNCI): no or minimal dehydration (under 3% fluid loss, treatment Plan A - home ORS and zinc), some/moderate dehydration (3-9% loss, Plan B - supervised ORS), and severe dehydration (10% loss or more, Plan C - urgent intravenous rehydration).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Rotavirus and norovirus are the leading viral causes. Rotavirus historically accounted for about 37% of under-five gastroenteritis hospitalisations in India before vaccination, while norovirus is the single commonest cause across all age groups.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Bacterial infection: Diarrhoeagenic E. coli, Shigella, non-typhoidal Salmonella, Campylobacter and Vibrio cholerae spread faeco-orally through contaminated food and water; invasive strains produce dysentery and toxins produce large-volume watery loss.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Parasitic infection: Giardia lamblia, Entamoeba histolytica and Cryptosporidium are important causes of persistent diarrhoea and dominate in immunocompromised hosts.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Contaminated water and poor sanitation: Unsafe drinking water, open defecation and inadequate sewage disposal are the dominant faeco-oral drivers in India, worsened by monsoon flooding.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Food-related causes: Unhygienic street food, improperly stored or reheated food and food handled by infected persons ('food poisoning'); pre-formed toxins (Staphylococcus aureus, Bacillus cereus) cause rapid-onset vomiting and diarrhoea.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iatrogenic factors: Lack of exclusive breastfeeding, malnutrition and zinc deficiency, gastric acid suppression (proton-pump inhibitors) and recent antibiotic use (Clostridioides difficile) increase susceptibility and severity.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and children under 5 (especially 6-24 months)</w:t>
            </w:r>
          </w:p>
        </w:tc>
        <w:tc>
          <w:tcPr>
            <w:tcW w:type="dxa" w:w="4276"/>
            <w:vAlign w:val="top"/>
          </w:tcPr>
          <w:p>
            <w:pPr>
              <w:spacing w:after="60" w:line="259" w:lineRule="auto"/>
            </w:pPr>
            <w:r>
              <w:rPr>
                <w:rFonts w:ascii="Calibri" w:hAnsi="Calibri"/>
                <w:b w:val="0"/>
                <w:i w:val="0"/>
                <w:color w:val="212121"/>
                <w:sz w:val="19"/>
              </w:rPr>
              <w:t>Young children, particularly during weaning, have immature mucosal immunity, high hand-to-mouth environmental exposure and a large surface-area-to-weight ratio, so they dehydrate rapidly. Rotavirus and E. coli account for most severe episodes in this group.</w:t>
            </w:r>
          </w:p>
          <w:p>
            <w:pPr>
              <w:spacing w:after="40" w:before="60" w:line="259" w:lineRule="auto"/>
            </w:pPr>
            <w:r>
              <w:rPr>
                <w:rFonts w:ascii="Calibri" w:hAnsi="Calibri"/>
                <w:b w:val="0"/>
                <w:i w:val="0"/>
                <w:color w:val="212121"/>
                <w:sz w:val="19"/>
              </w:rPr>
              <w:t>In India the point-prevalence of diarrhoea is highest in infancy - about 14.0% at 0-11 months and 13.4% at 12-23 months.</w:t>
            </w:r>
          </w:p>
          <w:p>
            <w:pPr>
              <w:spacing w:after="40" w:line="252" w:lineRule="auto"/>
            </w:pPr>
            <w:hyperlink r:id="rId9">
              <w:r>
                <w:rPr>
                  <w:rFonts w:ascii="Calibri" w:hAnsi="Calibri" w:cs="Calibri"/>
                  <w:sz w:val="18"/>
                  <w:color w:val="1155CC"/>
                  <w:u w:val="single"/>
                </w:rPr>
                <w:t xml:space="preserve">pmc.ncbi.nlm.nih.gov - PMC7722298 (diarrhoea in under-5s, India)</w:t>
              </w:r>
            </w:hyperlink>
          </w:p>
          <w:p>
            <w:pPr>
              <w:spacing w:before="60" w:after="40"/>
            </w:pPr>
            <w:r>
              <w:rPr>
                <w:rFonts w:ascii="Calibri" w:hAnsi="Calibri"/>
                <w:b w:val="0"/>
                <w:i w:val="0"/>
                <w:color w:val="5A5A5A"/>
                <w:sz w:val="18"/>
              </w:rPr>
              <w:t>#underfive  #weaning  #rotavirus  #dehydration  #IMNCI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Most adult acute gastroenteritis is viral and self-limiting, but adults are exposed through street food, eating out, travel and occupational contact. Norovirus is the leading cause across all ages.</w:t>
            </w:r>
          </w:p>
          <w:p>
            <w:pPr>
              <w:spacing w:after="40" w:before="60" w:line="259" w:lineRule="auto"/>
            </w:pPr>
            <w:r>
              <w:rPr>
                <w:rFonts w:ascii="Calibri" w:hAnsi="Calibri"/>
                <w:b w:val="0"/>
                <w:i w:val="0"/>
                <w:color w:val="212121"/>
                <w:sz w:val="19"/>
              </w:rPr>
              <w:t>Norovirus causes about 1 in 5 (roughly 20%) of all acute gastroenteritis episodes worldwide and is the commonest cause of foodborne illness.</w:t>
            </w:r>
          </w:p>
          <w:p>
            <w:pPr>
              <w:spacing w:after="40" w:line="252" w:lineRule="auto"/>
            </w:pPr>
            <w:hyperlink r:id="rId10">
              <w:r>
                <w:rPr>
                  <w:rFonts w:ascii="Calibri" w:hAnsi="Calibri" w:cs="Calibri"/>
                  <w:sz w:val="18"/>
                  <w:color w:val="1155CC"/>
                  <w:u w:val="single"/>
                </w:rPr>
                <w:t xml:space="preserve">cdc.gov - norovirus data and research</w:t>
              </w:r>
            </w:hyperlink>
          </w:p>
          <w:p>
            <w:pPr>
              <w:spacing w:before="60" w:after="40"/>
            </w:pPr>
            <w:r>
              <w:rPr>
                <w:rFonts w:ascii="Calibri" w:hAnsi="Calibri"/>
                <w:b w:val="0"/>
                <w:i w:val="0"/>
                <w:color w:val="5A5A5A"/>
                <w:sz w:val="18"/>
              </w:rPr>
              <w:t>#norovirus  #foodpoisoning  #travellersdiarrhoea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(70+)</w:t>
            </w:r>
          </w:p>
        </w:tc>
        <w:tc>
          <w:tcPr>
            <w:tcW w:type="dxa" w:w="4276"/>
            <w:vAlign w:val="top"/>
          </w:tcPr>
          <w:p>
            <w:pPr>
              <w:spacing w:after="60" w:line="259" w:lineRule="auto"/>
            </w:pPr>
            <w:r>
              <w:rPr>
                <w:rFonts w:ascii="Calibri" w:hAnsi="Calibri"/>
                <w:b w:val="0"/>
                <w:i w:val="0"/>
                <w:color w:val="212121"/>
                <w:sz w:val="19"/>
              </w:rPr>
              <w:t>Older adults have reduced physiological reserve, blunted thirst, comorbidities and polypharmacy (diuretics, PPIs), so even moderate fluid loss precipitates dehydration, acute kidney injury and death. Institutional outbreaks (norovirus, C. difficile) are common.</w:t>
            </w:r>
          </w:p>
          <w:p>
            <w:pPr>
              <w:spacing w:after="40" w:before="60" w:line="259" w:lineRule="auto"/>
            </w:pPr>
            <w:r>
              <w:rPr>
                <w:rFonts w:ascii="Calibri" w:hAnsi="Calibri"/>
                <w:b w:val="0"/>
                <w:i w:val="0"/>
                <w:color w:val="212121"/>
                <w:sz w:val="19"/>
              </w:rPr>
              <w:t>South Asia records the highest diarrhoeal mortality in people aged 70 and older, at about 476 deaths per 100,000 (GBD).</w:t>
            </w:r>
          </w:p>
          <w:p>
            <w:pPr>
              <w:spacing w:after="40" w:line="252" w:lineRule="auto"/>
            </w:pPr>
            <w:hyperlink r:id="rId11">
              <w:r>
                <w:rPr>
                  <w:rFonts w:ascii="Calibri" w:hAnsi="Calibri" w:cs="Calibri"/>
                  <w:sz w:val="18"/>
                  <w:color w:val="1155CC"/>
                  <w:u w:val="single"/>
                </w:rPr>
                <w:t xml:space="preserve">prokerala.com - GBD India diarrhoea burden summary</w:t>
              </w:r>
            </w:hyperlink>
          </w:p>
          <w:p>
            <w:pPr>
              <w:spacing w:before="60" w:after="40"/>
            </w:pPr>
            <w:r>
              <w:rPr>
                <w:rFonts w:ascii="Calibri" w:hAnsi="Calibri"/>
                <w:b w:val="0"/>
                <w:i w:val="0"/>
                <w:color w:val="5A5A5A"/>
                <w:sz w:val="18"/>
              </w:rPr>
              <w:t>#elderly  #dehydration  #Cdifficile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Across Indian surveys boys show modestly higher diarrhoea prevalence than girls, attributed to biological susceptibility and, in some settings, differences in feeding and care-seeking.</w:t>
            </w:r>
          </w:p>
          <w:p>
            <w:pPr>
              <w:spacing w:after="40" w:before="60" w:line="259" w:lineRule="auto"/>
            </w:pPr>
            <w:r>
              <w:rPr>
                <w:rFonts w:ascii="Calibri" w:hAnsi="Calibri"/>
                <w:b w:val="0"/>
                <w:i w:val="0"/>
                <w:color w:val="212121"/>
                <w:sz w:val="19"/>
              </w:rPr>
              <w:t>Female children have about 8% lower adjusted odds of diarrhoea than males (aOR 0.92) in national Indian data.</w:t>
            </w:r>
          </w:p>
          <w:p>
            <w:pPr>
              <w:spacing w:after="40" w:line="252" w:lineRule="auto"/>
            </w:pPr>
            <w:hyperlink r:id="rId9">
              <w:r>
                <w:rPr>
                  <w:rFonts w:ascii="Calibri" w:hAnsi="Calibri" w:cs="Calibri"/>
                  <w:sz w:val="18"/>
                  <w:color w:val="1155CC"/>
                  <w:u w:val="single"/>
                </w:rPr>
                <w:t xml:space="preserve">pmc.ncbi.nlm.nih.gov - PMC7722298 (sex differences)</w:t>
              </w:r>
            </w:hyperlink>
          </w:p>
          <w:p>
            <w:pPr>
              <w:spacing w:before="60" w:after="40"/>
            </w:pPr>
            <w:r>
              <w:rPr>
                <w:rFonts w:ascii="Calibri" w:hAnsi="Calibri"/>
                <w:b w:val="0"/>
                <w:i w:val="0"/>
                <w:color w:val="5A5A5A"/>
                <w:sz w:val="18"/>
              </w:rPr>
              <w:t>#malechildren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 lowest wealth quintile</w:t>
            </w:r>
          </w:p>
        </w:tc>
        <w:tc>
          <w:tcPr>
            <w:tcW w:type="dxa" w:w="4276"/>
            <w:vAlign w:val="top"/>
          </w:tcPr>
          <w:p>
            <w:pPr>
              <w:spacing w:after="60" w:line="259" w:lineRule="auto"/>
            </w:pPr>
            <w:r>
              <w:rPr>
                <w:rFonts w:ascii="Calibri" w:hAnsi="Calibri"/>
                <w:b w:val="0"/>
                <w:i w:val="0"/>
                <w:color w:val="212121"/>
                <w:sz w:val="19"/>
              </w:rPr>
              <w:t>Poverty clusters unsafe water, poor sanitation, crowding, undernutrition and limited access to care, raising both the incidence and the case-fatality of diarrhoea.</w:t>
            </w:r>
          </w:p>
          <w:p>
            <w:pPr>
              <w:spacing w:after="40" w:before="60" w:line="259" w:lineRule="auto"/>
            </w:pPr>
            <w:r>
              <w:rPr>
                <w:rFonts w:ascii="Calibri" w:hAnsi="Calibri"/>
                <w:b w:val="0"/>
                <w:i w:val="0"/>
                <w:color w:val="212121"/>
                <w:sz w:val="19"/>
              </w:rPr>
              <w:t>Children in the richest wealth quintile are about 26% less likely to have diarrhoea than the poorest (OR 0.74).</w:t>
            </w:r>
          </w:p>
          <w:p>
            <w:pPr>
              <w:spacing w:after="40" w:line="252" w:lineRule="auto"/>
            </w:pPr>
            <w:hyperlink r:id="rId9">
              <w:r>
                <w:rPr>
                  <w:rFonts w:ascii="Calibri" w:hAnsi="Calibri" w:cs="Calibri"/>
                  <w:sz w:val="18"/>
                  <w:color w:val="1155CC"/>
                  <w:u w:val="single"/>
                </w:rPr>
                <w:t xml:space="preserve">pmc.ncbi.nlm.nih.gov - PMC7722298 (wealth quintile)</w:t>
              </w:r>
            </w:hyperlink>
          </w:p>
          <w:p>
            <w:pPr>
              <w:spacing w:before="60" w:after="40"/>
            </w:pPr>
            <w:r>
              <w:rPr>
                <w:rFonts w:ascii="Calibri" w:hAnsi="Calibri"/>
                <w:b w:val="0"/>
                <w:i w:val="0"/>
                <w:color w:val="5A5A5A"/>
                <w:sz w:val="18"/>
              </w:rPr>
              <w:t>#poverty  #WASH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Central and Eastern India</w:t>
            </w:r>
          </w:p>
        </w:tc>
        <w:tc>
          <w:tcPr>
            <w:tcW w:type="dxa" w:w="4276"/>
            <w:vAlign w:val="top"/>
          </w:tcPr>
          <w:p>
            <w:pPr>
              <w:spacing w:after="60" w:line="259" w:lineRule="auto"/>
            </w:pPr>
            <w:r>
              <w:rPr>
                <w:rFonts w:ascii="Calibri" w:hAnsi="Calibri"/>
                <w:b w:val="0"/>
                <w:i w:val="0"/>
                <w:color w:val="212121"/>
                <w:sz w:val="19"/>
              </w:rPr>
              <w:t>Central and eastern states carry the highest diarrhoeal burden because of low sanitation coverage, unsafe water and high childhood undernutrition.</w:t>
            </w:r>
          </w:p>
          <w:p>
            <w:pPr>
              <w:spacing w:after="40" w:before="60" w:line="259" w:lineRule="auto"/>
            </w:pPr>
            <w:r>
              <w:rPr>
                <w:rFonts w:ascii="Calibri" w:hAnsi="Calibri"/>
                <w:b w:val="0"/>
                <w:i w:val="0"/>
                <w:color w:val="212121"/>
                <w:sz w:val="19"/>
              </w:rPr>
              <w:t>Bihar reports the highest under-five diarrhoea prevalence (about 13.7%); the Central region shows the highest adjusted risk (aOR 1.61).</w:t>
            </w:r>
          </w:p>
          <w:p>
            <w:pPr>
              <w:spacing w:after="40" w:line="252" w:lineRule="auto"/>
            </w:pPr>
            <w:hyperlink r:id="rId12">
              <w:r>
                <w:rPr>
                  <w:rFonts w:ascii="Calibri" w:hAnsi="Calibri" w:cs="Calibri"/>
                  <w:sz w:val="18"/>
                  <w:color w:val="1155CC"/>
                  <w:u w:val="single"/>
                </w:rPr>
                <w:t xml:space="preserve">downtoearth.org.in - NFHS-5 state diarrhoea data</w:t>
              </w:r>
            </w:hyperlink>
          </w:p>
          <w:p>
            <w:pPr>
              <w:spacing w:before="60" w:after="40"/>
            </w:pPr>
            <w:r>
              <w:rPr>
                <w:rFonts w:ascii="Calibri" w:hAnsi="Calibri"/>
                <w:b w:val="0"/>
                <w:i w:val="0"/>
                <w:color w:val="5A5A5A"/>
                <w:sz w:val="18"/>
              </w:rPr>
              <w:t>#Bihar  #centralIndia  #sanitation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tribal and urban-slum residents</w:t>
            </w:r>
          </w:p>
        </w:tc>
        <w:tc>
          <w:tcPr>
            <w:tcW w:type="dxa" w:w="4276"/>
            <w:vAlign w:val="top"/>
          </w:tcPr>
          <w:p>
            <w:pPr>
              <w:spacing w:after="60" w:line="259" w:lineRule="auto"/>
            </w:pPr>
            <w:r>
              <w:rPr>
                <w:rFonts w:ascii="Calibri" w:hAnsi="Calibri"/>
                <w:b w:val="0"/>
                <w:i w:val="0"/>
                <w:color w:val="212121"/>
                <w:sz w:val="19"/>
              </w:rPr>
              <w:t>Rural, tribal and slum populations face open defecation, untreated water and overcrowding, which drive faeco-oral transmission and outbreaks.</w:t>
            </w:r>
          </w:p>
          <w:p>
            <w:pPr>
              <w:spacing w:after="40" w:before="60" w:line="259" w:lineRule="auto"/>
            </w:pPr>
            <w:r>
              <w:rPr>
                <w:rFonts w:ascii="Calibri" w:hAnsi="Calibri"/>
                <w:b w:val="0"/>
                <w:i w:val="0"/>
                <w:color w:val="212121"/>
                <w:sz w:val="19"/>
              </w:rPr>
              <w:t>Under-five diarrhoea is more common in rural than urban areas in 17 of 22 Indian states/UTs (NFHS-5).</w:t>
            </w:r>
          </w:p>
          <w:p>
            <w:pPr>
              <w:spacing w:after="40" w:line="252" w:lineRule="auto"/>
            </w:pPr>
            <w:hyperlink r:id="rId12">
              <w:r>
                <w:rPr>
                  <w:rFonts w:ascii="Calibri" w:hAnsi="Calibri" w:cs="Calibri"/>
                  <w:sz w:val="18"/>
                  <w:color w:val="1155CC"/>
                  <w:u w:val="single"/>
                </w:rPr>
                <w:t xml:space="preserve">downtoearth.org.in - rural vs urban diarrhoea, NFHS-5</w:t>
              </w:r>
            </w:hyperlink>
          </w:p>
          <w:p>
            <w:pPr>
              <w:spacing w:before="60" w:after="40"/>
            </w:pPr>
            <w:r>
              <w:rPr>
                <w:rFonts w:ascii="Calibri" w:hAnsi="Calibri"/>
                <w:b w:val="0"/>
                <w:i w:val="0"/>
                <w:color w:val="5A5A5A"/>
                <w:sz w:val="18"/>
              </w:rPr>
              <w:t>#rural  #slum  #tribal  #opendefecation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w:t>
            </w:r>
          </w:p>
        </w:tc>
        <w:tc>
          <w:tcPr>
            <w:tcW w:type="dxa" w:w="2160"/>
            <w:vAlign w:val="top"/>
          </w:tcPr>
          <w:p>
            <w:pPr>
              <w:spacing w:after="40" w:before="0" w:line="259" w:lineRule="auto"/>
            </w:pPr>
            <w:r>
              <w:rPr>
                <w:rFonts w:ascii="Calibri" w:hAnsi="Calibri"/>
                <w:b w:val="0"/>
                <w:i w:val="0"/>
                <w:color w:val="212121"/>
                <w:sz w:val="19"/>
              </w:rPr>
              <w:t>Households practising open defecation / no toilet</w:t>
            </w:r>
          </w:p>
        </w:tc>
        <w:tc>
          <w:tcPr>
            <w:tcW w:type="dxa" w:w="4276"/>
            <w:vAlign w:val="top"/>
          </w:tcPr>
          <w:p>
            <w:pPr>
              <w:spacing w:after="60" w:line="259" w:lineRule="auto"/>
            </w:pPr>
            <w:r>
              <w:rPr>
                <w:rFonts w:ascii="Calibri" w:hAnsi="Calibri"/>
                <w:b w:val="0"/>
                <w:i w:val="0"/>
                <w:color w:val="212121"/>
                <w:sz w:val="19"/>
              </w:rPr>
              <w:t>Absence of a household toilet and unsafe disposal of child stool contaminate water and soil - the core faeco-oral pathway for enteric pathogens.</w:t>
            </w:r>
          </w:p>
          <w:p>
            <w:pPr>
              <w:spacing w:after="40" w:before="60" w:line="259" w:lineRule="auto"/>
            </w:pPr>
            <w:r>
              <w:rPr>
                <w:rFonts w:ascii="Calibri" w:hAnsi="Calibri"/>
                <w:b w:val="0"/>
                <w:i w:val="0"/>
                <w:color w:val="212121"/>
                <w:sz w:val="19"/>
              </w:rPr>
              <w:t>Diarrhoea prevalence is higher in households without a toilet (10.0%) than with one (8.3%); unsafe child-stool disposal raises odds by about 6%.</w:t>
            </w:r>
          </w:p>
          <w:p>
            <w:pPr>
              <w:spacing w:after="40" w:line="252" w:lineRule="auto"/>
            </w:pPr>
            <w:hyperlink r:id="rId9">
              <w:r>
                <w:rPr>
                  <w:rFonts w:ascii="Calibri" w:hAnsi="Calibri" w:cs="Calibri"/>
                  <w:sz w:val="18"/>
                  <w:color w:val="1155CC"/>
                  <w:u w:val="single"/>
                </w:rPr>
                <w:t xml:space="preserve">pmc.ncbi.nlm.nih.gov - PMC7722298 (sanitation)</w:t>
              </w:r>
            </w:hyperlink>
          </w:p>
          <w:p>
            <w:pPr>
              <w:spacing w:before="60" w:after="40"/>
            </w:pPr>
            <w:r>
              <w:rPr>
                <w:rFonts w:ascii="Calibri" w:hAnsi="Calibri"/>
                <w:b w:val="0"/>
                <w:i w:val="0"/>
                <w:color w:val="5A5A5A"/>
                <w:sz w:val="18"/>
              </w:rPr>
              <w:t>#opendefecation  #sanitation  #SwachhBharat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Behaviour / occupation</w:t>
            </w:r>
          </w:p>
        </w:tc>
        <w:tc>
          <w:tcPr>
            <w:tcW w:type="dxa" w:w="2160"/>
            <w:vAlign w:val="top"/>
          </w:tcPr>
          <w:p>
            <w:pPr>
              <w:spacing w:after="40" w:before="0" w:line="259" w:lineRule="auto"/>
            </w:pPr>
            <w:r>
              <w:rPr>
                <w:rFonts w:ascii="Calibri" w:hAnsi="Calibri"/>
                <w:b w:val="0"/>
                <w:i w:val="0"/>
                <w:color w:val="212121"/>
                <w:sz w:val="19"/>
              </w:rPr>
              <w:t>Street-food eaters, food handlers, travellers</w:t>
            </w:r>
          </w:p>
        </w:tc>
        <w:tc>
          <w:tcPr>
            <w:tcW w:type="dxa" w:w="4276"/>
            <w:vAlign w:val="top"/>
          </w:tcPr>
          <w:p>
            <w:pPr>
              <w:spacing w:after="60" w:line="259" w:lineRule="auto"/>
            </w:pPr>
            <w:r>
              <w:rPr>
                <w:rFonts w:ascii="Calibri" w:hAnsi="Calibri"/>
                <w:b w:val="0"/>
                <w:i w:val="0"/>
                <w:color w:val="212121"/>
                <w:sz w:val="19"/>
              </w:rPr>
              <w:t>Eating street or improperly stored food and food prepared by infected handlers transmits bacterial and norovirus gastroenteritis; travellers commonly develop traveller's diarrhoea, usually from ETEC.</w:t>
            </w:r>
          </w:p>
          <w:p>
            <w:pPr>
              <w:spacing w:after="40" w:before="60" w:line="259" w:lineRule="auto"/>
            </w:pPr>
            <w:r>
              <w:rPr>
                <w:rFonts w:ascii="Calibri" w:hAnsi="Calibri"/>
                <w:b w:val="0"/>
                <w:i w:val="0"/>
                <w:color w:val="212121"/>
                <w:sz w:val="19"/>
              </w:rPr>
              <w:t>Norovirus is responsible for about 58% of domestically acquired foodborne illness (US data) and spreads readily in food-service settings.</w:t>
            </w:r>
          </w:p>
          <w:p>
            <w:pPr>
              <w:spacing w:after="40" w:line="252" w:lineRule="auto"/>
            </w:pPr>
            <w:hyperlink r:id="rId10">
              <w:r>
                <w:rPr>
                  <w:rFonts w:ascii="Calibri" w:hAnsi="Calibri" w:cs="Calibri"/>
                  <w:sz w:val="18"/>
                  <w:color w:val="1155CC"/>
                  <w:u w:val="single"/>
                </w:rPr>
                <w:t xml:space="preserve">cdc.gov - norovirus foodborne illness</w:t>
              </w:r>
            </w:hyperlink>
          </w:p>
          <w:p>
            <w:pPr>
              <w:spacing w:before="60" w:after="40"/>
            </w:pPr>
            <w:r>
              <w:rPr>
                <w:rFonts w:ascii="Calibri" w:hAnsi="Calibri"/>
                <w:b w:val="0"/>
                <w:i w:val="0"/>
                <w:color w:val="5A5A5A"/>
                <w:sz w:val="18"/>
              </w:rPr>
              <w:t>#streetfood  #foodhandlers  #travellersdiarrhoea  #ETEC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impairs gut mucosal immunity and alters the intestinal microbiota, and is associated with higher risk and severity of Clostridioides difficile and some other enteric infections.</w:t>
            </w:r>
          </w:p>
          <w:p>
            <w:pPr>
              <w:spacing w:after="40" w:before="60" w:line="259" w:lineRule="auto"/>
            </w:pPr>
            <w:r>
              <w:rPr>
                <w:rFonts w:ascii="Calibri" w:hAnsi="Calibri"/>
                <w:b w:val="0"/>
                <w:i w:val="0"/>
                <w:color w:val="212121"/>
                <w:sz w:val="19"/>
              </w:rPr>
              <w:t>Tobacco use is a recognised host factor for more severe and recurrent C. difficile-associated diarrhoea.</w:t>
            </w:r>
          </w:p>
          <w:p>
            <w:pPr>
              <w:spacing w:before="60" w:after="40"/>
            </w:pPr>
            <w:r>
              <w:rPr>
                <w:rFonts w:ascii="Calibri" w:hAnsi="Calibri"/>
                <w:b w:val="0"/>
                <w:i w:val="0"/>
                <w:color w:val="5A5A5A"/>
                <w:sz w:val="18"/>
              </w:rPr>
              <w:t>#smoking  #Cdifficile  #gutimmunity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lowers gastric acidity, disrupts the mucosal barrier and gut flora and impairs immunity, increasing infectious diarrhoea; binge drinking is a common trigger of acute gastritis and loose stools.</w:t>
            </w:r>
          </w:p>
          <w:p>
            <w:pPr>
              <w:spacing w:after="40" w:before="60" w:line="259" w:lineRule="auto"/>
            </w:pPr>
            <w:r>
              <w:rPr>
                <w:rFonts w:ascii="Calibri" w:hAnsi="Calibri"/>
                <w:b w:val="0"/>
                <w:i w:val="0"/>
                <w:color w:val="212121"/>
                <w:sz w:val="19"/>
              </w:rPr>
              <w:t>Chronic heavy alcohol use predisposes to hypochlorhydria and enteric infection as well as non-infectious diarrhoea.</w:t>
            </w:r>
          </w:p>
          <w:p>
            <w:pPr>
              <w:spacing w:before="60" w:after="40"/>
            </w:pPr>
            <w:r>
              <w:rPr>
                <w:rFonts w:ascii="Calibri" w:hAnsi="Calibri"/>
                <w:b w:val="0"/>
                <w:i w:val="0"/>
                <w:color w:val="5A5A5A"/>
                <w:sz w:val="18"/>
              </w:rPr>
              <w:t>#alcohol  #hypochlorhydria  #gastritis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Water</w:t>
            </w:r>
          </w:p>
        </w:tc>
        <w:tc>
          <w:tcPr>
            <w:tcW w:type="dxa" w:w="2160"/>
            <w:vAlign w:val="top"/>
          </w:tcPr>
          <w:p>
            <w:pPr>
              <w:spacing w:after="40" w:before="0" w:line="259" w:lineRule="auto"/>
            </w:pPr>
            <w:r>
              <w:rPr>
                <w:rFonts w:ascii="Calibri" w:hAnsi="Calibri"/>
                <w:b w:val="0"/>
                <w:i w:val="0"/>
                <w:color w:val="212121"/>
                <w:sz w:val="19"/>
              </w:rPr>
              <w:t>Users of unsafe / untreated drinking water</w:t>
            </w:r>
          </w:p>
        </w:tc>
        <w:tc>
          <w:tcPr>
            <w:tcW w:type="dxa" w:w="4276"/>
            <w:vAlign w:val="top"/>
          </w:tcPr>
          <w:p>
            <w:pPr>
              <w:spacing w:after="60" w:line="259" w:lineRule="auto"/>
            </w:pPr>
            <w:r>
              <w:rPr>
                <w:rFonts w:ascii="Calibri" w:hAnsi="Calibri"/>
                <w:b w:val="0"/>
                <w:i w:val="0"/>
                <w:color w:val="212121"/>
                <w:sz w:val="19"/>
              </w:rPr>
              <w:t>Faecally contaminated drinking water is the dominant vehicle for cholera, ETEC, rotavirus and parasites; monsoon flooding and cross-contamination of piped supply amplify risk in India.</w:t>
            </w:r>
          </w:p>
          <w:p>
            <w:pPr>
              <w:spacing w:after="40" w:before="60" w:line="259" w:lineRule="auto"/>
            </w:pPr>
            <w:r>
              <w:rPr>
                <w:rFonts w:ascii="Calibri" w:hAnsi="Calibri"/>
                <w:b w:val="0"/>
                <w:i w:val="0"/>
                <w:color w:val="212121"/>
                <w:sz w:val="19"/>
              </w:rPr>
              <w:t>Safe drinking water, sanitation and hygiene are the leading modifiable measures to prevent diarrhoeal disease (WHO).</w:t>
            </w:r>
          </w:p>
          <w:p>
            <w:pPr>
              <w:spacing w:after="40" w:line="252" w:lineRule="auto"/>
            </w:pPr>
            <w:hyperlink r:id="rId13">
              <w:r>
                <w:rPr>
                  <w:rFonts w:ascii="Calibri" w:hAnsi="Calibri" w:cs="Calibri"/>
                  <w:sz w:val="18"/>
                  <w:color w:val="1155CC"/>
                  <w:u w:val="single"/>
                </w:rPr>
                <w:t xml:space="preserve">who.int - diarrhoeal disease fact sheet (prevention)</w:t>
              </w:r>
            </w:hyperlink>
          </w:p>
          <w:p>
            <w:pPr>
              <w:spacing w:before="60" w:after="40"/>
            </w:pPr>
            <w:r>
              <w:rPr>
                <w:rFonts w:ascii="Calibri" w:hAnsi="Calibri"/>
                <w:b w:val="0"/>
                <w:i w:val="0"/>
                <w:color w:val="5A5A5A"/>
                <w:sz w:val="18"/>
              </w:rPr>
              <w:t>#unsafewater  #cholera  #monsoon  #waterborne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Consumers of contaminated / reheated leftover food</w:t>
            </w:r>
          </w:p>
        </w:tc>
        <w:tc>
          <w:tcPr>
            <w:tcW w:type="dxa" w:w="4276"/>
            <w:vAlign w:val="top"/>
          </w:tcPr>
          <w:p>
            <w:pPr>
              <w:spacing w:after="60" w:line="259" w:lineRule="auto"/>
            </w:pPr>
            <w:r>
              <w:rPr>
                <w:rFonts w:ascii="Calibri" w:hAnsi="Calibri"/>
                <w:b w:val="0"/>
                <w:i w:val="0"/>
                <w:color w:val="212121"/>
                <w:sz w:val="19"/>
              </w:rPr>
              <w:t>Improperly cooked, reheated or stored food allows bacterial growth and toxin formation (Staphylococcus aureus, Bacillus cereus, Salmonella), a common cause of acute 'food poisoning'.</w:t>
            </w:r>
          </w:p>
          <w:p>
            <w:pPr>
              <w:spacing w:after="40" w:before="60" w:line="259" w:lineRule="auto"/>
            </w:pPr>
            <w:r>
              <w:rPr>
                <w:rFonts w:ascii="Calibri" w:hAnsi="Calibri"/>
                <w:b w:val="0"/>
                <w:i w:val="0"/>
                <w:color w:val="212121"/>
                <w:sz w:val="19"/>
              </w:rPr>
              <w:t>Contaminated food is a major faeco-oral vehicle; safe preparation, cooking and storage reduce transmission (WHO).</w:t>
            </w:r>
          </w:p>
          <w:p>
            <w:pPr>
              <w:spacing w:after="40" w:line="252" w:lineRule="auto"/>
            </w:pPr>
            <w:hyperlink r:id="rId13">
              <w:r>
                <w:rPr>
                  <w:rFonts w:ascii="Calibri" w:hAnsi="Calibri" w:cs="Calibri"/>
                  <w:sz w:val="18"/>
                  <w:color w:val="1155CC"/>
                  <w:u w:val="single"/>
                </w:rPr>
                <w:t xml:space="preserve">who.int - diarrhoeal disease fact sheet (food)</w:t>
              </w:r>
            </w:hyperlink>
          </w:p>
          <w:p>
            <w:pPr>
              <w:spacing w:before="60" w:after="40"/>
            </w:pPr>
            <w:r>
              <w:rPr>
                <w:rFonts w:ascii="Calibri" w:hAnsi="Calibri"/>
                <w:b w:val="0"/>
                <w:i w:val="0"/>
                <w:color w:val="5A5A5A"/>
                <w:sz w:val="18"/>
              </w:rPr>
              <w:t>#foodpoisoning  #foodhygiene  #reheatedfood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Non-exclusively breastfed infants</w:t>
            </w:r>
          </w:p>
        </w:tc>
        <w:tc>
          <w:tcPr>
            <w:tcW w:type="dxa" w:w="4276"/>
            <w:vAlign w:val="top"/>
          </w:tcPr>
          <w:p>
            <w:pPr>
              <w:spacing w:after="60" w:line="259" w:lineRule="auto"/>
            </w:pPr>
            <w:r>
              <w:rPr>
                <w:rFonts w:ascii="Calibri" w:hAnsi="Calibri"/>
                <w:b w:val="0"/>
                <w:i w:val="0"/>
                <w:color w:val="212121"/>
                <w:sz w:val="19"/>
              </w:rPr>
              <w:t>Breast milk provides protective antibodies and avoids contaminated water and formula; infants not exclusively breastfed for the first six months have markedly higher diarrhoea incidence and severity.</w:t>
            </w:r>
          </w:p>
          <w:p>
            <w:pPr>
              <w:spacing w:after="40" w:before="60" w:line="259" w:lineRule="auto"/>
            </w:pPr>
            <w:r>
              <w:rPr>
                <w:rFonts w:ascii="Calibri" w:hAnsi="Calibri"/>
                <w:b w:val="0"/>
                <w:i w:val="0"/>
                <w:color w:val="212121"/>
                <w:sz w:val="19"/>
              </w:rPr>
              <w:t>WHO recommends exclusive breastfeeding for the first 6 months of life as a key measure to prevent diarrhoea.</w:t>
            </w:r>
          </w:p>
          <w:p>
            <w:pPr>
              <w:spacing w:after="40" w:line="252" w:lineRule="auto"/>
            </w:pPr>
            <w:hyperlink r:id="rId13">
              <w:r>
                <w:rPr>
                  <w:rFonts w:ascii="Calibri" w:hAnsi="Calibri" w:cs="Calibri"/>
                  <w:sz w:val="18"/>
                  <w:color w:val="1155CC"/>
                  <w:u w:val="single"/>
                </w:rPr>
                <w:t xml:space="preserve">who.int - diarrhoeal disease fact sheet (breastfeeding)</w:t>
              </w:r>
            </w:hyperlink>
          </w:p>
          <w:p>
            <w:pPr>
              <w:spacing w:before="60" w:after="40"/>
            </w:pPr>
            <w:r>
              <w:rPr>
                <w:rFonts w:ascii="Calibri" w:hAnsi="Calibri"/>
                <w:b w:val="0"/>
                <w:i w:val="0"/>
                <w:color w:val="5A5A5A"/>
                <w:sz w:val="18"/>
              </w:rPr>
              <w:t>#breastfeeding  #formula  #infantfeeding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 / household</w:t>
            </w:r>
          </w:p>
        </w:tc>
        <w:tc>
          <w:tcPr>
            <w:tcW w:type="dxa" w:w="2160"/>
            <w:vAlign w:val="top"/>
          </w:tcPr>
          <w:p>
            <w:pPr>
              <w:spacing w:after="40" w:before="0" w:line="259" w:lineRule="auto"/>
            </w:pPr>
            <w:r>
              <w:rPr>
                <w:rFonts w:ascii="Calibri" w:hAnsi="Calibri"/>
                <w:b w:val="0"/>
                <w:i w:val="0"/>
                <w:color w:val="212121"/>
                <w:sz w:val="19"/>
              </w:rPr>
              <w:t>Crowded households; norovirus secretor status</w:t>
            </w:r>
          </w:p>
        </w:tc>
        <w:tc>
          <w:tcPr>
            <w:tcW w:type="dxa" w:w="4276"/>
            <w:vAlign w:val="top"/>
          </w:tcPr>
          <w:p>
            <w:pPr>
              <w:spacing w:after="60" w:line="259" w:lineRule="auto"/>
            </w:pPr>
            <w:r>
              <w:rPr>
                <w:rFonts w:ascii="Calibri" w:hAnsi="Calibri"/>
                <w:b w:val="0"/>
                <w:i w:val="0"/>
                <w:color w:val="212121"/>
                <w:sz w:val="19"/>
              </w:rPr>
              <w:t>Household crowding accelerates person-to-person spread of highly contagious pathogens (norovirus, Shigella), while host genetics such as secretor/histo-blood-group-antigen status influence individual susceptibility to norovirus and rotavirus.</w:t>
            </w:r>
          </w:p>
          <w:p>
            <w:pPr>
              <w:spacing w:after="40" w:before="60" w:line="259" w:lineRule="auto"/>
            </w:pPr>
            <w:r>
              <w:rPr>
                <w:rFonts w:ascii="Calibri" w:hAnsi="Calibri"/>
                <w:b w:val="0"/>
                <w:i w:val="0"/>
                <w:color w:val="212121"/>
                <w:sz w:val="19"/>
              </w:rPr>
              <w:t>Norovirus spreads efficiently by direct person-to-person contact within households and institutions.</w:t>
            </w:r>
          </w:p>
          <w:p>
            <w:pPr>
              <w:spacing w:after="40" w:line="252" w:lineRule="auto"/>
            </w:pPr>
            <w:hyperlink r:id="rId10">
              <w:r>
                <w:rPr>
                  <w:rFonts w:ascii="Calibri" w:hAnsi="Calibri" w:cs="Calibri"/>
                  <w:sz w:val="18"/>
                  <w:color w:val="1155CC"/>
                  <w:u w:val="single"/>
                </w:rPr>
                <w:t xml:space="preserve">cdc.gov - norovirus transmission</w:t>
              </w:r>
            </w:hyperlink>
          </w:p>
          <w:p>
            <w:pPr>
              <w:spacing w:before="60" w:after="40"/>
            </w:pPr>
            <w:r>
              <w:rPr>
                <w:rFonts w:ascii="Calibri" w:hAnsi="Calibri"/>
                <w:b w:val="0"/>
                <w:i w:val="0"/>
                <w:color w:val="5A5A5A"/>
                <w:sz w:val="18"/>
              </w:rPr>
              <w:t>#norovirus  #secretorstatus  #crowding  #householdspread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Undernourished / stunted / zinc-deficient children</w:t>
            </w:r>
          </w:p>
        </w:tc>
        <w:tc>
          <w:tcPr>
            <w:tcW w:type="dxa" w:w="4276"/>
            <w:vAlign w:val="top"/>
          </w:tcPr>
          <w:p>
            <w:pPr>
              <w:spacing w:after="60" w:line="259" w:lineRule="auto"/>
            </w:pPr>
            <w:r>
              <w:rPr>
                <w:rFonts w:ascii="Calibri" w:hAnsi="Calibri"/>
                <w:b w:val="0"/>
                <w:i w:val="0"/>
                <w:color w:val="212121"/>
                <w:sz w:val="19"/>
              </w:rPr>
              <w:t>Undernutrition (stunting, wasting) and micronutrient deficiency (zinc, vitamin A) impair gut integrity and immunity, causing more frequent, severe and prolonged diarrhoea - a vicious cycle that further worsens nutritional status.</w:t>
            </w:r>
          </w:p>
          <w:p>
            <w:pPr>
              <w:spacing w:after="40" w:before="60" w:line="259" w:lineRule="auto"/>
            </w:pPr>
            <w:r>
              <w:rPr>
                <w:rFonts w:ascii="Calibri" w:hAnsi="Calibri"/>
                <w:b w:val="0"/>
                <w:i w:val="0"/>
                <w:color w:val="212121"/>
                <w:sz w:val="19"/>
              </w:rPr>
              <w:t>Zinc supplementation reduces the duration of a diarrhoea episode by about 25% and stool volume by about 30% (WHO), reflecting the impact of zinc deficiency.</w:t>
            </w:r>
          </w:p>
          <w:p>
            <w:pPr>
              <w:spacing w:after="40" w:line="252" w:lineRule="auto"/>
            </w:pPr>
            <w:hyperlink r:id="rId13">
              <w:r>
                <w:rPr>
                  <w:rFonts w:ascii="Calibri" w:hAnsi="Calibri" w:cs="Calibri"/>
                  <w:sz w:val="18"/>
                  <w:color w:val="1155CC"/>
                  <w:u w:val="single"/>
                </w:rPr>
                <w:t xml:space="preserve">who.int - diarrhoeal disease fact sheet (zinc)</w:t>
              </w:r>
            </w:hyperlink>
          </w:p>
          <w:p>
            <w:pPr>
              <w:spacing w:before="60" w:after="40"/>
            </w:pPr>
            <w:r>
              <w:rPr>
                <w:rFonts w:ascii="Calibri" w:hAnsi="Calibri"/>
                <w:b w:val="0"/>
                <w:i w:val="0"/>
                <w:color w:val="5A5A5A"/>
                <w:sz w:val="18"/>
              </w:rPr>
              <w:t>#malnutrition  #stunting  #zinc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w:t>
            </w:r>
          </w:p>
        </w:tc>
        <w:tc>
          <w:tcPr>
            <w:tcW w:type="dxa" w:w="2160"/>
            <w:vAlign w:val="top"/>
          </w:tcPr>
          <w:p>
            <w:pPr>
              <w:spacing w:after="40" w:before="0" w:line="259" w:lineRule="auto"/>
            </w:pPr>
            <w:r>
              <w:rPr>
                <w:rFonts w:ascii="Calibri" w:hAnsi="Calibri"/>
                <w:b w:val="0"/>
                <w:i w:val="0"/>
                <w:color w:val="212121"/>
                <w:sz w:val="19"/>
              </w:rPr>
              <w:t>HIV/AIDS, chemotherapy, transplant patients</w:t>
            </w:r>
          </w:p>
        </w:tc>
        <w:tc>
          <w:tcPr>
            <w:tcW w:type="dxa" w:w="4276"/>
            <w:vAlign w:val="top"/>
          </w:tcPr>
          <w:p>
            <w:pPr>
              <w:spacing w:after="60" w:line="259" w:lineRule="auto"/>
            </w:pPr>
            <w:r>
              <w:rPr>
                <w:rFonts w:ascii="Calibri" w:hAnsi="Calibri"/>
                <w:b w:val="0"/>
                <w:i w:val="0"/>
                <w:color w:val="212121"/>
                <w:sz w:val="19"/>
              </w:rPr>
              <w:t>Immunodeficiency permits severe, persistent and opportunistic infections (Cryptosporidium, cytomegalovirus, chronic Giardia) with higher rates of complications, hospitalisation and death.</w:t>
            </w:r>
          </w:p>
          <w:p>
            <w:pPr>
              <w:spacing w:after="40" w:before="60" w:line="259" w:lineRule="auto"/>
            </w:pPr>
            <w:r>
              <w:rPr>
                <w:rFonts w:ascii="Calibri" w:hAnsi="Calibri"/>
                <w:b w:val="0"/>
                <w:i w:val="0"/>
                <w:color w:val="212121"/>
                <w:sz w:val="19"/>
              </w:rPr>
              <w:t>Chronic cryptosporidiosis and other opportunistic enteric infections are classically associated with advanced immunosuppression.</w:t>
            </w:r>
          </w:p>
          <w:p>
            <w:pPr>
              <w:spacing w:before="60" w:after="40"/>
            </w:pPr>
            <w:r>
              <w:rPr>
                <w:rFonts w:ascii="Calibri" w:hAnsi="Calibri"/>
                <w:b w:val="0"/>
                <w:i w:val="0"/>
                <w:color w:val="5A5A5A"/>
                <w:sz w:val="18"/>
              </w:rPr>
              <w:t>#HIV  #immunocompromised  #Cryptosporidium  #persistentdiarrhoea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impairs immune function and gastric emptying/autonomic control; diabetics dehydrate faster, risk hyperglycaemic crises during acute illness and tend to have more severe enteric infections.</w:t>
            </w:r>
          </w:p>
          <w:p>
            <w:pPr>
              <w:spacing w:after="40" w:before="60" w:line="259" w:lineRule="auto"/>
            </w:pPr>
            <w:r>
              <w:rPr>
                <w:rFonts w:ascii="Calibri" w:hAnsi="Calibri"/>
                <w:b w:val="0"/>
                <w:i w:val="0"/>
                <w:color w:val="212121"/>
                <w:sz w:val="19"/>
              </w:rPr>
              <w:t>Acute gastroenteritis in diabetics carries a higher risk of dehydration, electrolyte disturbance and glycaemic decompensation.</w:t>
            </w:r>
          </w:p>
          <w:p>
            <w:pPr>
              <w:spacing w:before="60" w:after="40"/>
            </w:pPr>
            <w:r>
              <w:rPr>
                <w:rFonts w:ascii="Calibri" w:hAnsi="Calibri"/>
                <w:b w:val="0"/>
                <w:i w:val="0"/>
                <w:color w:val="5A5A5A"/>
                <w:sz w:val="18"/>
              </w:rPr>
              <w:t>#diabetes  #dehydration  #immunedysfunction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Gastric acid suppression / antibiotics</w:t>
            </w:r>
          </w:p>
        </w:tc>
        <w:tc>
          <w:tcPr>
            <w:tcW w:type="dxa" w:w="2160"/>
            <w:vAlign w:val="top"/>
          </w:tcPr>
          <w:p>
            <w:pPr>
              <w:spacing w:after="40" w:before="0" w:line="259" w:lineRule="auto"/>
            </w:pPr>
            <w:r>
              <w:rPr>
                <w:rFonts w:ascii="Calibri" w:hAnsi="Calibri"/>
                <w:b w:val="0"/>
                <w:i w:val="0"/>
                <w:color w:val="212121"/>
                <w:sz w:val="19"/>
              </w:rPr>
              <w:t>PPI users and recent-antibiotic patients</w:t>
            </w:r>
          </w:p>
        </w:tc>
        <w:tc>
          <w:tcPr>
            <w:tcW w:type="dxa" w:w="4276"/>
            <w:vAlign w:val="top"/>
          </w:tcPr>
          <w:p>
            <w:pPr>
              <w:spacing w:after="60" w:line="259" w:lineRule="auto"/>
            </w:pPr>
            <w:r>
              <w:rPr>
                <w:rFonts w:ascii="Calibri" w:hAnsi="Calibri"/>
                <w:b w:val="0"/>
                <w:i w:val="0"/>
                <w:color w:val="212121"/>
                <w:sz w:val="19"/>
              </w:rPr>
              <w:t>Gastric acid is a key barrier to swallowed pathogens; proton-pump inhibitors and H2-blockers, and recent antibiotics that disrupt colonic flora, raise the risk of enteric infection, especially Clostridioides difficile and Salmonella.</w:t>
            </w:r>
          </w:p>
          <w:p>
            <w:pPr>
              <w:spacing w:after="40" w:before="60" w:line="259" w:lineRule="auto"/>
            </w:pPr>
            <w:r>
              <w:rPr>
                <w:rFonts w:ascii="Calibri" w:hAnsi="Calibri"/>
                <w:b w:val="0"/>
                <w:i w:val="0"/>
                <w:color w:val="212121"/>
                <w:sz w:val="19"/>
              </w:rPr>
              <w:t>Acid suppression and antibiotic exposure are well-recognised risk factors for C. difficile and other enteric infections.</w:t>
            </w:r>
          </w:p>
          <w:p>
            <w:pPr>
              <w:spacing w:before="60" w:after="40"/>
            </w:pPr>
            <w:r>
              <w:rPr>
                <w:rFonts w:ascii="Calibri" w:hAnsi="Calibri"/>
                <w:b w:val="0"/>
                <w:i w:val="0"/>
                <w:color w:val="5A5A5A"/>
                <w:sz w:val="18"/>
              </w:rPr>
              <w:t>#PPI  #antibiotics  #Cdifficile  #hypochlorhydria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role in acute infectious diarrhoea; general fitness supports immune function and recovery, but activity level is not a primary determinant of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Contaminated, unhygienically prepared, reheated or improperly stored food is a principal faeco-oral route; street food and food from infected handlers are major sources of bacterial and norovirus gastroenteritis.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deprivation can impair immune defence and mildly increase infection susceptibility, but direct evidence linking sleep to acute gastroenteritis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alters gut mucosal immunity and the microbiota and is associated with higher risk and severity of Clostridioides difficile and some enteric infections.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reduces gastric acidity, disrupts the mucosal barrier and gut flora and impairs immunity; heavy and binge intake raise the risk of infectious and non-infectious diarrhoea and acute gastritis.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alters gut motility via the gut-brain axis and can worsen post-infectious IBS, but plays little role in the acute infectious episode itself.</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Faecally contaminated drinking water is the dominant vehicle for cholera, ETEC, rotavirus and parasites; safe water and treatment sharply cut risk, and oral rehydration with water-based ORS is the cornerstone of treatment.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can loosen stools and worsen fluid loss during an episode, but does not cause gastroenteritis; caffeinated and sugary drinks are discouraged during acute diarrhoea.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Handwashing with soap, safe disposal of faeces and food hygiene are among the most effective preventive measures; poor hygiene is the main driver of faeco-oral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Ingestion of contaminated food or water, travel, monsoon-season water contamination, close contact with an infected person, and recent antibiotic or PPI use commonly precipitate acute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Stool frequency (loose/watery stools per 24 h)</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Usual pattern; up to 2 formed stools/day</w:t>
            </w:r>
          </w:p>
        </w:tc>
        <w:tc>
          <w:tcPr>
            <w:tcW w:type="dxa" w:w="1512"/>
            <w:vAlign w:val="top"/>
          </w:tcPr>
          <w:p>
            <w:pPr>
              <w:spacing w:after="40" w:before="0" w:line="259" w:lineRule="auto"/>
            </w:pPr>
            <w:r>
              <w:rPr>
                <w:rFonts w:ascii="Calibri" w:hAnsi="Calibri"/>
                <w:b w:val="0"/>
                <w:i w:val="0"/>
                <w:color w:val="212121"/>
                <w:sz w:val="19"/>
              </w:rPr>
              <w:t>3 or more loose or watery stools in 24 h</w:t>
            </w:r>
          </w:p>
        </w:tc>
        <w:tc>
          <w:tcPr>
            <w:tcW w:type="dxa" w:w="1468"/>
            <w:vAlign w:val="top"/>
          </w:tcPr>
          <w:p>
            <w:pPr>
              <w:spacing w:after="60" w:line="259" w:lineRule="auto"/>
            </w:pPr>
            <w:r>
              <w:rPr>
                <w:rFonts w:ascii="Calibri" w:hAnsi="Calibri"/>
                <w:b w:val="0"/>
                <w:i w:val="0"/>
                <w:color w:val="212121"/>
                <w:sz w:val="19"/>
              </w:rPr>
              <w:t>WHO operational definition of diarrhoea</w:t>
            </w:r>
          </w:p>
          <w:p>
            <w:pPr>
              <w:spacing w:after="40" w:line="252" w:lineRule="auto"/>
            </w:pPr>
            <w:hyperlink r:id="rId13">
              <w:r>
                <w:rPr>
                  <w:rFonts w:ascii="Calibri" w:hAnsi="Calibri" w:cs="Calibri"/>
                  <w:sz w:val="18"/>
                  <w:color w:val="1155CC"/>
                  <w:u w:val="single"/>
                </w:rPr>
                <w:t xml:space="preserve">https://www.who.int/news-room/fact-sheets/detail/diarrhoeal-disease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Ongoing fluid / ORS replacement</w:t>
            </w:r>
          </w:p>
        </w:tc>
        <w:tc>
          <w:tcPr>
            <w:tcW w:type="dxa" w:w="1655"/>
            <w:vAlign w:val="top"/>
          </w:tcPr>
          <w:p>
            <w:pPr>
              <w:spacing w:after="40" w:before="0" w:line="259" w:lineRule="auto"/>
            </w:pPr>
            <w:r>
              <w:rPr>
                <w:rFonts w:ascii="Calibri" w:hAnsi="Calibri"/>
                <w:b w:val="0"/>
                <w:i w:val="0"/>
                <w:color w:val="212121"/>
                <w:sz w:val="19"/>
              </w:rPr>
              <w:t>Children, elderly</w:t>
            </w:r>
          </w:p>
        </w:tc>
        <w:tc>
          <w:tcPr>
            <w:tcW w:type="dxa" w:w="1512"/>
            <w:vAlign w:val="top"/>
          </w:tcPr>
          <w:p>
            <w:pPr>
              <w:spacing w:after="40" w:before="0" w:line="259" w:lineRule="auto"/>
            </w:pPr>
            <w:r>
              <w:rPr>
                <w:rFonts w:ascii="Calibri" w:hAnsi="Calibri"/>
                <w:b w:val="0"/>
                <w:i w:val="0"/>
                <w:color w:val="212121"/>
                <w:sz w:val="19"/>
              </w:rPr>
              <w:t>Replace each loose stool: under 2 y 50-100 mL, 2 y or older 100-200 mL low-osmolarity ORS</w:t>
            </w:r>
          </w:p>
        </w:tc>
        <w:tc>
          <w:tcPr>
            <w:tcW w:type="dxa" w:w="1512"/>
            <w:vAlign w:val="top"/>
          </w:tcPr>
          <w:p>
            <w:pPr>
              <w:spacing w:after="40" w:before="0" w:line="259" w:lineRule="auto"/>
            </w:pPr>
            <w:r>
              <w:rPr>
                <w:rFonts w:ascii="Calibri" w:hAnsi="Calibri"/>
                <w:b w:val="0"/>
                <w:i w:val="0"/>
                <w:color w:val="212121"/>
                <w:sz w:val="19"/>
              </w:rPr>
              <w:t>Intake less than losses -&gt; progressive dehydration</w:t>
            </w:r>
          </w:p>
        </w:tc>
        <w:tc>
          <w:tcPr>
            <w:tcW w:type="dxa" w:w="1468"/>
            <w:vAlign w:val="top"/>
          </w:tcPr>
          <w:p>
            <w:pPr>
              <w:spacing w:after="40" w:before="0" w:line="259" w:lineRule="auto"/>
            </w:pPr>
            <w:r>
              <w:rPr>
                <w:rFonts w:ascii="Calibri" w:hAnsi="Calibri"/>
                <w:b w:val="0"/>
                <w:i w:val="0"/>
                <w:color w:val="212121"/>
                <w:sz w:val="19"/>
              </w:rPr>
              <w:t>Low-osmolarity ORS is first-line rehydration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Dehydration (acute body-weight loss)</w:t>
            </w:r>
          </w:p>
        </w:tc>
        <w:tc>
          <w:tcPr>
            <w:tcW w:type="dxa" w:w="1655"/>
            <w:vAlign w:val="top"/>
          </w:tcPr>
          <w:p>
            <w:pPr>
              <w:spacing w:after="40" w:before="0" w:line="259" w:lineRule="auto"/>
            </w:pPr>
            <w:r>
              <w:rPr>
                <w:rFonts w:ascii="Calibri" w:hAnsi="Calibri"/>
                <w:b w:val="0"/>
                <w:i w:val="0"/>
                <w:color w:val="212121"/>
                <w:sz w:val="19"/>
              </w:rPr>
              <w:t>All, especially under-5</w:t>
            </w:r>
          </w:p>
        </w:tc>
        <w:tc>
          <w:tcPr>
            <w:tcW w:type="dxa" w:w="1512"/>
            <w:vAlign w:val="top"/>
          </w:tcPr>
          <w:p>
            <w:pPr>
              <w:spacing w:after="40" w:before="0" w:line="259" w:lineRule="auto"/>
            </w:pPr>
            <w:r>
              <w:rPr>
                <w:rFonts w:ascii="Calibri" w:hAnsi="Calibri"/>
                <w:b w:val="0"/>
                <w:i w:val="0"/>
                <w:color w:val="212121"/>
                <w:sz w:val="19"/>
              </w:rPr>
              <w:t>Under 3% (no dehydration, Plan A)</w:t>
            </w:r>
          </w:p>
        </w:tc>
        <w:tc>
          <w:tcPr>
            <w:tcW w:type="dxa" w:w="1512"/>
            <w:vAlign w:val="top"/>
          </w:tcPr>
          <w:p>
            <w:pPr>
              <w:spacing w:after="40" w:before="0" w:line="259" w:lineRule="auto"/>
            </w:pPr>
            <w:r>
              <w:rPr>
                <w:rFonts w:ascii="Calibri" w:hAnsi="Calibri"/>
                <w:b w:val="0"/>
                <w:i w:val="0"/>
                <w:color w:val="212121"/>
                <w:sz w:val="19"/>
              </w:rPr>
              <w:t>10% or more (severe dehydration, Plan C)</w:t>
            </w:r>
          </w:p>
        </w:tc>
        <w:tc>
          <w:tcPr>
            <w:tcW w:type="dxa" w:w="1468"/>
            <w:vAlign w:val="top"/>
          </w:tcPr>
          <w:p>
            <w:pPr>
              <w:spacing w:after="40" w:before="0" w:line="259" w:lineRule="auto"/>
            </w:pPr>
            <w:r>
              <w:rPr>
                <w:rFonts w:ascii="Calibri" w:hAnsi="Calibri"/>
                <w:b w:val="0"/>
                <w:i w:val="0"/>
                <w:color w:val="212121"/>
                <w:sz w:val="19"/>
              </w:rPr>
              <w:t>WHO/IMNCI severity plans A/B/C</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output</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Child at least 1 mL/kg/h; adult at least 0.5 mL/kg/h</w:t>
            </w:r>
          </w:p>
        </w:tc>
        <w:tc>
          <w:tcPr>
            <w:tcW w:type="dxa" w:w="1512"/>
            <w:vAlign w:val="top"/>
          </w:tcPr>
          <w:p>
            <w:pPr>
              <w:spacing w:after="40" w:before="0" w:line="259" w:lineRule="auto"/>
            </w:pPr>
            <w:r>
              <w:rPr>
                <w:rFonts w:ascii="Calibri" w:hAnsi="Calibri"/>
                <w:b w:val="0"/>
                <w:i w:val="0"/>
                <w:color w:val="212121"/>
                <w:sz w:val="19"/>
              </w:rPr>
              <w:t>Under 0.5 mL/kg/h or 6 h with no urine</w:t>
            </w:r>
          </w:p>
        </w:tc>
        <w:tc>
          <w:tcPr>
            <w:tcW w:type="dxa" w:w="1468"/>
            <w:vAlign w:val="top"/>
          </w:tcPr>
          <w:p>
            <w:pPr>
              <w:spacing w:after="40" w:before="0" w:line="259" w:lineRule="auto"/>
            </w:pPr>
            <w:r>
              <w:rPr>
                <w:rFonts w:ascii="Calibri" w:hAnsi="Calibri"/>
                <w:b w:val="0"/>
                <w:i w:val="0"/>
                <w:color w:val="212121"/>
                <w:sz w:val="19"/>
              </w:rPr>
              <w:t>Marker of hypovolaemia and pre-renal AKI</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at critical times</w:t>
            </w:r>
          </w:p>
        </w:tc>
        <w:tc>
          <w:tcPr>
            <w:tcW w:type="dxa" w:w="1655"/>
            <w:vAlign w:val="top"/>
          </w:tcPr>
          <w:p>
            <w:pPr>
              <w:spacing w:after="40" w:before="0" w:line="259" w:lineRule="auto"/>
            </w:pPr>
            <w:r>
              <w:rPr>
                <w:rFonts w:ascii="Calibri" w:hAnsi="Calibri"/>
                <w:b w:val="0"/>
                <w:i w:val="0"/>
                <w:color w:val="212121"/>
                <w:sz w:val="19"/>
              </w:rPr>
              <w:t>Caregivers, food handlers</w:t>
            </w:r>
          </w:p>
        </w:tc>
        <w:tc>
          <w:tcPr>
            <w:tcW w:type="dxa" w:w="1512"/>
            <w:vAlign w:val="top"/>
          </w:tcPr>
          <w:p>
            <w:pPr>
              <w:spacing w:after="40" w:before="0" w:line="259" w:lineRule="auto"/>
            </w:pPr>
            <w:r>
              <w:rPr>
                <w:rFonts w:ascii="Calibri" w:hAnsi="Calibri"/>
                <w:b w:val="0"/>
                <w:i w:val="0"/>
                <w:color w:val="212121"/>
                <w:sz w:val="19"/>
              </w:rPr>
              <w:t>Always - after defecation, before food handling/eating, after cleaning a child</w:t>
            </w:r>
          </w:p>
        </w:tc>
        <w:tc>
          <w:tcPr>
            <w:tcW w:type="dxa" w:w="1512"/>
            <w:vAlign w:val="top"/>
          </w:tcPr>
          <w:p>
            <w:pPr>
              <w:spacing w:after="40" w:before="0" w:line="259" w:lineRule="auto"/>
            </w:pPr>
            <w:r>
              <w:rPr>
                <w:rFonts w:ascii="Calibri" w:hAnsi="Calibri"/>
                <w:b w:val="0"/>
                <w:i w:val="0"/>
                <w:color w:val="212121"/>
                <w:sz w:val="19"/>
              </w:rPr>
              <w:t>No soap use or water-only washing</w:t>
            </w:r>
          </w:p>
        </w:tc>
        <w:tc>
          <w:tcPr>
            <w:tcW w:type="dxa" w:w="1468"/>
            <w:vAlign w:val="top"/>
          </w:tcPr>
          <w:p>
            <w:pPr>
              <w:spacing w:after="60" w:line="259" w:lineRule="auto"/>
            </w:pPr>
            <w:r>
              <w:rPr>
                <w:rFonts w:ascii="Calibri" w:hAnsi="Calibri"/>
                <w:b w:val="0"/>
                <w:i w:val="0"/>
                <w:color w:val="212121"/>
                <w:sz w:val="19"/>
              </w:rPr>
              <w:t>Handwashing with soap is a leading preventive measure</w:t>
            </w:r>
          </w:p>
          <w:p>
            <w:pPr>
              <w:spacing w:after="40" w:line="252" w:lineRule="auto"/>
            </w:pPr>
            <w:hyperlink r:id="rId13">
              <w:r>
                <w:rPr>
                  <w:rFonts w:ascii="Calibri" w:hAnsi="Calibri" w:cs="Calibri"/>
                  <w:sz w:val="18"/>
                  <w:color w:val="1155CC"/>
                  <w:u w:val="single"/>
                </w:rPr>
                <w:t xml:space="preserve">https://www.who.int/news-room/fact-sheets/detail/diarrhoeal-disease</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safety</w:t>
            </w:r>
          </w:p>
        </w:tc>
        <w:tc>
          <w:tcPr>
            <w:tcW w:type="dxa" w:w="1655"/>
            <w:vAlign w:val="top"/>
          </w:tcPr>
          <w:p>
            <w:pPr>
              <w:spacing w:after="40" w:before="0" w:line="259" w:lineRule="auto"/>
            </w:pPr>
            <w:r>
              <w:rPr>
                <w:rFonts w:ascii="Calibri" w:hAnsi="Calibri"/>
                <w:b w:val="0"/>
                <w:i w:val="0"/>
                <w:color w:val="212121"/>
                <w:sz w:val="19"/>
              </w:rPr>
              <w:t>Households</w:t>
            </w:r>
          </w:p>
        </w:tc>
        <w:tc>
          <w:tcPr>
            <w:tcW w:type="dxa" w:w="1512"/>
            <w:vAlign w:val="top"/>
          </w:tcPr>
          <w:p>
            <w:pPr>
              <w:spacing w:after="40" w:before="0" w:line="259" w:lineRule="auto"/>
            </w:pPr>
            <w:r>
              <w:rPr>
                <w:rFonts w:ascii="Calibri" w:hAnsi="Calibri"/>
                <w:b w:val="0"/>
                <w:i w:val="0"/>
                <w:color w:val="212121"/>
                <w:sz w:val="19"/>
              </w:rPr>
              <w:t>Boiled, filtered or chlorinated and safely stored</w:t>
            </w:r>
          </w:p>
        </w:tc>
        <w:tc>
          <w:tcPr>
            <w:tcW w:type="dxa" w:w="1512"/>
            <w:vAlign w:val="top"/>
          </w:tcPr>
          <w:p>
            <w:pPr>
              <w:spacing w:after="40" w:before="0" w:line="259" w:lineRule="auto"/>
            </w:pPr>
            <w:r>
              <w:rPr>
                <w:rFonts w:ascii="Calibri" w:hAnsi="Calibri"/>
                <w:b w:val="0"/>
                <w:i w:val="0"/>
                <w:color w:val="212121"/>
                <w:sz w:val="19"/>
              </w:rPr>
              <w:t>Untreated surface/hand-pump water; monsoon contamination</w:t>
            </w:r>
          </w:p>
        </w:tc>
        <w:tc>
          <w:tcPr>
            <w:tcW w:type="dxa" w:w="1468"/>
            <w:vAlign w:val="top"/>
          </w:tcPr>
          <w:p>
            <w:pPr>
              <w:spacing w:after="60" w:line="259" w:lineRule="auto"/>
            </w:pPr>
            <w:r>
              <w:rPr>
                <w:rFonts w:ascii="Calibri" w:hAnsi="Calibri"/>
                <w:b w:val="0"/>
                <w:i w:val="0"/>
                <w:color w:val="212121"/>
                <w:sz w:val="19"/>
              </w:rPr>
              <w:t>Primary faeco-oral vehicle</w:t>
            </w:r>
          </w:p>
          <w:p>
            <w:pPr>
              <w:spacing w:after="40" w:line="252" w:lineRule="auto"/>
            </w:pPr>
            <w:hyperlink r:id="rId13">
              <w:r>
                <w:rPr>
                  <w:rFonts w:ascii="Calibri" w:hAnsi="Calibri" w:cs="Calibri"/>
                  <w:sz w:val="18"/>
                  <w:color w:val="1155CC"/>
                  <w:u w:val="single"/>
                </w:rPr>
                <w:t xml:space="preserve">https://www.who.int/news-room/fact-sheets/detail/diarrhoeal-disease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Duration of diarrhoea</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Under 7 days (acute, self-limiting)</w:t>
            </w:r>
          </w:p>
        </w:tc>
        <w:tc>
          <w:tcPr>
            <w:tcW w:type="dxa" w:w="1512"/>
            <w:vAlign w:val="top"/>
          </w:tcPr>
          <w:p>
            <w:pPr>
              <w:spacing w:after="40" w:before="0" w:line="259" w:lineRule="auto"/>
            </w:pPr>
            <w:r>
              <w:rPr>
                <w:rFonts w:ascii="Calibri" w:hAnsi="Calibri"/>
                <w:b w:val="0"/>
                <w:i w:val="0"/>
                <w:color w:val="212121"/>
                <w:sz w:val="19"/>
              </w:rPr>
              <w:t>14 days or more (persistent); 30 days or more (chronic)</w:t>
            </w:r>
          </w:p>
        </w:tc>
        <w:tc>
          <w:tcPr>
            <w:tcW w:type="dxa" w:w="1468"/>
            <w:vAlign w:val="top"/>
          </w:tcPr>
          <w:p>
            <w:pPr>
              <w:spacing w:after="40" w:before="0" w:line="259" w:lineRule="auto"/>
            </w:pPr>
            <w:r>
              <w:rPr>
                <w:rFonts w:ascii="Calibri" w:hAnsi="Calibri"/>
                <w:b w:val="0"/>
                <w:i w:val="0"/>
                <w:color w:val="212121"/>
                <w:sz w:val="19"/>
              </w:rPr>
              <w:t>Persistence warrants stool workup and re-evaluation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36.5-37.5 C</w:t>
            </w:r>
          </w:p>
        </w:tc>
        <w:tc>
          <w:tcPr>
            <w:tcW w:type="dxa" w:w="1512"/>
            <w:vAlign w:val="top"/>
          </w:tcPr>
          <w:p>
            <w:pPr>
              <w:spacing w:after="40" w:before="0" w:line="259" w:lineRule="auto"/>
            </w:pPr>
            <w:r>
              <w:rPr>
                <w:rFonts w:ascii="Calibri" w:hAnsi="Calibri"/>
                <w:b w:val="0"/>
                <w:i w:val="0"/>
                <w:color w:val="212121"/>
                <w:sz w:val="19"/>
              </w:rPr>
              <w:t>Over 38.5 C, especially with bloody stool</w:t>
            </w:r>
          </w:p>
        </w:tc>
        <w:tc>
          <w:tcPr>
            <w:tcW w:type="dxa" w:w="1468"/>
            <w:vAlign w:val="top"/>
          </w:tcPr>
          <w:p>
            <w:pPr>
              <w:spacing w:after="40" w:before="0" w:line="259" w:lineRule="auto"/>
            </w:pPr>
            <w:r>
              <w:rPr>
                <w:rFonts w:ascii="Calibri" w:hAnsi="Calibri"/>
                <w:b w:val="0"/>
                <w:i w:val="0"/>
                <w:color w:val="212121"/>
                <w:sz w:val="19"/>
              </w:rPr>
              <w:t>High fever with dysentery suggests invasive bacterial cause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Zinc supplementation (children)</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Zinc 20 mg/day (10 mg if under 6 months) for 10-14 days with each episode</w:t>
            </w:r>
          </w:p>
        </w:tc>
        <w:tc>
          <w:tcPr>
            <w:tcW w:type="dxa" w:w="1512"/>
            <w:vAlign w:val="top"/>
          </w:tcPr>
          <w:p>
            <w:pPr>
              <w:spacing w:after="40" w:before="0" w:line="259" w:lineRule="auto"/>
            </w:pPr>
            <w:r>
              <w:rPr>
                <w:rFonts w:ascii="Calibri" w:hAnsi="Calibri"/>
                <w:b w:val="0"/>
                <w:i w:val="0"/>
                <w:color w:val="212121"/>
                <w:sz w:val="19"/>
              </w:rPr>
              <w:t>No zinc given; dietary zinc deficiency</w:t>
            </w:r>
          </w:p>
        </w:tc>
        <w:tc>
          <w:tcPr>
            <w:tcW w:type="dxa" w:w="1468"/>
            <w:vAlign w:val="top"/>
          </w:tcPr>
          <w:p>
            <w:pPr>
              <w:spacing w:after="60" w:line="259" w:lineRule="auto"/>
            </w:pPr>
            <w:r>
              <w:rPr>
                <w:rFonts w:ascii="Calibri" w:hAnsi="Calibri"/>
                <w:b w:val="0"/>
                <w:i w:val="0"/>
                <w:color w:val="212121"/>
                <w:sz w:val="19"/>
              </w:rPr>
              <w:t>Zinc cuts episode duration by about 25% and stool volume by about 30%</w:t>
            </w:r>
          </w:p>
          <w:p>
            <w:pPr>
              <w:spacing w:after="40" w:line="252" w:lineRule="auto"/>
            </w:pPr>
            <w:hyperlink r:id="rId13">
              <w:r>
                <w:rPr>
                  <w:rFonts w:ascii="Calibri" w:hAnsi="Calibri" w:cs="Calibri"/>
                  <w:sz w:val="18"/>
                  <w:color w:val="1155CC"/>
                  <w:u w:val="single"/>
                </w:rPr>
                <w:t xml:space="preserve">https://www.who.int/news-room/fact-sheets/detail/diarrhoeal-disease</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 and potassium</w:t>
            </w:r>
          </w:p>
        </w:tc>
        <w:tc>
          <w:tcPr>
            <w:tcW w:type="dxa" w:w="1655"/>
            <w:vAlign w:val="top"/>
          </w:tcPr>
          <w:p>
            <w:pPr>
              <w:spacing w:after="40" w:before="0" w:line="259" w:lineRule="auto"/>
            </w:pPr>
            <w:r>
              <w:rPr>
                <w:rFonts w:ascii="Calibri" w:hAnsi="Calibri"/>
                <w:b w:val="0"/>
                <w:i w:val="0"/>
                <w:color w:val="212121"/>
                <w:sz w:val="19"/>
              </w:rPr>
              <w:t>Severe / hospitalised cases</w:t>
            </w:r>
          </w:p>
        </w:tc>
        <w:tc>
          <w:tcPr>
            <w:tcW w:type="dxa" w:w="1512"/>
            <w:vAlign w:val="top"/>
          </w:tcPr>
          <w:p>
            <w:pPr>
              <w:spacing w:after="40" w:before="0" w:line="259" w:lineRule="auto"/>
            </w:pPr>
            <w:r>
              <w:rPr>
                <w:rFonts w:ascii="Calibri" w:hAnsi="Calibri"/>
                <w:b w:val="0"/>
                <w:i w:val="0"/>
                <w:color w:val="212121"/>
                <w:sz w:val="19"/>
              </w:rPr>
              <w:t>Na 135-145 mmol/L; K 3.5-5.0 mmol/L</w:t>
            </w:r>
          </w:p>
        </w:tc>
        <w:tc>
          <w:tcPr>
            <w:tcW w:type="dxa" w:w="1512"/>
            <w:vAlign w:val="top"/>
          </w:tcPr>
          <w:p>
            <w:pPr>
              <w:spacing w:after="40" w:before="0" w:line="259" w:lineRule="auto"/>
            </w:pPr>
            <w:r>
              <w:rPr>
                <w:rFonts w:ascii="Calibri" w:hAnsi="Calibri"/>
                <w:b w:val="0"/>
                <w:i w:val="0"/>
                <w:color w:val="212121"/>
                <w:sz w:val="19"/>
              </w:rPr>
              <w:t>Hyper- or hyponatraemia; K under 3.5 mmol/L</w:t>
            </w:r>
          </w:p>
        </w:tc>
        <w:tc>
          <w:tcPr>
            <w:tcW w:type="dxa" w:w="1468"/>
            <w:vAlign w:val="top"/>
          </w:tcPr>
          <w:p>
            <w:pPr>
              <w:spacing w:after="40" w:before="0" w:line="259" w:lineRule="auto"/>
            </w:pPr>
            <w:r>
              <w:rPr>
                <w:rFonts w:ascii="Calibri" w:hAnsi="Calibri"/>
                <w:b w:val="0"/>
                <w:i w:val="0"/>
                <w:color w:val="212121"/>
                <w:sz w:val="19"/>
              </w:rPr>
              <w:t>Guides intravenous fluid and electrolyte choice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ORS + zinc treatment coverage</w:t>
            </w:r>
          </w:p>
        </w:tc>
        <w:tc>
          <w:tcPr>
            <w:tcW w:type="dxa" w:w="1655"/>
            <w:vAlign w:val="top"/>
          </w:tcPr>
          <w:p>
            <w:pPr>
              <w:spacing w:after="40" w:before="0" w:line="259" w:lineRule="auto"/>
            </w:pPr>
            <w:r>
              <w:rPr>
                <w:rFonts w:ascii="Calibri" w:hAnsi="Calibri"/>
                <w:b w:val="0"/>
                <w:i w:val="0"/>
                <w:color w:val="212121"/>
                <w:sz w:val="19"/>
              </w:rPr>
              <w:t>Under-5 children in India</w:t>
            </w:r>
          </w:p>
        </w:tc>
        <w:tc>
          <w:tcPr>
            <w:tcW w:type="dxa" w:w="1512"/>
            <w:vAlign w:val="top"/>
          </w:tcPr>
          <w:p>
            <w:pPr>
              <w:spacing w:after="40" w:before="0" w:line="259" w:lineRule="auto"/>
            </w:pPr>
            <w:r>
              <w:rPr>
                <w:rFonts w:ascii="Calibri" w:hAnsi="Calibri"/>
                <w:b w:val="0"/>
                <w:i w:val="0"/>
                <w:color w:val="212121"/>
                <w:sz w:val="19"/>
              </w:rPr>
              <w:t>ORS plus zinc for every diarrhoea episode</w:t>
            </w:r>
          </w:p>
        </w:tc>
        <w:tc>
          <w:tcPr>
            <w:tcW w:type="dxa" w:w="1512"/>
            <w:vAlign w:val="top"/>
          </w:tcPr>
          <w:p>
            <w:pPr>
              <w:spacing w:after="40" w:before="0" w:line="259" w:lineRule="auto"/>
            </w:pPr>
            <w:r>
              <w:rPr>
                <w:rFonts w:ascii="Calibri" w:hAnsi="Calibri"/>
                <w:b w:val="0"/>
                <w:i w:val="0"/>
                <w:color w:val="212121"/>
                <w:sz w:val="19"/>
              </w:rPr>
              <w:t>Not used / delayed</w:t>
            </w:r>
          </w:p>
        </w:tc>
        <w:tc>
          <w:tcPr>
            <w:tcW w:type="dxa" w:w="1468"/>
            <w:vAlign w:val="top"/>
          </w:tcPr>
          <w:p>
            <w:pPr>
              <w:spacing w:after="60" w:line="259" w:lineRule="auto"/>
            </w:pPr>
            <w:r>
              <w:rPr>
                <w:rFonts w:ascii="Calibri" w:hAnsi="Calibri"/>
                <w:b w:val="0"/>
                <w:i w:val="0"/>
                <w:color w:val="212121"/>
                <w:sz w:val="19"/>
              </w:rPr>
              <w:t>NFHS-5: only about 60.7% received ORS and 30.5% received zinc</w:t>
            </w:r>
          </w:p>
          <w:p>
            <w:pPr>
              <w:spacing w:after="40" w:line="252" w:lineRule="auto"/>
            </w:pPr>
            <w:hyperlink r:id="rId14">
              <w:r>
                <w:rPr>
                  <w:rFonts w:ascii="Calibri" w:hAnsi="Calibri" w:cs="Calibri"/>
                  <w:sz w:val="18"/>
                  <w:color w:val="1155CC"/>
                  <w:u w:val="single"/>
                </w:rPr>
                <w:t xml:space="preserve">https://journals.plos.org/plosone/article?id=10.1371/journal.pone.0307657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routine microscopy</w:t>
            </w:r>
          </w:p>
        </w:tc>
        <w:tc>
          <w:tcPr>
            <w:tcW w:type="dxa" w:w="892"/>
            <w:vAlign w:val="top"/>
          </w:tcPr>
          <w:p>
            <w:pPr>
              <w:spacing w:after="40" w:before="0" w:line="259" w:lineRule="auto"/>
            </w:pPr>
            <w:r>
              <w:rPr>
                <w:rFonts w:ascii="Calibri" w:hAnsi="Calibri"/>
                <w:b w:val="0"/>
                <w:i w:val="0"/>
                <w:color w:val="212121"/>
                <w:sz w:val="16"/>
              </w:rPr>
              <w:t>Stool examination</w:t>
            </w:r>
          </w:p>
        </w:tc>
        <w:tc>
          <w:tcPr>
            <w:tcW w:type="dxa" w:w="950"/>
            <w:vAlign w:val="top"/>
          </w:tcPr>
          <w:p>
            <w:pPr>
              <w:spacing w:after="40" w:before="0" w:line="259" w:lineRule="auto"/>
            </w:pPr>
            <w:r>
              <w:rPr>
                <w:rFonts w:ascii="Calibri" w:hAnsi="Calibri"/>
                <w:b w:val="0"/>
                <w:i w:val="0"/>
                <w:color w:val="212121"/>
                <w:sz w:val="16"/>
              </w:rPr>
              <w:t>No pus cells or RBCs; no parasites</w:t>
            </w:r>
          </w:p>
        </w:tc>
        <w:tc>
          <w:tcPr>
            <w:tcW w:type="dxa" w:w="950"/>
            <w:vAlign w:val="top"/>
          </w:tcPr>
          <w:p>
            <w:pPr>
              <w:spacing w:after="40" w:before="0" w:line="259" w:lineRule="auto"/>
            </w:pPr>
            <w:r>
              <w:rPr>
                <w:rFonts w:ascii="Calibri" w:hAnsi="Calibri"/>
                <w:b w:val="0"/>
                <w:i w:val="0"/>
                <w:color w:val="212121"/>
                <w:sz w:val="16"/>
              </w:rPr>
              <w:t>More than 5 WBC/hpf, RBCs, or trophozoites/cysts of Entamoeba/Giardia</w:t>
            </w:r>
          </w:p>
        </w:tc>
        <w:tc>
          <w:tcPr>
            <w:tcW w:type="dxa" w:w="1036"/>
            <w:vAlign w:val="top"/>
          </w:tcPr>
          <w:p>
            <w:pPr>
              <w:spacing w:after="40" w:before="0" w:line="259" w:lineRule="auto"/>
            </w:pPr>
            <w:r>
              <w:rPr>
                <w:rFonts w:ascii="Calibri" w:hAnsi="Calibri"/>
                <w:b w:val="0"/>
                <w:i w:val="0"/>
                <w:color w:val="212121"/>
                <w:sz w:val="16"/>
              </w:rPr>
              <w:t>Pus cells and RBCs indicate invasive/inflammatory (dysenteric) diarrhoea; parasites indicate protozoal cause</w:t>
            </w:r>
          </w:p>
        </w:tc>
        <w:tc>
          <w:tcPr>
            <w:tcW w:type="dxa" w:w="1036"/>
            <w:vAlign w:val="top"/>
          </w:tcPr>
          <w:p>
            <w:pPr>
              <w:spacing w:after="40" w:before="0" w:line="259" w:lineRule="auto"/>
            </w:pPr>
            <w:r>
              <w:rPr>
                <w:rFonts w:ascii="Calibri" w:hAnsi="Calibri"/>
                <w:b w:val="0"/>
                <w:i w:val="0"/>
                <w:color w:val="212121"/>
                <w:sz w:val="16"/>
              </w:rPr>
              <w:t>Dysentery, persistent diarrhoea, immunocompromised</w:t>
            </w:r>
          </w:p>
        </w:tc>
        <w:tc>
          <w:tcPr>
            <w:tcW w:type="dxa" w:w="720"/>
            <w:vAlign w:val="top"/>
          </w:tcPr>
          <w:p>
            <w:pPr>
              <w:spacing w:after="40" w:before="0" w:line="259" w:lineRule="auto"/>
            </w:pPr>
            <w:r>
              <w:rPr>
                <w:rFonts w:ascii="Calibri" w:hAnsi="Calibri"/>
                <w:b w:val="0"/>
                <w:i w:val="0"/>
                <w:color w:val="212121"/>
                <w:sz w:val="16"/>
              </w:rPr>
              <w:t>Food; Water; Hygiene</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Fresh sample; hanging-drop for Vibrio motility if cholera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culture and sensitivity</w:t>
            </w:r>
          </w:p>
        </w:tc>
        <w:tc>
          <w:tcPr>
            <w:tcW w:type="dxa" w:w="892"/>
            <w:vAlign w:val="top"/>
          </w:tcPr>
          <w:p>
            <w:pPr>
              <w:spacing w:after="40" w:before="0" w:line="259" w:lineRule="auto"/>
            </w:pPr>
            <w:r>
              <w:rPr>
                <w:rFonts w:ascii="Calibri" w:hAnsi="Calibri"/>
                <w:b w:val="0"/>
                <w:i w:val="0"/>
                <w:color w:val="212121"/>
                <w:sz w:val="16"/>
              </w:rPr>
              <w:t>Stool examination</w:t>
            </w:r>
          </w:p>
        </w:tc>
        <w:tc>
          <w:tcPr>
            <w:tcW w:type="dxa" w:w="950"/>
            <w:vAlign w:val="top"/>
          </w:tcPr>
          <w:p>
            <w:pPr>
              <w:spacing w:after="40" w:before="0" w:line="259" w:lineRule="auto"/>
            </w:pPr>
            <w:r>
              <w:rPr>
                <w:rFonts w:ascii="Calibri" w:hAnsi="Calibri"/>
                <w:b w:val="0"/>
                <w:i w:val="0"/>
                <w:color w:val="212121"/>
                <w:sz w:val="16"/>
              </w:rPr>
              <w:t>No pathogenic growth</w:t>
            </w:r>
          </w:p>
        </w:tc>
        <w:tc>
          <w:tcPr>
            <w:tcW w:type="dxa" w:w="950"/>
            <w:vAlign w:val="top"/>
          </w:tcPr>
          <w:p>
            <w:pPr>
              <w:spacing w:after="40" w:before="0" w:line="259" w:lineRule="auto"/>
            </w:pPr>
            <w:r>
              <w:rPr>
                <w:rFonts w:ascii="Calibri" w:hAnsi="Calibri"/>
                <w:b w:val="0"/>
                <w:i w:val="0"/>
                <w:color w:val="212121"/>
                <w:sz w:val="16"/>
              </w:rPr>
              <w:t>Growth of Shigella, Salmonella, Vibrio, Campylobacter or diarrhoeagenic E. coli</w:t>
            </w:r>
          </w:p>
        </w:tc>
        <w:tc>
          <w:tcPr>
            <w:tcW w:type="dxa" w:w="1036"/>
            <w:vAlign w:val="top"/>
          </w:tcPr>
          <w:p>
            <w:pPr>
              <w:spacing w:after="40" w:before="0" w:line="259" w:lineRule="auto"/>
            </w:pPr>
            <w:r>
              <w:rPr>
                <w:rFonts w:ascii="Calibri" w:hAnsi="Calibri"/>
                <w:b w:val="0"/>
                <w:i w:val="0"/>
                <w:color w:val="212121"/>
                <w:sz w:val="16"/>
              </w:rPr>
              <w:t>Identifies bacterial pathogen and guides targeted antibiotics in severe/dysenteric disease</w:t>
            </w:r>
          </w:p>
        </w:tc>
        <w:tc>
          <w:tcPr>
            <w:tcW w:type="dxa" w:w="1036"/>
            <w:vAlign w:val="top"/>
          </w:tcPr>
          <w:p>
            <w:pPr>
              <w:spacing w:after="40" w:before="0" w:line="259" w:lineRule="auto"/>
            </w:pPr>
            <w:r>
              <w:rPr>
                <w:rFonts w:ascii="Calibri" w:hAnsi="Calibri"/>
                <w:b w:val="0"/>
                <w:i w:val="0"/>
                <w:color w:val="212121"/>
                <w:sz w:val="16"/>
              </w:rPr>
              <w:t>Bloody diarrhoea, sepsis, outbreaks, travellers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 for severe/persistent/dysenteric or outbreak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Rotavirus antigen (ELISA / rapid)</w:t>
            </w:r>
          </w:p>
        </w:tc>
        <w:tc>
          <w:tcPr>
            <w:tcW w:type="dxa" w:w="892"/>
            <w:vAlign w:val="top"/>
          </w:tcPr>
          <w:p>
            <w:pPr>
              <w:spacing w:after="40" w:before="0" w:line="259" w:lineRule="auto"/>
            </w:pPr>
            <w:r>
              <w:rPr>
                <w:rFonts w:ascii="Calibri" w:hAnsi="Calibri"/>
                <w:b w:val="0"/>
                <w:i w:val="0"/>
                <w:color w:val="212121"/>
                <w:sz w:val="16"/>
              </w:rPr>
              <w:t>Stool antigen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rotavirus antigen</w:t>
            </w:r>
          </w:p>
        </w:tc>
        <w:tc>
          <w:tcPr>
            <w:tcW w:type="dxa" w:w="1036"/>
            <w:vAlign w:val="top"/>
          </w:tcPr>
          <w:p>
            <w:pPr>
              <w:spacing w:after="40" w:before="0" w:line="259" w:lineRule="auto"/>
            </w:pPr>
            <w:r>
              <w:rPr>
                <w:rFonts w:ascii="Calibri" w:hAnsi="Calibri"/>
                <w:b w:val="0"/>
                <w:i w:val="0"/>
                <w:color w:val="212121"/>
                <w:sz w:val="16"/>
              </w:rPr>
              <w:t>Confirms rotavirus as cause; supports surveillance and vaccine-impact monitoring</w:t>
            </w:r>
          </w:p>
        </w:tc>
        <w:tc>
          <w:tcPr>
            <w:tcW w:type="dxa" w:w="1036"/>
            <w:vAlign w:val="top"/>
          </w:tcPr>
          <w:p>
            <w:pPr>
              <w:spacing w:after="40" w:before="0" w:line="259" w:lineRule="auto"/>
            </w:pPr>
            <w:r>
              <w:rPr>
                <w:rFonts w:ascii="Calibri" w:hAnsi="Calibri"/>
                <w:b w:val="0"/>
                <w:i w:val="0"/>
                <w:color w:val="212121"/>
                <w:sz w:val="16"/>
              </w:rPr>
              <w:t>Children under 5 with acute watery diarrhoea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Rotavirus caused about 37% of under-5 AGE hospitalisations pre-vaccine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(Na, K, HCO3)</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Na 135-145; K 3.5-5.0; HCO3 22-28 mmol/L</w:t>
            </w:r>
          </w:p>
        </w:tc>
        <w:tc>
          <w:tcPr>
            <w:tcW w:type="dxa" w:w="950"/>
            <w:vAlign w:val="top"/>
          </w:tcPr>
          <w:p>
            <w:pPr>
              <w:spacing w:after="40" w:before="0" w:line="259" w:lineRule="auto"/>
            </w:pPr>
            <w:r>
              <w:rPr>
                <w:rFonts w:ascii="Calibri" w:hAnsi="Calibri"/>
                <w:b w:val="0"/>
                <w:i w:val="0"/>
                <w:color w:val="212121"/>
                <w:sz w:val="16"/>
              </w:rPr>
              <w:t>Hyper-/hyponatraemia, hypokalaemia, low bicarbonate</w:t>
            </w:r>
          </w:p>
        </w:tc>
        <w:tc>
          <w:tcPr>
            <w:tcW w:type="dxa" w:w="1036"/>
            <w:vAlign w:val="top"/>
          </w:tcPr>
          <w:p>
            <w:pPr>
              <w:spacing w:after="40" w:before="0" w:line="259" w:lineRule="auto"/>
            </w:pPr>
            <w:r>
              <w:rPr>
                <w:rFonts w:ascii="Calibri" w:hAnsi="Calibri"/>
                <w:b w:val="0"/>
                <w:i w:val="0"/>
                <w:color w:val="212121"/>
                <w:sz w:val="16"/>
              </w:rPr>
              <w:t>Detects dehydration-related electrolyte loss and metabolic acidosis; guides IV fluids</w:t>
            </w:r>
          </w:p>
        </w:tc>
        <w:tc>
          <w:tcPr>
            <w:tcW w:type="dxa" w:w="1036"/>
            <w:vAlign w:val="top"/>
          </w:tcPr>
          <w:p>
            <w:pPr>
              <w:spacing w:after="40" w:before="0" w:line="259" w:lineRule="auto"/>
            </w:pPr>
            <w:r>
              <w:rPr>
                <w:rFonts w:ascii="Calibri" w:hAnsi="Calibri"/>
                <w:b w:val="0"/>
                <w:i w:val="0"/>
                <w:color w:val="212121"/>
                <w:sz w:val="16"/>
              </w:rPr>
              <w:t>Severe dehydration, elderly, infants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 in severe cases</w:t>
            </w:r>
          </w:p>
        </w:tc>
        <w:tc>
          <w:tcPr>
            <w:tcW w:type="dxa" w:w="720"/>
            <w:vAlign w:val="top"/>
          </w:tcPr>
          <w:p>
            <w:pPr>
              <w:spacing w:after="40" w:before="0" w:line="259" w:lineRule="auto"/>
            </w:pPr>
            <w:r>
              <w:rPr>
                <w:rFonts w:ascii="Calibri" w:hAnsi="Calibri"/>
                <w:b w:val="0"/>
                <w:i w:val="0"/>
                <w:color w:val="212121"/>
                <w:sz w:val="16"/>
              </w:rPr>
              <w:t>Essential before and during IV rehydration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and serum creatinine</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Urea 15-40 mg/dL; creatinine 0.6-1.2 mg/dL</w:t>
            </w:r>
          </w:p>
        </w:tc>
        <w:tc>
          <w:tcPr>
            <w:tcW w:type="dxa" w:w="950"/>
            <w:vAlign w:val="top"/>
          </w:tcPr>
          <w:p>
            <w:pPr>
              <w:spacing w:after="40" w:before="0" w:line="259" w:lineRule="auto"/>
            </w:pPr>
            <w:r>
              <w:rPr>
                <w:rFonts w:ascii="Calibri" w:hAnsi="Calibri"/>
                <w:b w:val="0"/>
                <w:i w:val="0"/>
                <w:color w:val="212121"/>
                <w:sz w:val="16"/>
              </w:rPr>
              <w:t>Raised urea and creatinine (pre-renal pattern)</w:t>
            </w:r>
          </w:p>
        </w:tc>
        <w:tc>
          <w:tcPr>
            <w:tcW w:type="dxa" w:w="1036"/>
            <w:vAlign w:val="top"/>
          </w:tcPr>
          <w:p>
            <w:pPr>
              <w:spacing w:after="40" w:before="0" w:line="259" w:lineRule="auto"/>
            </w:pPr>
            <w:r>
              <w:rPr>
                <w:rFonts w:ascii="Calibri" w:hAnsi="Calibri"/>
                <w:b w:val="0"/>
                <w:i w:val="0"/>
                <w:color w:val="212121"/>
                <w:sz w:val="16"/>
              </w:rPr>
              <w:t>Reflects hypovolaemia and pre-renal acute kidney injury from fluid loss</w:t>
            </w:r>
          </w:p>
        </w:tc>
        <w:tc>
          <w:tcPr>
            <w:tcW w:type="dxa" w:w="1036"/>
            <w:vAlign w:val="top"/>
          </w:tcPr>
          <w:p>
            <w:pPr>
              <w:spacing w:after="40" w:before="0" w:line="259" w:lineRule="auto"/>
            </w:pPr>
            <w:r>
              <w:rPr>
                <w:rFonts w:ascii="Calibri" w:hAnsi="Calibri"/>
                <w:b w:val="0"/>
                <w:i w:val="0"/>
                <w:color w:val="212121"/>
                <w:sz w:val="16"/>
              </w:rPr>
              <w:t>Severe dehydration, elderly, diabetics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Usually reverses with rehydration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WBC 4,000-11,000/uL; normal haematocrit</w:t>
            </w:r>
          </w:p>
        </w:tc>
        <w:tc>
          <w:tcPr>
            <w:tcW w:type="dxa" w:w="950"/>
            <w:vAlign w:val="top"/>
          </w:tcPr>
          <w:p>
            <w:pPr>
              <w:spacing w:after="40" w:before="0" w:line="259" w:lineRule="auto"/>
            </w:pPr>
            <w:r>
              <w:rPr>
                <w:rFonts w:ascii="Calibri" w:hAnsi="Calibri"/>
                <w:b w:val="0"/>
                <w:i w:val="0"/>
                <w:color w:val="212121"/>
                <w:sz w:val="16"/>
              </w:rPr>
              <w:t>Leukocytosis (bacterial); raised haematocrit (haemoconcentration); low platelets in HUS</w:t>
            </w:r>
          </w:p>
        </w:tc>
        <w:tc>
          <w:tcPr>
            <w:tcW w:type="dxa" w:w="1036"/>
            <w:vAlign w:val="top"/>
          </w:tcPr>
          <w:p>
            <w:pPr>
              <w:spacing w:after="40" w:before="0" w:line="259" w:lineRule="auto"/>
            </w:pPr>
            <w:r>
              <w:rPr>
                <w:rFonts w:ascii="Calibri" w:hAnsi="Calibri"/>
                <w:b w:val="0"/>
                <w:i w:val="0"/>
                <w:color w:val="212121"/>
                <w:sz w:val="16"/>
              </w:rPr>
              <w:t>Supports bacterial/invasive infection and quantifies haemoconcentration from dehydration</w:t>
            </w:r>
          </w:p>
        </w:tc>
        <w:tc>
          <w:tcPr>
            <w:tcW w:type="dxa" w:w="1036"/>
            <w:vAlign w:val="top"/>
          </w:tcPr>
          <w:p>
            <w:pPr>
              <w:spacing w:after="40" w:before="0" w:line="259" w:lineRule="auto"/>
            </w:pPr>
            <w:r>
              <w:rPr>
                <w:rFonts w:ascii="Calibri" w:hAnsi="Calibri"/>
                <w:b w:val="0"/>
                <w:i w:val="0"/>
                <w:color w:val="212121"/>
                <w:sz w:val="16"/>
              </w:rPr>
              <w:t>Bloody diarrhoea, sepsis, suspected HUS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Falling platelets and anaemia with AKI suggest haemolytic-uraemic syndrome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Venous blood gas / bicarbonate</w:t>
            </w:r>
          </w:p>
        </w:tc>
        <w:tc>
          <w:tcPr>
            <w:tcW w:type="dxa" w:w="892"/>
            <w:vAlign w:val="top"/>
          </w:tcPr>
          <w:p>
            <w:pPr>
              <w:spacing w:after="40" w:before="0" w:line="259" w:lineRule="auto"/>
            </w:pPr>
            <w:r>
              <w:rPr>
                <w:rFonts w:ascii="Calibri" w:hAnsi="Calibri"/>
                <w:b w:val="0"/>
                <w:i w:val="0"/>
                <w:color w:val="212121"/>
                <w:sz w:val="16"/>
              </w:rPr>
              <w:t>Acid-base assessment</w:t>
            </w:r>
          </w:p>
        </w:tc>
        <w:tc>
          <w:tcPr>
            <w:tcW w:type="dxa" w:w="950"/>
            <w:vAlign w:val="top"/>
          </w:tcPr>
          <w:p>
            <w:pPr>
              <w:spacing w:after="40" w:before="0" w:line="259" w:lineRule="auto"/>
            </w:pPr>
            <w:r>
              <w:rPr>
                <w:rFonts w:ascii="Calibri" w:hAnsi="Calibri"/>
                <w:b w:val="0"/>
                <w:i w:val="0"/>
                <w:color w:val="212121"/>
                <w:sz w:val="16"/>
              </w:rPr>
              <w:t>pH 7.35-7.45; HCO3 22-28 mmol/L</w:t>
            </w:r>
          </w:p>
        </w:tc>
        <w:tc>
          <w:tcPr>
            <w:tcW w:type="dxa" w:w="950"/>
            <w:vAlign w:val="top"/>
          </w:tcPr>
          <w:p>
            <w:pPr>
              <w:spacing w:after="40" w:before="0" w:line="259" w:lineRule="auto"/>
            </w:pPr>
            <w:r>
              <w:rPr>
                <w:rFonts w:ascii="Calibri" w:hAnsi="Calibri"/>
                <w:b w:val="0"/>
                <w:i w:val="0"/>
                <w:color w:val="212121"/>
                <w:sz w:val="16"/>
              </w:rPr>
              <w:t>Low pH and bicarbonate (high anion-gap metabolic acidosis)</w:t>
            </w:r>
          </w:p>
        </w:tc>
        <w:tc>
          <w:tcPr>
            <w:tcW w:type="dxa" w:w="1036"/>
            <w:vAlign w:val="top"/>
          </w:tcPr>
          <w:p>
            <w:pPr>
              <w:spacing w:after="40" w:before="0" w:line="259" w:lineRule="auto"/>
            </w:pPr>
            <w:r>
              <w:rPr>
                <w:rFonts w:ascii="Calibri" w:hAnsi="Calibri"/>
                <w:b w:val="0"/>
                <w:i w:val="0"/>
                <w:color w:val="212121"/>
                <w:sz w:val="16"/>
              </w:rPr>
              <w:t>Quantifies acidosis from bicarbonate loss and hypoperfusion in severe dehydration</w:t>
            </w:r>
          </w:p>
        </w:tc>
        <w:tc>
          <w:tcPr>
            <w:tcW w:type="dxa" w:w="1036"/>
            <w:vAlign w:val="top"/>
          </w:tcPr>
          <w:p>
            <w:pPr>
              <w:spacing w:after="40" w:before="0" w:line="259" w:lineRule="auto"/>
            </w:pPr>
            <w:r>
              <w:rPr>
                <w:rFonts w:ascii="Calibri" w:hAnsi="Calibri"/>
                <w:b w:val="0"/>
                <w:i w:val="0"/>
                <w:color w:val="212121"/>
                <w:sz w:val="16"/>
              </w:rPr>
              <w:t>Severe dehydration, shock, cholera</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 in severe cases</w:t>
            </w:r>
          </w:p>
        </w:tc>
        <w:tc>
          <w:tcPr>
            <w:tcW w:type="dxa" w:w="720"/>
            <w:vAlign w:val="top"/>
          </w:tcPr>
          <w:p>
            <w:pPr>
              <w:spacing w:after="40" w:before="0" w:line="259" w:lineRule="auto"/>
            </w:pPr>
            <w:r>
              <w:rPr>
                <w:rFonts w:ascii="Calibri" w:hAnsi="Calibri"/>
                <w:b w:val="0"/>
                <w:i w:val="0"/>
                <w:color w:val="212121"/>
                <w:sz w:val="16"/>
              </w:rPr>
              <w:t>Guides resuscitation and potassium replacement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Stool frequency, consistency, vomiting, duration</w:t>
            </w:r>
          </w:p>
        </w:tc>
        <w:tc>
          <w:tcPr>
            <w:tcW w:type="dxa" w:w="950"/>
            <w:vAlign w:val="top"/>
          </w:tcPr>
          <w:p>
            <w:pPr>
              <w:spacing w:after="40" w:before="0" w:line="259" w:lineRule="auto"/>
            </w:pPr>
            <w:r>
              <w:rPr>
                <w:rFonts w:ascii="Calibri" w:hAnsi="Calibri"/>
                <w:b w:val="0"/>
                <w:i w:val="0"/>
                <w:color w:val="212121"/>
                <w:sz w:val="16"/>
              </w:rPr>
              <w:t>Normal bowel habit</w:t>
            </w:r>
          </w:p>
        </w:tc>
        <w:tc>
          <w:tcPr>
            <w:tcW w:type="dxa" w:w="950"/>
            <w:vAlign w:val="top"/>
          </w:tcPr>
          <w:p>
            <w:pPr>
              <w:spacing w:after="40" w:before="0" w:line="259" w:lineRule="auto"/>
            </w:pPr>
            <w:r>
              <w:rPr>
                <w:rFonts w:ascii="Calibri" w:hAnsi="Calibri"/>
                <w:b w:val="0"/>
                <w:i w:val="0"/>
                <w:color w:val="212121"/>
                <w:sz w:val="16"/>
              </w:rPr>
              <w:t>3 or more loose stools/24 h with/without vomiting</w:t>
            </w:r>
          </w:p>
        </w:tc>
        <w:tc>
          <w:tcPr>
            <w:tcW w:type="dxa" w:w="1036"/>
            <w:vAlign w:val="top"/>
          </w:tcPr>
          <w:p>
            <w:pPr>
              <w:spacing w:after="40" w:before="0" w:line="259" w:lineRule="auto"/>
            </w:pPr>
            <w:r>
              <w:rPr>
                <w:rFonts w:ascii="Calibri" w:hAnsi="Calibri"/>
                <w:b w:val="0"/>
                <w:i w:val="0"/>
                <w:color w:val="212121"/>
                <w:sz w:val="16"/>
              </w:rPr>
              <w:t>Establishes diagnosis and severity of diarrhoea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stools and vomit episodes per day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Stool character</w:t>
            </w:r>
          </w:p>
        </w:tc>
        <w:tc>
          <w:tcPr>
            <w:tcW w:type="dxa" w:w="979"/>
            <w:vAlign w:val="top"/>
          </w:tcPr>
          <w:p>
            <w:pPr>
              <w:spacing w:after="40" w:before="0" w:line="259" w:lineRule="auto"/>
            </w:pPr>
            <w:r>
              <w:rPr>
                <w:rFonts w:ascii="Calibri" w:hAnsi="Calibri"/>
                <w:b w:val="0"/>
                <w:i w:val="0"/>
                <w:color w:val="212121"/>
                <w:sz w:val="16"/>
              </w:rPr>
              <w:t>Blood/mucus versus watery stool</w:t>
            </w:r>
          </w:p>
        </w:tc>
        <w:tc>
          <w:tcPr>
            <w:tcW w:type="dxa" w:w="950"/>
            <w:vAlign w:val="top"/>
          </w:tcPr>
          <w:p>
            <w:pPr>
              <w:spacing w:after="40" w:before="0" w:line="259" w:lineRule="auto"/>
            </w:pPr>
            <w:r>
              <w:rPr>
                <w:rFonts w:ascii="Calibri" w:hAnsi="Calibri"/>
                <w:b w:val="0"/>
                <w:i w:val="0"/>
                <w:color w:val="212121"/>
                <w:sz w:val="16"/>
              </w:rPr>
              <w:t>No blood or mucus</w:t>
            </w:r>
          </w:p>
        </w:tc>
        <w:tc>
          <w:tcPr>
            <w:tcW w:type="dxa" w:w="950"/>
            <w:vAlign w:val="top"/>
          </w:tcPr>
          <w:p>
            <w:pPr>
              <w:spacing w:after="40" w:before="0" w:line="259" w:lineRule="auto"/>
            </w:pPr>
            <w:r>
              <w:rPr>
                <w:rFonts w:ascii="Calibri" w:hAnsi="Calibri"/>
                <w:b w:val="0"/>
                <w:i w:val="0"/>
                <w:color w:val="212121"/>
                <w:sz w:val="16"/>
              </w:rPr>
              <w:t>Blood or mucus (dysentery) or large-volume watery stool</w:t>
            </w:r>
          </w:p>
        </w:tc>
        <w:tc>
          <w:tcPr>
            <w:tcW w:type="dxa" w:w="1036"/>
            <w:vAlign w:val="top"/>
          </w:tcPr>
          <w:p>
            <w:pPr>
              <w:spacing w:after="40" w:before="0" w:line="259" w:lineRule="auto"/>
            </w:pPr>
            <w:r>
              <w:rPr>
                <w:rFonts w:ascii="Calibri" w:hAnsi="Calibri"/>
                <w:b w:val="0"/>
                <w:i w:val="0"/>
                <w:color w:val="212121"/>
                <w:sz w:val="16"/>
              </w:rPr>
              <w:t>Differentiates invasive (dysenteric) from secretory watery diarrhoea and guides workup/antibiotics</w:t>
            </w:r>
          </w:p>
        </w:tc>
        <w:tc>
          <w:tcPr>
            <w:tcW w:type="dxa" w:w="1036"/>
            <w:vAlign w:val="top"/>
          </w:tcPr>
          <w:p>
            <w:pPr>
              <w:spacing w:after="40" w:before="0" w:line="259" w:lineRule="auto"/>
            </w:pPr>
            <w:r>
              <w:rPr>
                <w:rFonts w:ascii="Calibri" w:hAnsi="Calibri"/>
                <w:b w:val="0"/>
                <w:i w:val="0"/>
                <w:color w:val="212121"/>
                <w:sz w:val="16"/>
              </w:rPr>
              <w:t>Dysentery, cholera-endemic areas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Rice-water stool suggests cholera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Food, water, travel, sick contacts, monsoon</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Street food, untreated water, travel or contact with a case</w:t>
            </w:r>
          </w:p>
        </w:tc>
        <w:tc>
          <w:tcPr>
            <w:tcW w:type="dxa" w:w="1036"/>
            <w:vAlign w:val="top"/>
          </w:tcPr>
          <w:p>
            <w:pPr>
              <w:spacing w:after="40" w:before="0" w:line="259" w:lineRule="auto"/>
            </w:pPr>
            <w:r>
              <w:rPr>
                <w:rFonts w:ascii="Calibri" w:hAnsi="Calibri"/>
                <w:b w:val="0"/>
                <w:i w:val="0"/>
                <w:color w:val="212121"/>
                <w:sz w:val="16"/>
              </w:rPr>
              <w:t>Identifies source and likely pathogen; supports outbreak recognition</w:t>
            </w:r>
          </w:p>
        </w:tc>
        <w:tc>
          <w:tcPr>
            <w:tcW w:type="dxa" w:w="1036"/>
            <w:vAlign w:val="top"/>
          </w:tcPr>
          <w:p>
            <w:pPr>
              <w:spacing w:after="40" w:before="0" w:line="259" w:lineRule="auto"/>
            </w:pPr>
            <w:r>
              <w:rPr>
                <w:rFonts w:ascii="Calibri" w:hAnsi="Calibri"/>
                <w:b w:val="0"/>
                <w:i w:val="0"/>
                <w:color w:val="212121"/>
                <w:sz w:val="16"/>
              </w:rPr>
              <w:t>Travellers, food handlers, outbreak clusters</w:t>
            </w:r>
          </w:p>
        </w:tc>
        <w:tc>
          <w:tcPr>
            <w:tcW w:type="dxa" w:w="720"/>
            <w:vAlign w:val="top"/>
          </w:tcPr>
          <w:p>
            <w:pPr>
              <w:spacing w:after="40" w:before="0" w:line="259" w:lineRule="auto"/>
            </w:pPr>
            <w:r>
              <w:rPr>
                <w:rFonts w:ascii="Calibri" w:hAnsi="Calibri"/>
                <w:b w:val="0"/>
                <w:i w:val="0"/>
                <w:color w:val="212121"/>
                <w:sz w:val="16"/>
              </w:rPr>
              <w:t>Food; Water; 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Ask about shared meals and common water source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Host/risk factors</w:t>
            </w:r>
          </w:p>
        </w:tc>
        <w:tc>
          <w:tcPr>
            <w:tcW w:type="dxa" w:w="979"/>
            <w:vAlign w:val="top"/>
          </w:tcPr>
          <w:p>
            <w:pPr>
              <w:spacing w:after="40" w:before="0" w:line="259" w:lineRule="auto"/>
            </w:pPr>
            <w:r>
              <w:rPr>
                <w:rFonts w:ascii="Calibri" w:hAnsi="Calibri"/>
                <w:b w:val="0"/>
                <w:i w:val="0"/>
                <w:color w:val="212121"/>
                <w:sz w:val="16"/>
              </w:rPr>
              <w:t>Recent antibiotics/PPI, immunosuppression, comorbidity, age extremes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Antibiotic/PPI use, HIV, diabetes, infancy or old age</w:t>
            </w:r>
          </w:p>
        </w:tc>
        <w:tc>
          <w:tcPr>
            <w:tcW w:type="dxa" w:w="1036"/>
            <w:vAlign w:val="top"/>
          </w:tcPr>
          <w:p>
            <w:pPr>
              <w:spacing w:after="40" w:before="0" w:line="259" w:lineRule="auto"/>
            </w:pPr>
            <w:r>
              <w:rPr>
                <w:rFonts w:ascii="Calibri" w:hAnsi="Calibri"/>
                <w:b w:val="0"/>
                <w:i w:val="0"/>
                <w:color w:val="212121"/>
                <w:sz w:val="16"/>
              </w:rPr>
              <w:t>Flags patients at risk of severe, persistent or C. difficile disease</w:t>
            </w:r>
          </w:p>
        </w:tc>
        <w:tc>
          <w:tcPr>
            <w:tcW w:type="dxa" w:w="1036"/>
            <w:vAlign w:val="top"/>
          </w:tcPr>
          <w:p>
            <w:pPr>
              <w:spacing w:after="40" w:before="0" w:line="259" w:lineRule="auto"/>
            </w:pPr>
            <w:r>
              <w:rPr>
                <w:rFonts w:ascii="Calibri" w:hAnsi="Calibri"/>
                <w:b w:val="0"/>
                <w:i w:val="0"/>
                <w:color w:val="212121"/>
                <w:sz w:val="16"/>
              </w:rPr>
              <w:t>Elderly, immunocompromised, PPI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need for stool C. difficile toxin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Hydration assessment</w:t>
            </w:r>
          </w:p>
        </w:tc>
        <w:tc>
          <w:tcPr>
            <w:tcW w:type="dxa" w:w="979"/>
            <w:vAlign w:val="top"/>
          </w:tcPr>
          <w:p>
            <w:pPr>
              <w:spacing w:after="40" w:before="0" w:line="259" w:lineRule="auto"/>
            </w:pPr>
            <w:r>
              <w:rPr>
                <w:rFonts w:ascii="Calibri" w:hAnsi="Calibri"/>
                <w:b w:val="0"/>
                <w:i w:val="0"/>
                <w:color w:val="212121"/>
                <w:sz w:val="16"/>
              </w:rPr>
              <w:t>General condition, eyes, thirst, skin pinch (turgor)</w:t>
            </w:r>
          </w:p>
        </w:tc>
        <w:tc>
          <w:tcPr>
            <w:tcW w:type="dxa" w:w="950"/>
            <w:vAlign w:val="top"/>
          </w:tcPr>
          <w:p>
            <w:pPr>
              <w:spacing w:after="40" w:before="0" w:line="259" w:lineRule="auto"/>
            </w:pPr>
            <w:r>
              <w:rPr>
                <w:rFonts w:ascii="Calibri" w:hAnsi="Calibri"/>
                <w:b w:val="0"/>
                <w:i w:val="0"/>
                <w:color w:val="212121"/>
                <w:sz w:val="16"/>
              </w:rPr>
              <w:t>Alert, moist mucosae, normal skin pinch</w:t>
            </w:r>
          </w:p>
        </w:tc>
        <w:tc>
          <w:tcPr>
            <w:tcW w:type="dxa" w:w="950"/>
            <w:vAlign w:val="top"/>
          </w:tcPr>
          <w:p>
            <w:pPr>
              <w:spacing w:after="40" w:before="0" w:line="259" w:lineRule="auto"/>
            </w:pPr>
            <w:r>
              <w:rPr>
                <w:rFonts w:ascii="Calibri" w:hAnsi="Calibri"/>
                <w:b w:val="0"/>
                <w:i w:val="0"/>
                <w:color w:val="212121"/>
                <w:sz w:val="16"/>
              </w:rPr>
              <w:t>Restless/lethargic, sunken eyes, thirsty or unable to drink, slow skin pinch</w:t>
            </w:r>
          </w:p>
        </w:tc>
        <w:tc>
          <w:tcPr>
            <w:tcW w:type="dxa" w:w="1036"/>
            <w:vAlign w:val="top"/>
          </w:tcPr>
          <w:p>
            <w:pPr>
              <w:spacing w:after="40" w:before="0" w:line="259" w:lineRule="auto"/>
            </w:pPr>
            <w:r>
              <w:rPr>
                <w:rFonts w:ascii="Calibri" w:hAnsi="Calibri"/>
                <w:b w:val="0"/>
                <w:i w:val="0"/>
                <w:color w:val="212121"/>
                <w:sz w:val="16"/>
              </w:rPr>
              <w:t>Grades dehydration (WHO/IMNCI) into Plan A/B/C</w:t>
            </w:r>
          </w:p>
        </w:tc>
        <w:tc>
          <w:tcPr>
            <w:tcW w:type="dxa" w:w="1036"/>
            <w:vAlign w:val="top"/>
          </w:tcPr>
          <w:p>
            <w:pPr>
              <w:spacing w:after="40" w:before="0" w:line="259" w:lineRule="auto"/>
            </w:pPr>
            <w:r>
              <w:rPr>
                <w:rFonts w:ascii="Calibri" w:hAnsi="Calibri"/>
                <w:b w:val="0"/>
                <w:i w:val="0"/>
                <w:color w:val="212121"/>
                <w:sz w:val="16"/>
              </w:rPr>
              <w:t>All, especially under-5 and elderly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Determines oral versus intravenous rehydration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w:t>
            </w:r>
          </w:p>
        </w:tc>
        <w:tc>
          <w:tcPr>
            <w:tcW w:type="dxa" w:w="979"/>
            <w:vAlign w:val="top"/>
          </w:tcPr>
          <w:p>
            <w:pPr>
              <w:spacing w:after="40" w:before="0" w:line="259" w:lineRule="auto"/>
            </w:pPr>
            <w:r>
              <w:rPr>
                <w:rFonts w:ascii="Calibri" w:hAnsi="Calibri"/>
                <w:b w:val="0"/>
                <w:i w:val="0"/>
                <w:color w:val="212121"/>
                <w:sz w:val="16"/>
              </w:rPr>
              <w:t>Heart rate, blood pressure, postural drop, temperature</w:t>
            </w:r>
          </w:p>
        </w:tc>
        <w:tc>
          <w:tcPr>
            <w:tcW w:type="dxa" w:w="950"/>
            <w:vAlign w:val="top"/>
          </w:tcPr>
          <w:p>
            <w:pPr>
              <w:spacing w:after="40" w:before="0" w:line="259" w:lineRule="auto"/>
            </w:pPr>
            <w:r>
              <w:rPr>
                <w:rFonts w:ascii="Calibri" w:hAnsi="Calibri"/>
                <w:b w:val="0"/>
                <w:i w:val="0"/>
                <w:color w:val="212121"/>
                <w:sz w:val="16"/>
              </w:rPr>
              <w:t>Age-appropriate HR/BP; no postural drop; temp under 37.5 C</w:t>
            </w:r>
          </w:p>
        </w:tc>
        <w:tc>
          <w:tcPr>
            <w:tcW w:type="dxa" w:w="950"/>
            <w:vAlign w:val="top"/>
          </w:tcPr>
          <w:p>
            <w:pPr>
              <w:spacing w:after="40" w:before="0" w:line="259" w:lineRule="auto"/>
            </w:pPr>
            <w:r>
              <w:rPr>
                <w:rFonts w:ascii="Calibri" w:hAnsi="Calibri"/>
                <w:b w:val="0"/>
                <w:i w:val="0"/>
                <w:color w:val="212121"/>
                <w:sz w:val="16"/>
              </w:rPr>
              <w:t>Tachycardia, hypotension, postural drop, fever</w:t>
            </w:r>
          </w:p>
        </w:tc>
        <w:tc>
          <w:tcPr>
            <w:tcW w:type="dxa" w:w="1036"/>
            <w:vAlign w:val="top"/>
          </w:tcPr>
          <w:p>
            <w:pPr>
              <w:spacing w:after="40" w:before="0" w:line="259" w:lineRule="auto"/>
            </w:pPr>
            <w:r>
              <w:rPr>
                <w:rFonts w:ascii="Calibri" w:hAnsi="Calibri"/>
                <w:b w:val="0"/>
                <w:i w:val="0"/>
                <w:color w:val="212121"/>
                <w:sz w:val="16"/>
              </w:rPr>
              <w:t>Detects hypovolaemia/shock and febrile invasive infection</w:t>
            </w:r>
          </w:p>
        </w:tc>
        <w:tc>
          <w:tcPr>
            <w:tcW w:type="dxa" w:w="1036"/>
            <w:vAlign w:val="top"/>
          </w:tcPr>
          <w:p>
            <w:pPr>
              <w:spacing w:after="40" w:before="0" w:line="259" w:lineRule="auto"/>
            </w:pPr>
            <w:r>
              <w:rPr>
                <w:rFonts w:ascii="Calibri" w:hAnsi="Calibri"/>
                <w:b w:val="0"/>
                <w:i w:val="0"/>
                <w:color w:val="212121"/>
                <w:sz w:val="16"/>
              </w:rPr>
              <w:t>Severe dehydration, sepsis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Postural drop is an early sign of volume depletion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Tenderness, distension, bowel sounds</w:t>
            </w:r>
          </w:p>
        </w:tc>
        <w:tc>
          <w:tcPr>
            <w:tcW w:type="dxa" w:w="950"/>
            <w:vAlign w:val="top"/>
          </w:tcPr>
          <w:p>
            <w:pPr>
              <w:spacing w:after="40" w:before="0" w:line="259" w:lineRule="auto"/>
            </w:pPr>
            <w:r>
              <w:rPr>
                <w:rFonts w:ascii="Calibri" w:hAnsi="Calibri"/>
                <w:b w:val="0"/>
                <w:i w:val="0"/>
                <w:color w:val="212121"/>
                <w:sz w:val="16"/>
              </w:rPr>
              <w:t>Soft, non-tender, normal sounds</w:t>
            </w:r>
          </w:p>
        </w:tc>
        <w:tc>
          <w:tcPr>
            <w:tcW w:type="dxa" w:w="950"/>
            <w:vAlign w:val="top"/>
          </w:tcPr>
          <w:p>
            <w:pPr>
              <w:spacing w:after="40" w:before="0" w:line="259" w:lineRule="auto"/>
            </w:pPr>
            <w:r>
              <w:rPr>
                <w:rFonts w:ascii="Calibri" w:hAnsi="Calibri"/>
                <w:b w:val="0"/>
                <w:i w:val="0"/>
                <w:color w:val="212121"/>
                <w:sz w:val="16"/>
              </w:rPr>
              <w:t>Diffuse mild tenderness, hyperactive sounds; guarding/distension if complicated</w:t>
            </w:r>
          </w:p>
        </w:tc>
        <w:tc>
          <w:tcPr>
            <w:tcW w:type="dxa" w:w="1036"/>
            <w:vAlign w:val="top"/>
          </w:tcPr>
          <w:p>
            <w:pPr>
              <w:spacing w:after="40" w:before="0" w:line="259" w:lineRule="auto"/>
            </w:pPr>
            <w:r>
              <w:rPr>
                <w:rFonts w:ascii="Calibri" w:hAnsi="Calibri"/>
                <w:b w:val="0"/>
                <w:i w:val="0"/>
                <w:color w:val="212121"/>
                <w:sz w:val="16"/>
              </w:rPr>
              <w:t>Confirms gastroenteritis and excludes surgical abdomen/toxic megacolon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Marked focal tenderness/rigidity needs surgical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Weight and anthropometry</w:t>
            </w:r>
          </w:p>
        </w:tc>
        <w:tc>
          <w:tcPr>
            <w:tcW w:type="dxa" w:w="979"/>
            <w:vAlign w:val="top"/>
          </w:tcPr>
          <w:p>
            <w:pPr>
              <w:spacing w:after="40" w:before="0" w:line="259" w:lineRule="auto"/>
            </w:pPr>
            <w:r>
              <w:rPr>
                <w:rFonts w:ascii="Calibri" w:hAnsi="Calibri"/>
                <w:b w:val="0"/>
                <w:i w:val="0"/>
                <w:color w:val="212121"/>
                <w:sz w:val="16"/>
              </w:rPr>
              <w:t>Body weight, MUAC, weight-for-age (children)</w:t>
            </w:r>
          </w:p>
        </w:tc>
        <w:tc>
          <w:tcPr>
            <w:tcW w:type="dxa" w:w="950"/>
            <w:vAlign w:val="top"/>
          </w:tcPr>
          <w:p>
            <w:pPr>
              <w:spacing w:after="40" w:before="0" w:line="259" w:lineRule="auto"/>
            </w:pPr>
            <w:r>
              <w:rPr>
                <w:rFonts w:ascii="Calibri" w:hAnsi="Calibri"/>
                <w:b w:val="0"/>
                <w:i w:val="0"/>
                <w:color w:val="212121"/>
                <w:sz w:val="16"/>
              </w:rPr>
              <w:t>Stable weight; MUAC normal for age</w:t>
            </w:r>
          </w:p>
        </w:tc>
        <w:tc>
          <w:tcPr>
            <w:tcW w:type="dxa" w:w="950"/>
            <w:vAlign w:val="top"/>
          </w:tcPr>
          <w:p>
            <w:pPr>
              <w:spacing w:after="40" w:before="0" w:line="259" w:lineRule="auto"/>
            </w:pPr>
            <w:r>
              <w:rPr>
                <w:rFonts w:ascii="Calibri" w:hAnsi="Calibri"/>
                <w:b w:val="0"/>
                <w:i w:val="0"/>
                <w:color w:val="212121"/>
                <w:sz w:val="16"/>
              </w:rPr>
              <w:t>Acute weight loss; MUAC in wasting range</w:t>
            </w:r>
          </w:p>
        </w:tc>
        <w:tc>
          <w:tcPr>
            <w:tcW w:type="dxa" w:w="1036"/>
            <w:vAlign w:val="top"/>
          </w:tcPr>
          <w:p>
            <w:pPr>
              <w:spacing w:after="40" w:before="0" w:line="259" w:lineRule="auto"/>
            </w:pPr>
            <w:r>
              <w:rPr>
                <w:rFonts w:ascii="Calibri" w:hAnsi="Calibri"/>
                <w:b w:val="0"/>
                <w:i w:val="0"/>
                <w:color w:val="212121"/>
                <w:sz w:val="16"/>
              </w:rPr>
              <w:t>Quantifies fluid deficit and identifies underlying malnutrition that worsens outcome</w:t>
            </w:r>
          </w:p>
        </w:tc>
        <w:tc>
          <w:tcPr>
            <w:tcW w:type="dxa" w:w="1036"/>
            <w:vAlign w:val="top"/>
          </w:tcPr>
          <w:p>
            <w:pPr>
              <w:spacing w:after="40" w:before="0" w:line="259" w:lineRule="auto"/>
            </w:pPr>
            <w:r>
              <w:rPr>
                <w:rFonts w:ascii="Calibri" w:hAnsi="Calibri"/>
                <w:b w:val="0"/>
                <w:i w:val="0"/>
                <w:color w:val="212121"/>
                <w:sz w:val="16"/>
              </w:rPr>
              <w:t>Infants, under-5, undernourished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Serial weights track rehydration progress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Frequent loose or watery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Three or more loose/watery stools in 24 hours - the defining feature of diarrhoea.</w:t>
            </w:r>
          </w:p>
        </w:tc>
      </w:tr>
      <w:tr>
        <w:trPr>
          <w:cantSplit/>
        </w:trPr>
        <w:tc>
          <w:tcPr>
            <w:tcW w:type="dxa" w:w="2304"/>
            <w:vAlign w:val="top"/>
          </w:tcPr>
          <w:p>
            <w:pPr>
              <w:spacing w:after="40" w:before="0" w:line="259" w:lineRule="auto"/>
            </w:pPr>
            <w:r>
              <w:rPr>
                <w:rFonts w:ascii="Calibri" w:hAnsi="Calibri"/>
                <w:b/>
                <w:i w:val="0"/>
                <w:color w:val="212121"/>
                <w:sz w:val="19"/>
              </w:rPr>
              <w:t>Abdominal cramps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Colicky peri-umbilical or lower-abdominal pain from increased bowel activity.</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precedes or accompanies vomiting, especially in viral gastroenteritis.</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viral (rotavirus, norovirus) disease; adds to fluid loss.</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inflammatory/infective response; usually mild in viral cause.</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during the acute phase; feeding should still be continued.</w:t>
            </w:r>
          </w:p>
        </w:tc>
      </w:tr>
      <w:tr>
        <w:trPr>
          <w:cantSplit/>
        </w:trPr>
        <w:tc>
          <w:tcPr>
            <w:tcW w:type="dxa" w:w="2304"/>
            <w:vAlign w:val="top"/>
          </w:tcPr>
          <w:p>
            <w:pPr>
              <w:spacing w:after="40" w:before="0" w:line="259" w:lineRule="auto"/>
            </w:pPr>
            <w:r>
              <w:rPr>
                <w:rFonts w:ascii="Calibri" w:hAnsi="Calibri"/>
                <w:b/>
                <w:i w:val="0"/>
                <w:color w:val="212121"/>
                <w:sz w:val="19"/>
              </w:rPr>
              <w:t>Increased thirst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 early symptom of fluid loss and developing dehydration.</w:t>
            </w:r>
          </w:p>
        </w:tc>
      </w:tr>
      <w:tr>
        <w:trPr>
          <w:cantSplit/>
        </w:trPr>
        <w:tc>
          <w:tcPr>
            <w:tcW w:type="dxa" w:w="2304"/>
            <w:vAlign w:val="top"/>
          </w:tcPr>
          <w:p>
            <w:pPr>
              <w:spacing w:after="40" w:before="0" w:line="259" w:lineRule="auto"/>
            </w:pPr>
            <w:r>
              <w:rPr>
                <w:rFonts w:ascii="Calibri" w:hAnsi="Calibri"/>
                <w:b/>
                <w:i w:val="0"/>
                <w:color w:val="212121"/>
                <w:sz w:val="19"/>
              </w:rPr>
              <w:t>Weakness, 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fluid/electrolyte loss and reduced intake.</w:t>
            </w:r>
          </w:p>
        </w:tc>
      </w:tr>
      <w:tr>
        <w:trPr>
          <w:cantSplit/>
        </w:trPr>
        <w:tc>
          <w:tcPr>
            <w:tcW w:type="dxa" w:w="2304"/>
            <w:vAlign w:val="top"/>
          </w:tcPr>
          <w:p>
            <w:pPr>
              <w:spacing w:after="40" w:before="0" w:line="259" w:lineRule="auto"/>
            </w:pPr>
            <w:r>
              <w:rPr>
                <w:rFonts w:ascii="Calibri" w:hAnsi="Calibri"/>
                <w:b/>
                <w:i w:val="0"/>
                <w:color w:val="212121"/>
                <w:sz w:val="19"/>
              </w:rPr>
              <w:t>Abdominal bloating and borborygmi</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Gaseous distension and audible gurgling from hypermotility.</w:t>
            </w:r>
          </w:p>
        </w:tc>
      </w:tr>
      <w:tr>
        <w:trPr>
          <w:cantSplit/>
        </w:trPr>
        <w:tc>
          <w:tcPr>
            <w:tcW w:type="dxa" w:w="2304"/>
            <w:vAlign w:val="top"/>
          </w:tcPr>
          <w:p>
            <w:pPr>
              <w:spacing w:after="40" w:before="0" w:line="259" w:lineRule="auto"/>
            </w:pPr>
            <w:r>
              <w:rPr>
                <w:rFonts w:ascii="Calibri" w:hAnsi="Calibri"/>
                <w:b/>
                <w:i w:val="0"/>
                <w:color w:val="212121"/>
                <w:sz w:val="19"/>
              </w:rPr>
              <w:t>Faecal urgency / tenesmus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Sense of urgency or incomplete evacuation, marked in colitis/dysentery.</w:t>
            </w:r>
          </w:p>
        </w:tc>
      </w:tr>
      <w:tr>
        <w:trPr>
          <w:cantSplit/>
        </w:trPr>
        <w:tc>
          <w:tcPr>
            <w:tcW w:type="dxa" w:w="2304"/>
            <w:vAlign w:val="top"/>
          </w:tcPr>
          <w:p>
            <w:pPr>
              <w:spacing w:after="40" w:before="0" w:line="259" w:lineRule="auto"/>
            </w:pPr>
            <w:r>
              <w:rPr>
                <w:rFonts w:ascii="Calibri" w:hAnsi="Calibri"/>
                <w:b/>
                <w:i w:val="0"/>
                <w:color w:val="212121"/>
                <w:sz w:val="19"/>
              </w:rPr>
              <w:t>Blood or mucus in stool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invasive (dysenteric) cause - Shigella, Campylobacter, Entamoeba, EHEC.</w:t>
            </w:r>
          </w:p>
        </w:tc>
      </w:tr>
      <w:tr>
        <w:trPr>
          <w:cantSplit/>
        </w:trPr>
        <w:tc>
          <w:tcPr>
            <w:tcW w:type="dxa" w:w="2304"/>
            <w:vAlign w:val="top"/>
          </w:tcPr>
          <w:p>
            <w:pPr>
              <w:spacing w:after="40" w:before="0" w:line="259" w:lineRule="auto"/>
            </w:pPr>
            <w:r>
              <w:rPr>
                <w:rFonts w:ascii="Calibri" w:hAnsi="Calibri"/>
                <w:b/>
                <w:i w:val="0"/>
                <w:color w:val="212121"/>
                <w:sz w:val="19"/>
              </w:rPr>
              <w:t>High-grade fever with chills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invasive bacterial infection or bacteraemia.</w:t>
            </w:r>
          </w:p>
        </w:tc>
      </w:tr>
      <w:tr>
        <w:trPr>
          <w:cantSplit/>
        </w:trPr>
        <w:tc>
          <w:tcPr>
            <w:tcW w:type="dxa" w:w="2304"/>
            <w:vAlign w:val="top"/>
          </w:tcPr>
          <w:p>
            <w:pPr>
              <w:spacing w:after="40" w:before="0" w:line="259" w:lineRule="auto"/>
            </w:pPr>
            <w:r>
              <w:rPr>
                <w:rFonts w:ascii="Calibri" w:hAnsi="Calibri"/>
                <w:b/>
                <w:i w:val="0"/>
                <w:color w:val="212121"/>
                <w:sz w:val="19"/>
              </w:rPr>
              <w:t>Reduced or dark urine /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moderate-to-severe dehydration and volume depletion.</w:t>
            </w:r>
          </w:p>
        </w:tc>
      </w:tr>
      <w:tr>
        <w:trPr>
          <w:cantSplit/>
        </w:trPr>
        <w:tc>
          <w:tcPr>
            <w:tcW w:type="dxa" w:w="2304"/>
            <w:vAlign w:val="top"/>
          </w:tcPr>
          <w:p>
            <w:pPr>
              <w:spacing w:after="40" w:before="0" w:line="259" w:lineRule="auto"/>
            </w:pPr>
            <w:r>
              <w:rPr>
                <w:rFonts w:ascii="Calibri" w:hAnsi="Calibri"/>
                <w:b/>
                <w:i w:val="0"/>
                <w:color w:val="212121"/>
                <w:sz w:val="19"/>
              </w:rPr>
              <w:t>Altered consciousness / marked lethargy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red-flag sign of severe dehydration, shock or electrolyte disturbance requiring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Sunken eyes and dry mucous membranes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signs of moderate-to-severe dehydration.</w:t>
            </w:r>
          </w:p>
        </w:tc>
      </w:tr>
      <w:tr>
        <w:trPr>
          <w:cantSplit/>
        </w:trPr>
        <w:tc>
          <w:tcPr>
            <w:tcW w:type="dxa" w:w="3456"/>
            <w:vAlign w:val="top"/>
          </w:tcPr>
          <w:p>
            <w:pPr>
              <w:spacing w:after="40" w:before="0" w:line="259" w:lineRule="auto"/>
            </w:pPr>
            <w:r>
              <w:rPr>
                <w:rFonts w:ascii="Calibri" w:hAnsi="Calibri"/>
                <w:b/>
                <w:i w:val="0"/>
                <w:color w:val="212121"/>
                <w:sz w:val="19"/>
              </w:rPr>
              <w:t>Reduced skin turgor (slow skin pinch)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Skin pinch returns slowly - a WHO/IMNCI dehydration sign.</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rise in heart rate due to hypovolaemia.</w:t>
            </w:r>
          </w:p>
        </w:tc>
      </w:tr>
      <w:tr>
        <w:trPr>
          <w:cantSplit/>
        </w:trPr>
        <w:tc>
          <w:tcPr>
            <w:tcW w:type="dxa" w:w="3456"/>
            <w:vAlign w:val="top"/>
          </w:tcPr>
          <w:p>
            <w:pPr>
              <w:spacing w:after="40" w:before="0" w:line="259" w:lineRule="auto"/>
            </w:pPr>
            <w:r>
              <w:rPr>
                <w:rFonts w:ascii="Calibri" w:hAnsi="Calibri"/>
                <w:b/>
                <w:i w:val="0"/>
                <w:color w:val="212121"/>
                <w:sz w:val="19"/>
              </w:rPr>
              <w:t>Sunken anterior fontanelle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specific sign of dehydration in infants.</w:t>
            </w:r>
          </w:p>
        </w:tc>
      </w:tr>
      <w:tr>
        <w:trPr>
          <w:cantSplit/>
        </w:trPr>
        <w:tc>
          <w:tcPr>
            <w:tcW w:type="dxa" w:w="3456"/>
            <w:vAlign w:val="top"/>
          </w:tcPr>
          <w:p>
            <w:pPr>
              <w:spacing w:after="40" w:before="0" w:line="259" w:lineRule="auto"/>
            </w:pPr>
            <w:r>
              <w:rPr>
                <w:rFonts w:ascii="Calibri" w:hAnsi="Calibri"/>
                <w:b/>
                <w:i w:val="0"/>
                <w:color w:val="212121"/>
                <w:sz w:val="19"/>
              </w:rPr>
              <w:t>Hyperactive bowel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peristalsis audible on auscultation.</w:t>
            </w:r>
          </w:p>
        </w:tc>
      </w:tr>
      <w:tr>
        <w:trPr>
          <w:cantSplit/>
        </w:trPr>
        <w:tc>
          <w:tcPr>
            <w:tcW w:type="dxa" w:w="3456"/>
            <w:vAlign w:val="top"/>
          </w:tcPr>
          <w:p>
            <w:pPr>
              <w:spacing w:after="40" w:before="0" w:line="259" w:lineRule="auto"/>
            </w:pPr>
            <w:r>
              <w:rPr>
                <w:rFonts w:ascii="Calibri" w:hAnsi="Calibri"/>
                <w:b/>
                <w:i w:val="0"/>
                <w:color w:val="212121"/>
                <w:sz w:val="19"/>
              </w:rPr>
              <w:t>Mild diffuse abdominal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Generalised, non-localising tenderness without guarding.</w:t>
            </w:r>
          </w:p>
        </w:tc>
      </w:tr>
      <w:tr>
        <w:trPr>
          <w:cantSplit/>
        </w:trPr>
        <w:tc>
          <w:tcPr>
            <w:tcW w:type="dxa" w:w="3456"/>
            <w:vAlign w:val="top"/>
          </w:tcPr>
          <w:p>
            <w:pPr>
              <w:spacing w:after="40" w:before="0" w:line="259" w:lineRule="auto"/>
            </w:pPr>
            <w:r>
              <w:rPr>
                <w:rFonts w:ascii="Calibri" w:hAnsi="Calibri"/>
                <w:b/>
                <w:i w:val="0"/>
                <w:color w:val="212121"/>
                <w:sz w:val="19"/>
              </w:rPr>
              <w:t>Documented fever (38 C or more)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fever, more marked in invasive bacterial disease.</w:t>
            </w:r>
          </w:p>
        </w:tc>
      </w:tr>
      <w:tr>
        <w:trPr>
          <w:cantSplit/>
        </w:trPr>
        <w:tc>
          <w:tcPr>
            <w:tcW w:type="dxa" w:w="3456"/>
            <w:vAlign w:val="top"/>
          </w:tcPr>
          <w:p>
            <w:pPr>
              <w:spacing w:after="40" w:before="0" w:line="259" w:lineRule="auto"/>
            </w:pPr>
            <w:r>
              <w:rPr>
                <w:rFonts w:ascii="Calibri" w:hAnsi="Calibri"/>
                <w:b/>
                <w:i w:val="0"/>
                <w:color w:val="212121"/>
                <w:sz w:val="19"/>
              </w:rPr>
              <w:t>Postural or frank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Drop in blood pressure indicating significant volume depletion.</w:t>
            </w:r>
          </w:p>
        </w:tc>
      </w:tr>
      <w:tr>
        <w:trPr>
          <w:cantSplit/>
        </w:trPr>
        <w:tc>
          <w:tcPr>
            <w:tcW w:type="dxa" w:w="3456"/>
            <w:vAlign w:val="top"/>
          </w:tcPr>
          <w:p>
            <w:pPr>
              <w:spacing w:after="40" w:before="0" w:line="259" w:lineRule="auto"/>
            </w:pPr>
            <w:r>
              <w:rPr>
                <w:rFonts w:ascii="Calibri" w:hAnsi="Calibri"/>
                <w:b/>
                <w:i w:val="0"/>
                <w:color w:val="212121"/>
                <w:sz w:val="19"/>
              </w:rPr>
              <w:t>Prolonged capillary refill and cool peripheries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Capillary refill over 3 seconds signals poor perfusion in severe dehydration.</w:t>
            </w:r>
          </w:p>
        </w:tc>
      </w:tr>
      <w:tr>
        <w:trPr>
          <w:cantSplit/>
        </w:trPr>
        <w:tc>
          <w:tcPr>
            <w:tcW w:type="dxa" w:w="3456"/>
            <w:vAlign w:val="top"/>
          </w:tcPr>
          <w:p>
            <w:pPr>
              <w:spacing w:after="40" w:before="0" w:line="259" w:lineRule="auto"/>
            </w:pPr>
            <w:r>
              <w:rPr>
                <w:rFonts w:ascii="Calibri" w:hAnsi="Calibri"/>
                <w:b/>
                <w:i w:val="0"/>
                <w:color w:val="212121"/>
                <w:sz w:val="19"/>
              </w:rPr>
              <w:t>Weak/absent pulses with altered sensorium (hypovolaemic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Decompensated severe dehydration - a medical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(some to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Electrolyte imbalance - hyponatraemia or hypernatraemia, hypokalaemia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acidosis (bicarbonate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Hypovolaemic shock</w:t>
            </w:r>
          </w:p>
        </w:tc>
        <w:tc>
          <w:tcPr>
            <w:tcW w:type="dxa" w:w="2980"/>
            <w:vAlign w:val="top"/>
          </w:tcPr>
          <w:p>
            <w:pPr>
              <w:spacing w:after="40" w:before="0" w:line="259" w:lineRule="auto"/>
            </w:pPr>
            <w:r>
              <w:rPr>
                <w:rFonts w:ascii="Calibri" w:hAnsi="Calibri"/>
                <w:b w:val="0"/>
                <w:i w:val="0"/>
                <w:color w:val="212121"/>
                <w:sz w:val="19"/>
              </w:rPr>
              <w:t>Direct consequences of loss of water, electrolytes and base through stool and vomit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(pre-renal)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or hyponatraemic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lactose intolerance and persistent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weight loss and worsening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Haemolytic-uraemic syndrome (Shiga-toxin E. coli, Shigella)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arthritis or Guillain-Barre syndrome (post-Campylobacter)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 megacolon (severe C. difficile / invasive colitis)</w:t>
            </w:r>
          </w:p>
        </w:tc>
        <w:tc>
          <w:tcPr>
            <w:tcW w:type="dxa" w:w="2980"/>
            <w:vAlign w:val="top"/>
          </w:tcPr>
          <w:p>
            <w:pPr>
              <w:spacing w:after="40" w:before="0" w:line="259" w:lineRule="auto"/>
            </w:pPr>
            <w:r>
              <w:rPr>
                <w:rFonts w:ascii="Calibri" w:hAnsi="Calibri"/>
                <w:b w:val="0"/>
                <w:i w:val="0"/>
                <w:color w:val="212121"/>
                <w:sz w:val="19"/>
              </w:rPr>
              <w:t>Result from severe fluid loss, invasive infection and its systemic and post-infectious sequelae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stunting and impaired cognitive development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following severe AKI or HUS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Environmental enteropathy and recurrent-diarrhoea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Post-infectious irritable bowel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particularly in under-5 children and the frail elderly</w:t>
            </w:r>
          </w:p>
        </w:tc>
        <w:tc>
          <w:tcPr>
            <w:tcW w:type="dxa" w:w="2980"/>
            <w:vAlign w:val="top"/>
          </w:tcPr>
          <w:p>
            <w:pPr>
              <w:spacing w:after="40" w:before="0" w:line="259" w:lineRule="auto"/>
            </w:pPr>
            <w:r>
              <w:rPr>
                <w:rFonts w:ascii="Calibri" w:hAnsi="Calibri"/>
                <w:b w:val="0"/>
                <w:i w:val="0"/>
                <w:color w:val="212121"/>
                <w:sz w:val="19"/>
              </w:rPr>
              <w:t>Long-term, disabling or fatal outcomes of severe or recurrent disease, especially with underlying undernutrition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Dehydration and electrolyte imbalance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leading and most immediate complication of significant diarrhoea; main cause of death.</w:t>
            </w:r>
          </w:p>
        </w:tc>
      </w:tr>
      <w:tr>
        <w:trPr>
          <w:cantSplit/>
        </w:trPr>
        <w:tc>
          <w:tcPr>
            <w:tcW w:type="dxa" w:w="2232"/>
            <w:vAlign w:val="top"/>
          </w:tcPr>
          <w:p>
            <w:pPr>
              <w:spacing w:after="40" w:before="0" w:line="259" w:lineRule="auto"/>
            </w:pPr>
            <w:r>
              <w:rPr>
                <w:rFonts w:ascii="Calibri" w:hAnsi="Calibri"/>
                <w:b/>
                <w:i w:val="0"/>
                <w:color w:val="212121"/>
                <w:sz w:val="19"/>
              </w:rPr>
              <w:t>Malnutrition / undernutrition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vicious cycle with diarrhoea; highly prevalent among Indian under-5 children.</w:t>
            </w:r>
          </w:p>
        </w:tc>
      </w:tr>
      <w:tr>
        <w:trPr>
          <w:cantSplit/>
        </w:trPr>
        <w:tc>
          <w:tcPr>
            <w:tcW w:type="dxa" w:w="2232"/>
            <w:vAlign w:val="top"/>
          </w:tcPr>
          <w:p>
            <w:pPr>
              <w:spacing w:after="40" w:before="0" w:line="259" w:lineRule="auto"/>
            </w:pPr>
            <w:r>
              <w:rPr>
                <w:rFonts w:ascii="Calibri" w:hAnsi="Calibri"/>
                <w:b/>
                <w:i w:val="0"/>
                <w:color w:val="212121"/>
                <w:sz w:val="19"/>
              </w:rPr>
              <w:t>Zinc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children and worsens diarrhoea; zinc supplementation cuts episode duration by about 25%.</w:t>
            </w:r>
          </w:p>
          <w:p>
            <w:pPr>
              <w:spacing w:after="40" w:before="0" w:line="259" w:lineRule="auto"/>
            </w:pPr>
            <w:r>
              <w:rPr>
                <w:rFonts w:ascii="Calibri" w:hAnsi="Calibri"/>
                <w:b/>
                <w:i w:val="0"/>
                <w:color w:val="212121"/>
                <w:sz w:val="19"/>
              </w:rPr>
              <w:t>~25% shorter with zinc</w:t>
            </w:r>
          </w:p>
        </w:tc>
      </w:tr>
      <w:tr>
        <w:trPr>
          <w:cantSplit/>
        </w:trPr>
        <w:tc>
          <w:tcPr>
            <w:tcW w:type="dxa" w:w="2232"/>
            <w:vAlign w:val="top"/>
          </w:tcPr>
          <w:p>
            <w:pPr>
              <w:spacing w:after="40" w:before="0" w:line="259" w:lineRule="auto"/>
            </w:pPr>
            <w:r>
              <w:rPr>
                <w:rFonts w:ascii="Calibri" w:hAnsi="Calibri"/>
                <w:b/>
                <w:i w:val="0"/>
                <w:color w:val="212121"/>
                <w:sz w:val="19"/>
              </w:rPr>
              <w:t>Iron-deficiency anaemia / micronutrient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Result of recurrent diarrhoea, poor intake and malabsorption.</w:t>
            </w:r>
          </w:p>
        </w:tc>
      </w:tr>
      <w:tr>
        <w:trPr>
          <w:cantSplit/>
        </w:trPr>
        <w:tc>
          <w:tcPr>
            <w:tcW w:type="dxa" w:w="2232"/>
            <w:vAlign w:val="top"/>
          </w:tcPr>
          <w:p>
            <w:pPr>
              <w:spacing w:after="40" w:before="0" w:line="259" w:lineRule="auto"/>
            </w:pPr>
            <w:r>
              <w:rPr>
                <w:rFonts w:ascii="Calibri" w:hAnsi="Calibri"/>
                <w:b/>
                <w:i w:val="0"/>
                <w:color w:val="212121"/>
                <w:sz w:val="19"/>
              </w:rPr>
              <w:t>Secondary (post-infectious) lactose intolerance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Transient brush-border lactase loss after viral enteritis, prolonging diarrhoea.</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Pre-renal injury from hypovolaemia; usually reversible with rehydration.</w:t>
            </w:r>
          </w:p>
        </w:tc>
      </w:tr>
      <w:tr>
        <w:trPr>
          <w:cantSplit/>
        </w:trPr>
        <w:tc>
          <w:tcPr>
            <w:tcW w:type="dxa" w:w="2232"/>
            <w:vAlign w:val="top"/>
          </w:tcPr>
          <w:p>
            <w:pPr>
              <w:spacing w:after="40" w:before="0" w:line="259" w:lineRule="auto"/>
            </w:pPr>
            <w:r>
              <w:rPr>
                <w:rFonts w:ascii="Calibri" w:hAnsi="Calibri"/>
                <w:b/>
                <w:i w:val="0"/>
                <w:color w:val="212121"/>
                <w:sz w:val="19"/>
              </w:rPr>
              <w:t>Persistent diarrhoea / environmental enteropathy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Diarrhoea lasting 14 days or more, often in malnourished or immunocompromised children.</w:t>
            </w:r>
          </w:p>
        </w:tc>
      </w:tr>
      <w:tr>
        <w:trPr>
          <w:cantSplit/>
        </w:trPr>
        <w:tc>
          <w:tcPr>
            <w:tcW w:type="dxa" w:w="2232"/>
            <w:vAlign w:val="top"/>
          </w:tcPr>
          <w:p>
            <w:pPr>
              <w:spacing w:after="40" w:before="0" w:line="259" w:lineRule="auto"/>
            </w:pPr>
            <w:r>
              <w:rPr>
                <w:rFonts w:ascii="Calibri" w:hAnsi="Calibri"/>
                <w:b/>
                <w:i w:val="0"/>
                <w:color w:val="212121"/>
                <w:sz w:val="19"/>
              </w:rPr>
              <w:t>Immunodeficiency (including HIV)</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Predisposes to severe, recurrent and opportunistic enteric infections.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Raises the risk of dehydration, glycaemic decompensation and more severe infection during an episode.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at critical times - after defecation, after cleaning a child,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safe drinking water: boil, filter or chlorinate, and store in a clean covered container; avoid untreated surface or hand-pump water, especially during the 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toilet and dispose of child and adult faeces safely; avoid open defecation.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infants for the first six months and continue breastfeeding during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timely rotavirus vaccination (available under the Universal Immunization Programme) and routine measles vaccination.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danger signs of dehydration (sunken eyes, no urine, lethargy, unable to drink, blood in stool) and seek care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low-osmolarity ORS packets and zinc tablets at home and know how to use them.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slum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with poor sanitation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freshly cooked, thoroughly heated food; avoid stale, reheated or improperly stored items.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unhygienic street food and cut fruit, and drink only bottled/boiled water when its safety is uncertain.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fruits and vegetables in safe water; peel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raw and cooked food separate and store perishable food refrigerated.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food handlers maintain hand and utensil hygiene and stay away from work while symptomatic.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Food-service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low-osmolarity ORS early and give extra fluid after every loose stool; continue age-appropriate feeding throughout.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zinc for 10-14 days to children (20 mg/day, 10 mg if under 6 months) to shorten the episode and reduce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breastfeeding; offer frequent small feeds and easily digestible foods such as rice, khichdi, banana, curd and dal.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sugary drinks, soft drinks, undiluted fruit juices and caffeine, which can worsen fluid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Temporarily reduce lactose only if secondary lactose intolerance is evident; otherwise resume a normal diet quickly.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care and consider IV fluids if there is severe dehydration, persistent vomiting, blood in stool, or inability to drink.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under 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illness and avoid strenuous activity until hydration and stools normalise.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normal activity gradually as appetite and energy recover.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between episodes to support overall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an acute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which support immune defence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in a cool, comfortable setting during the acute illness to reduce insensible fluid losses.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as it impairs gut mucosal immunity and raises the risk and severity of C. difficile and other enteric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while handling or preparing food to reduce hand-to-mouth contamination.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at risk of C. difficile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lowers gastric acidity and disrupts the mucosal barrier and gut flora, increasing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an acute episode as it worsens dehydration and gastric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untreated water or ice of uncertain safety when travelling.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an acute episode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can aggravate gut symptoms and post-infectious irritable bowel syndrome via the gut-brain 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and reassurance for persistent post-infectious bowel symptoms, and follow up if diarrhoea does not settle.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post-infectious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symptoms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7722298/" TargetMode="External"/><Relationship Id="rId10" Type="http://schemas.openxmlformats.org/officeDocument/2006/relationships/hyperlink" Target="https://www.cdc.gov/norovirus/data-research/index.html" TargetMode="External"/><Relationship Id="rId11" Type="http://schemas.openxmlformats.org/officeDocument/2006/relationships/hyperlink" Target="https://www.prokerala.com/news/articles/a1591553.html" TargetMode="External"/><Relationship Id="rId12" Type="http://schemas.openxmlformats.org/officeDocument/2006/relationships/hyperlink" Target="https://www.downtoearth.org.in/health/diarrhoea-in-children-under-5-more-prevalent-in-rural-india-nfhs-5-75058" TargetMode="External"/><Relationship Id="rId13" Type="http://schemas.openxmlformats.org/officeDocument/2006/relationships/hyperlink" Target="https://www.who.int/news-room/fact-sheets/detail/diarrhoeal-disease" TargetMode="External"/><Relationship Id="rId14" Type="http://schemas.openxmlformats.org/officeDocument/2006/relationships/hyperlink" Target="https://journals.plos.org/plosone/article?id=10.1371/journal.pone.0307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