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Celiac Disease</w:t>
      </w:r>
    </w:p>
    <w:p>
      <w:pPr>
        <w:spacing w:before="0" w:after="160"/>
      </w:pPr>
      <w:r>
        <w:rPr>
          <w:rFonts w:ascii="Calibri" w:hAnsi="Calibri"/>
          <w:b/>
          <w:i w:val="0"/>
          <w:color w:val="212121"/>
          <w:sz w:val="22"/>
        </w:rPr>
        <w:t xml:space="preserve">AKA </w:t>
      </w:r>
      <w:r>
        <w:rPr>
          <w:rFonts w:ascii="Calibri" w:hAnsi="Calibri"/>
          <w:b w:val="0"/>
          <w:i w:val="0"/>
          <w:color w:val="212121"/>
          <w:sz w:val="22"/>
        </w:rPr>
        <w:t>i.e., Coeliac disease, Celiac sprue, Gluten-sensitive enteropathy, Non-tropical sprue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Celiac disease is a chronic, immune-mediated (autoimmune) enteropathy of the small intestine triggered by dietary gluten — the storage protein of wheat, barley and rye — in genetically predisposed individuals who carry the HLA-DQ2 or HLA-DQ8 haplotype. Ingested gliadin peptides are deamidated by tissue transglutaminase and presented to CD4+ T-cells, driving an inflammatory cascade that produces intraepithelial lymphocytosis, crypt hyperplasia and villous atrophy, with consequent malabsorption of iron, calcium, folate and fat-soluble vitamins. The only established treatment is a strict, lifelong gluten-free diet, which reverses mucosal damage in most patients.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Celiac disease affects roughly 1 in 100 Indians, but the burden is strikingly uneven and concentrates in the wheat-eating “celiac belt” of north India. A community-based study near Delhi found a prevalence of 1.04% (seroprevalence 1.44%) — about 1 in 96 adults. The ICMR multicentre study of 23,331 healthy adults reported seroprevalence of 1.23% in the north versus 0.87% in the north-east and only 0.10% in the south, closely tracking regional wheat intake (≈455 g/day in the north against 25–37 g/day elsewhere) rather than genetic background. Global pooled seroprevalence is 1.4% and biopsy-confirmed prevalence 0.7%, with disease commoner in women and in children. The condition remains substantially under-diagnosed in India, where it is often mistaken for irritable bowel syndrome or refractory anaemia.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Diagnosis rests on serology followed by confirmatory duodenal histology, and must be performed while the patient is still eating a gluten-containing diet (a gluten-free diet normalises tests and masks the disease). Diagnosis is supported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IgA anti-tissue transglutaminase antibody (anti-tTG IgA) above the laboratory upper limit — the most sensitive and specific first-line serologic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total serum IgA to exclude selective IgA deficiency; if IgA-deficient, use IgG-based tests (IgG deamidated gliadin peptide [IgG-DGP] or IgG-tTG);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IgA endomysial antibody (EMA), a highly specific confirmatory test, especially where anti-tTG titres are borderline;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duodenal biopsy (at least 4 samples from the distal duodenum plus 1–2 from the bulb) showing intraepithelial lymphocytosis, crypt hyperplasia and villous atrophy, graded by the modified Marsh–Oberhüber classification — the diagnostic gold standard in adults;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HLA-DQ2/DQ8 genotyping in equivocal cases: a negative result has a very high negative predictive value and virtually excludes celiac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children, an ESPGHAN “no-biopsy” pathway is accepted when anti-tTG IgA is ≥ 10× the upper limit of normal with a positive EMA on a separate sample.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Celiac disease is described both by its clinical presentation and by the histological severity of mucosal injury:</w:t>
      </w:r>
    </w:p>
    <w:p>
      <w:pPr>
        <w:spacing w:before="0" w:after="80"/>
      </w:pPr>
      <w:r>
        <w:rPr>
          <w:rFonts w:ascii="Calibri" w:hAnsi="Calibri"/>
          <w:b w:val="0"/>
          <w:i w:val="0"/>
          <w:color w:val="212121"/>
          <w:sz w:val="21"/>
        </w:rPr>
        <w:t>(1) Classical (typical) celiac disease, dominated by signs of malabsorption — chronic diarrhoea, steatorrhoea, weight loss and, in children, failure to thrive;</w:t>
      </w:r>
    </w:p>
    <w:p>
      <w:pPr>
        <w:spacing w:before="0" w:after="80"/>
      </w:pPr>
      <w:r>
        <w:rPr>
          <w:rFonts w:ascii="Calibri" w:hAnsi="Calibri"/>
          <w:b w:val="0"/>
          <w:i w:val="0"/>
          <w:color w:val="212121"/>
          <w:sz w:val="21"/>
        </w:rPr>
        <w:t>(2) Non-classical (atypical) celiac disease, with minimal or no gastrointestinal symptoms but extraintestinal features such as unexplained iron-deficiency anaemia, osteoporosis, short stature, transaminitis, recurrent miscarriage or neurological complaints — now the commonest mode of presentation in adults;</w:t>
      </w:r>
    </w:p>
    <w:p>
      <w:pPr>
        <w:spacing w:before="0" w:after="80"/>
      </w:pPr>
      <w:r>
        <w:rPr>
          <w:rFonts w:ascii="Calibri" w:hAnsi="Calibri"/>
          <w:b w:val="0"/>
          <w:i w:val="0"/>
          <w:color w:val="212121"/>
          <w:sz w:val="21"/>
        </w:rPr>
        <w:t>(3) Subclinical (silent) celiac disease, with positive serology and villous atrophy but no recognised symptoms, typically detected on screening of high-risk groups;</w:t>
      </w:r>
    </w:p>
    <w:p>
      <w:pPr>
        <w:spacing w:before="0" w:after="80"/>
      </w:pPr>
      <w:r>
        <w:rPr>
          <w:rFonts w:ascii="Calibri" w:hAnsi="Calibri"/>
          <w:b w:val="0"/>
          <w:i w:val="0"/>
          <w:color w:val="212121"/>
          <w:sz w:val="21"/>
        </w:rPr>
        <w:t>(4) Potential celiac disease, defined by positive serology with a normal or near-normal biopsy (Marsh 0–1), carrying a risk of later progression to overt enteropathy;</w:t>
      </w:r>
    </w:p>
    <w:p>
      <w:pPr>
        <w:spacing w:before="0" w:after="80"/>
      </w:pPr>
      <w:r>
        <w:rPr>
          <w:rFonts w:ascii="Calibri" w:hAnsi="Calibri"/>
          <w:b w:val="0"/>
          <w:i w:val="0"/>
          <w:color w:val="212121"/>
          <w:sz w:val="21"/>
        </w:rPr>
        <w:t>(5) Refractory celiac disease, with persistent symptoms and villous atrophy despite ≥ 12 months of strict gluten-free diet — subdivided into Type I and the pre-malignant Type II, which may evolve into enteropathy-associated T-cell lymphoma.</w:t>
      </w:r>
    </w:p>
    <w:p>
      <w:pPr>
        <w:spacing w:before="0" w:after="80"/>
      </w:pPr>
      <w:r>
        <w:rPr>
          <w:rFonts w:ascii="Calibri" w:hAnsi="Calibri"/>
          <w:b w:val="0"/>
          <w:i w:val="0"/>
          <w:color w:val="212121"/>
          <w:sz w:val="21"/>
        </w:rPr>
        <w:t>Histology is graded by the modified Marsh–Oberhüber system: Marsh 0 (normal), Marsh 1 (intraepithelial lymphocytosis), Marsh 2 (lymphocytosis with crypt hyperplasia) and Marsh 3a/3b/3c (partial, subtotal and total villous atrophy).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(HLA-DQ2/DQ8): almost all patients carry HLA-DQ2 (≈95%) or HLA-DQ8; these alleles are necessary but not sufficient — about 30% of the general population carry them yet only ~3% develop the disease.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Gluten exposure: proline-rich gliadin peptides (notably the 33-mer) resist digestion, are deamidated by tissue transglutaminase and presented by DQ2/DQ8 to CD4+ T-cells, triggering the mucosal immune attack; disease cannot occur without dietary gluten.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Family history: first-degree relatives have a ~10–15% lifetime risk, reflecting strong heritability and shared HLA background.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Non-HLA immune genes: polymorphisms in CTLA4, IL2/IL21, PTPN22 and other loci modulate susceptibility and are shared with type 1 diabetes.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and gut factors: early-life gastrointestinal infections (e.g. reovirus), the quantity and timing of gluten introduction in infancy, and intestinal microbiome dysbiosis are thought to influence onset.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Wheat-predominant diet: a sustained high gluten load, as in north Indian wheat-belt populations, provides the persistent antigenic drive for disease expression.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Female sex and coexisting autoimmunity (type 1 diabetes, autoimmune thyroid disease) further raise risk through shared immunogenetic mechanisms.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young children (after gluten weaning) and school-age children</w:t>
            </w:r>
          </w:p>
        </w:tc>
        <w:tc>
          <w:tcPr>
            <w:tcW w:type="dxa" w:w="4276"/>
            <w:vAlign w:val="top"/>
          </w:tcPr>
          <w:p>
            <w:pPr>
              <w:spacing w:after="60" w:line="259" w:lineRule="auto"/>
            </w:pPr>
            <w:r>
              <w:rPr>
                <w:rFonts w:ascii="Calibri" w:hAnsi="Calibri"/>
                <w:b w:val="0"/>
                <w:i w:val="0"/>
                <w:color w:val="212121"/>
                <w:sz w:val="19"/>
              </w:rPr>
              <w:t>The classic malabsorptive form typically appears months after gluten is introduced into the diet, presenting with diarrhoea, abdominal distension and failure to thrive. Digestive symptoms are commoner in children than adults.</w:t>
            </w:r>
          </w:p>
          <w:p>
            <w:pPr>
              <w:spacing w:after="40" w:before="60" w:line="259" w:lineRule="auto"/>
            </w:pPr>
            <w:r>
              <w:rPr>
                <w:rFonts w:ascii="Calibri" w:hAnsi="Calibri"/>
                <w:b w:val="0"/>
                <w:i w:val="0"/>
                <w:color w:val="212121"/>
                <w:sz w:val="19"/>
              </w:rPr>
              <w:t>Biopsy-confirmed celiac disease is significantly more prevalent in children than in adults in the global meta-analysis.</w:t>
            </w:r>
          </w:p>
          <w:p>
            <w:pPr>
              <w:spacing w:after="40" w:line="252" w:lineRule="auto"/>
            </w:pPr>
            <w:hyperlink r:id="rId9">
              <w:r>
                <w:rPr>
                  <w:rFonts w:ascii="Calibri" w:hAnsi="Calibri" w:cs="Calibri"/>
                  <w:sz w:val="18"/>
                  <w:color w:val="1155CC"/>
                  <w:u w:val="single"/>
                </w:rPr>
                <w:t xml:space="preserve">pubmed.ncbi.nlm.nih.gov/29551598 — global prevalence meta-analysis</w:t>
              </w:r>
            </w:hyperlink>
          </w:p>
          <w:p>
            <w:pPr>
              <w:spacing w:before="60" w:after="40"/>
            </w:pPr>
            <w:r>
              <w:rPr>
                <w:rFonts w:ascii="Calibri" w:hAnsi="Calibri"/>
                <w:b w:val="0"/>
                <w:i w:val="0"/>
                <w:color w:val="5A5A5A"/>
                <w:sz w:val="18"/>
              </w:rPr>
              <w:t>#failuretothrive  #gluten  #paediatric  #malabsorption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(commonly 30–50 years at diagnosis)</w:t>
            </w:r>
          </w:p>
        </w:tc>
        <w:tc>
          <w:tcPr>
            <w:tcW w:type="dxa" w:w="4276"/>
            <w:vAlign w:val="top"/>
          </w:tcPr>
          <w:p>
            <w:pPr>
              <w:spacing w:after="60" w:line="259" w:lineRule="auto"/>
            </w:pPr>
            <w:r>
              <w:rPr>
                <w:rFonts w:ascii="Calibri" w:hAnsi="Calibri"/>
                <w:b w:val="0"/>
                <w:i w:val="0"/>
                <w:color w:val="212121"/>
                <w:sz w:val="19"/>
              </w:rPr>
              <w:t>In adults the disease is increasingly recognised in a non-classical form — iron-deficiency anaemia, osteoporosis, fatigue or raised liver enzymes — rather than overt diarrhoea, so diagnosis is frequently delayed by years.</w:t>
            </w:r>
          </w:p>
          <w:p>
            <w:pPr>
              <w:spacing w:after="40" w:before="60" w:line="259" w:lineRule="auto"/>
            </w:pPr>
            <w:r>
              <w:rPr>
                <w:rFonts w:ascii="Calibri" w:hAnsi="Calibri"/>
                <w:b w:val="0"/>
                <w:i w:val="0"/>
                <w:color w:val="212121"/>
                <w:sz w:val="19"/>
              </w:rPr>
              <w:t>A north-Indian community study found an overall adult prevalence of 1.04% (about 1 in 96), far higher than previously assumed.</w:t>
            </w:r>
          </w:p>
          <w:p>
            <w:pPr>
              <w:spacing w:after="40" w:line="252" w:lineRule="auto"/>
            </w:pPr>
            <w:hyperlink r:id="rId10">
              <w:r>
                <w:rPr>
                  <w:rFonts w:ascii="Calibri" w:hAnsi="Calibri" w:cs="Calibri"/>
                  <w:sz w:val="18"/>
                  <w:color w:val="1155CC"/>
                  <w:u w:val="single"/>
                </w:rPr>
                <w:t xml:space="preserve">pubmed.ncbi.nlm.nih.gov/21182543 — community study, northern India</w:t>
              </w:r>
            </w:hyperlink>
          </w:p>
          <w:p>
            <w:pPr>
              <w:spacing w:before="60" w:after="40"/>
            </w:pPr>
            <w:r>
              <w:rPr>
                <w:rFonts w:ascii="Calibri" w:hAnsi="Calibri"/>
                <w:b w:val="0"/>
                <w:i w:val="0"/>
                <w:color w:val="5A5A5A"/>
                <w:sz w:val="18"/>
              </w:rPr>
              <w:t>#nonclassical  #anaemia  #delayeddiagnosis  #adults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A growing proportion of new diagnoses occur in older adults, often after a long latency; presentation is atypical and the cumulative risk of osteoporosis, fractures and malignant complications is higher.</w:t>
            </w:r>
          </w:p>
          <w:p>
            <w:pPr>
              <w:spacing w:after="40" w:before="60" w:line="259" w:lineRule="auto"/>
            </w:pPr>
            <w:r>
              <w:rPr>
                <w:rFonts w:ascii="Calibri" w:hAnsi="Calibri"/>
                <w:b w:val="0"/>
                <w:i w:val="0"/>
                <w:color w:val="212121"/>
                <w:sz w:val="19"/>
              </w:rPr>
              <w:t>Celiac disease can present at any age, including the elderly, frequently with extraintestinal or minimal symptoms.</w:t>
            </w:r>
          </w:p>
          <w:p>
            <w:pPr>
              <w:spacing w:after="40" w:line="252" w:lineRule="auto"/>
            </w:pPr>
            <w:hyperlink r:id="rId11">
              <w:r>
                <w:rPr>
                  <w:rFonts w:ascii="Calibri" w:hAnsi="Calibri" w:cs="Calibri"/>
                  <w:sz w:val="18"/>
                  <w:color w:val="1155CC"/>
                  <w:u w:val="single"/>
                </w:rPr>
                <w:t xml:space="preserve">mayoclinic.org — celiac disease symptoms &amp; causes</w:t>
              </w:r>
            </w:hyperlink>
          </w:p>
          <w:p>
            <w:pPr>
              <w:spacing w:before="60" w:after="40"/>
            </w:pPr>
            <w:r>
              <w:rPr>
                <w:rFonts w:ascii="Calibri" w:hAnsi="Calibri"/>
                <w:b w:val="0"/>
                <w:i w:val="0"/>
                <w:color w:val="5A5A5A"/>
                <w:sz w:val="18"/>
              </w:rPr>
              <w:t>#elderly  #osteoporosis  #atypical  #latediagnosis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w:t>
            </w:r>
          </w:p>
        </w:tc>
        <w:tc>
          <w:tcPr>
            <w:tcW w:type="dxa" w:w="4276"/>
            <w:vAlign w:val="top"/>
          </w:tcPr>
          <w:p>
            <w:pPr>
              <w:spacing w:after="60" w:line="259" w:lineRule="auto"/>
            </w:pPr>
            <w:r>
              <w:rPr>
                <w:rFonts w:ascii="Calibri" w:hAnsi="Calibri"/>
                <w:b w:val="0"/>
                <w:i w:val="0"/>
                <w:color w:val="212121"/>
                <w:sz w:val="19"/>
              </w:rPr>
              <w:t>Like most autoimmune disorders, celiac disease is commoner in women, who also more often present with anaemia, osteoporosis, subfertility and recurrent miscarriage.</w:t>
            </w:r>
          </w:p>
          <w:p>
            <w:pPr>
              <w:spacing w:after="40" w:before="60" w:line="259" w:lineRule="auto"/>
            </w:pPr>
            <w:r>
              <w:rPr>
                <w:rFonts w:ascii="Calibri" w:hAnsi="Calibri"/>
                <w:b w:val="0"/>
                <w:i w:val="0"/>
                <w:color w:val="212121"/>
                <w:sz w:val="19"/>
              </w:rPr>
              <w:t>Global biopsy-confirmed prevalence is higher in females than males (0.6% vs 0.4%).</w:t>
            </w:r>
          </w:p>
          <w:p>
            <w:pPr>
              <w:spacing w:after="40" w:line="252" w:lineRule="auto"/>
            </w:pPr>
            <w:hyperlink r:id="rId9">
              <w:r>
                <w:rPr>
                  <w:rFonts w:ascii="Calibri" w:hAnsi="Calibri" w:cs="Calibri"/>
                  <w:sz w:val="18"/>
                  <w:color w:val="1155CC"/>
                  <w:u w:val="single"/>
                </w:rPr>
                <w:t xml:space="preserve">pubmed.ncbi.nlm.nih.gov/29551598 — global prevalence meta-analysis</w:t>
              </w:r>
            </w:hyperlink>
          </w:p>
          <w:p>
            <w:pPr>
              <w:spacing w:before="60" w:after="40"/>
            </w:pPr>
            <w:r>
              <w:rPr>
                <w:rFonts w:ascii="Calibri" w:hAnsi="Calibri"/>
                <w:b w:val="0"/>
                <w:i w:val="0"/>
                <w:color w:val="5A5A5A"/>
                <w:sz w:val="18"/>
              </w:rPr>
              <w:t>#female  #autoimmune  #infertility  #anaemia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 Indians (Punjab, Haryana, Delhi, UP, Rajasthan)</w:t>
            </w:r>
          </w:p>
        </w:tc>
        <w:tc>
          <w:tcPr>
            <w:tcW w:type="dxa" w:w="4276"/>
            <w:vAlign w:val="top"/>
          </w:tcPr>
          <w:p>
            <w:pPr>
              <w:spacing w:after="60" w:line="259" w:lineRule="auto"/>
            </w:pPr>
            <w:r>
              <w:rPr>
                <w:rFonts w:ascii="Calibri" w:hAnsi="Calibri"/>
                <w:b w:val="0"/>
                <w:i w:val="0"/>
                <w:color w:val="212121"/>
                <w:sz w:val="19"/>
              </w:rPr>
              <w:t>The wheat-staple “celiac belt” of northern India carries by far the highest burden, driven by a lifelong high gluten load rather than any distinct genetic profile.</w:t>
            </w:r>
          </w:p>
          <w:p>
            <w:pPr>
              <w:spacing w:after="40" w:before="60" w:line="259" w:lineRule="auto"/>
            </w:pPr>
            <w:r>
              <w:rPr>
                <w:rFonts w:ascii="Calibri" w:hAnsi="Calibri"/>
                <w:b w:val="0"/>
                <w:i w:val="0"/>
                <w:color w:val="212121"/>
                <w:sz w:val="19"/>
              </w:rPr>
              <w:t>Seroprevalence was 1.23% in the north versus 0.10% in the south, correlating with wheat intake (≈455 g/day north vs 25–37 g/day south).</w:t>
            </w:r>
          </w:p>
          <w:p>
            <w:pPr>
              <w:spacing w:after="40" w:line="252" w:lineRule="auto"/>
            </w:pPr>
            <w:hyperlink r:id="rId12">
              <w:r>
                <w:rPr>
                  <w:rFonts w:ascii="Calibri" w:hAnsi="Calibri" w:cs="Calibri"/>
                  <w:sz w:val="18"/>
                  <w:color w:val="1155CC"/>
                  <w:u w:val="single"/>
                </w:rPr>
                <w:t xml:space="preserve">pubmed.ncbi.nlm.nih.gov/26729543 — ICMR regional variations study</w:t>
              </w:r>
            </w:hyperlink>
          </w:p>
          <w:p>
            <w:pPr>
              <w:spacing w:before="60" w:after="40"/>
            </w:pPr>
            <w:r>
              <w:rPr>
                <w:rFonts w:ascii="Calibri" w:hAnsi="Calibri"/>
                <w:b w:val="0"/>
                <w:i w:val="0"/>
                <w:color w:val="5A5A5A"/>
                <w:sz w:val="18"/>
              </w:rPr>
              <w:t>#celiacbelt  #wheat  #northindia  #glutenload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South Indians (rice-predominant diet)</w:t>
            </w:r>
          </w:p>
        </w:tc>
        <w:tc>
          <w:tcPr>
            <w:tcW w:type="dxa" w:w="4276"/>
            <w:vAlign w:val="top"/>
          </w:tcPr>
          <w:p>
            <w:pPr>
              <w:spacing w:after="60" w:line="259" w:lineRule="auto"/>
            </w:pPr>
            <w:r>
              <w:rPr>
                <w:rFonts w:ascii="Calibri" w:hAnsi="Calibri"/>
                <w:b w:val="0"/>
                <w:i w:val="0"/>
                <w:color w:val="212121"/>
                <w:sz w:val="19"/>
              </w:rPr>
              <w:t>Populations whose staple is rice have a much lower disease burden, illustrating that reducing the wheat/gluten load lowers expression even where susceptibility genes are present.</w:t>
            </w:r>
          </w:p>
          <w:p>
            <w:pPr>
              <w:spacing w:after="40" w:before="60" w:line="259" w:lineRule="auto"/>
            </w:pPr>
            <w:r>
              <w:rPr>
                <w:rFonts w:ascii="Calibri" w:hAnsi="Calibri"/>
                <w:b w:val="0"/>
                <w:i w:val="0"/>
                <w:color w:val="212121"/>
                <w:sz w:val="19"/>
              </w:rPr>
              <w:t>Southern seroprevalence was only 0.10%, with biopsy-confirmed active disease of just 0.11 per 1000 compared with 8.53 per 1000 in the north.</w:t>
            </w:r>
          </w:p>
          <w:p>
            <w:pPr>
              <w:spacing w:after="40" w:line="252" w:lineRule="auto"/>
            </w:pPr>
            <w:hyperlink r:id="rId12">
              <w:r>
                <w:rPr>
                  <w:rFonts w:ascii="Calibri" w:hAnsi="Calibri" w:cs="Calibri"/>
                  <w:sz w:val="18"/>
                  <w:color w:val="1155CC"/>
                  <w:u w:val="single"/>
                </w:rPr>
                <w:t xml:space="preserve">pubmed.ncbi.nlm.nih.gov/26729543 — ICMR regional variations study</w:t>
              </w:r>
            </w:hyperlink>
          </w:p>
          <w:p>
            <w:pPr>
              <w:spacing w:before="60" w:after="40"/>
            </w:pPr>
            <w:r>
              <w:rPr>
                <w:rFonts w:ascii="Calibri" w:hAnsi="Calibri"/>
                <w:b w:val="0"/>
                <w:i w:val="0"/>
                <w:color w:val="5A5A5A"/>
                <w:sz w:val="18"/>
              </w:rPr>
              <w:t>#riceStaple  #southindia  #lowerrisk  #dietdriven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celiac patient</w:t>
            </w:r>
          </w:p>
        </w:tc>
        <w:tc>
          <w:tcPr>
            <w:tcW w:type="dxa" w:w="4276"/>
            <w:vAlign w:val="top"/>
          </w:tcPr>
          <w:p>
            <w:pPr>
              <w:spacing w:after="60" w:line="259" w:lineRule="auto"/>
            </w:pPr>
            <w:r>
              <w:rPr>
                <w:rFonts w:ascii="Calibri" w:hAnsi="Calibri"/>
                <w:b w:val="0"/>
                <w:i w:val="0"/>
                <w:color w:val="212121"/>
                <w:sz w:val="19"/>
              </w:rPr>
              <w:t>Parents, siblings and children of an affected person share HLA risk alleles and have a markedly elevated risk; targeted serologic screening of relatives is recommended even when asymptomatic.</w:t>
            </w:r>
          </w:p>
          <w:p>
            <w:pPr>
              <w:spacing w:after="40" w:before="60" w:line="259" w:lineRule="auto"/>
            </w:pPr>
            <w:r>
              <w:rPr>
                <w:rFonts w:ascii="Calibri" w:hAnsi="Calibri"/>
                <w:b w:val="0"/>
                <w:i w:val="0"/>
                <w:color w:val="212121"/>
                <w:sz w:val="19"/>
              </w:rPr>
              <w:t>First-degree relatives carry an estimated ~10–15% risk of celiac disease.</w:t>
            </w:r>
          </w:p>
          <w:p>
            <w:pPr>
              <w:spacing w:after="40" w:line="252" w:lineRule="auto"/>
            </w:pPr>
            <w:hyperlink r:id="rId13">
              <w:r>
                <w:rPr>
                  <w:rFonts w:ascii="Calibri" w:hAnsi="Calibri" w:cs="Calibri"/>
                  <w:sz w:val="18"/>
                  <w:color w:val="1155CC"/>
                  <w:u w:val="single"/>
                </w:rPr>
                <w:t xml:space="preserve">niddk.nih.gov — celiac disease definition &amp; facts</w:t>
              </w:r>
            </w:hyperlink>
          </w:p>
          <w:p>
            <w:pPr>
              <w:spacing w:before="60" w:after="40"/>
            </w:pPr>
            <w:r>
              <w:rPr>
                <w:rFonts w:ascii="Calibri" w:hAnsi="Calibri"/>
                <w:b w:val="0"/>
                <w:i w:val="0"/>
                <w:color w:val="5A5A5A"/>
                <w:sz w:val="18"/>
              </w:rPr>
              <w:t>#familyhistory  #screening  #firstdegree  #heritable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genotype</w:t>
            </w:r>
          </w:p>
        </w:tc>
        <w:tc>
          <w:tcPr>
            <w:tcW w:type="dxa" w:w="2160"/>
            <w:vAlign w:val="top"/>
          </w:tcPr>
          <w:p>
            <w:pPr>
              <w:spacing w:after="40" w:before="0" w:line="259" w:lineRule="auto"/>
            </w:pPr>
            <w:r>
              <w:rPr>
                <w:rFonts w:ascii="Calibri" w:hAnsi="Calibri"/>
                <w:b w:val="0"/>
                <w:i w:val="0"/>
                <w:color w:val="212121"/>
                <w:sz w:val="19"/>
              </w:rPr>
              <w:t>HLA-DQ2 or HLA-DQ8 carriers</w:t>
            </w:r>
          </w:p>
        </w:tc>
        <w:tc>
          <w:tcPr>
            <w:tcW w:type="dxa" w:w="4276"/>
            <w:vAlign w:val="top"/>
          </w:tcPr>
          <w:p>
            <w:pPr>
              <w:spacing w:after="60" w:line="259" w:lineRule="auto"/>
            </w:pPr>
            <w:r>
              <w:rPr>
                <w:rFonts w:ascii="Calibri" w:hAnsi="Calibri"/>
                <w:b w:val="0"/>
                <w:i w:val="0"/>
                <w:color w:val="212121"/>
                <w:sz w:val="19"/>
              </w:rPr>
              <w:t>These class II haplotypes are required to present gliadin to T-cells, so their absence virtually excludes celiac disease; however, carriage alone is common and not diagnostic.</w:t>
            </w:r>
          </w:p>
          <w:p>
            <w:pPr>
              <w:spacing w:after="40" w:before="60" w:line="259" w:lineRule="auto"/>
            </w:pPr>
            <w:r>
              <w:rPr>
                <w:rFonts w:ascii="Calibri" w:hAnsi="Calibri"/>
                <w:b w:val="0"/>
                <w:i w:val="0"/>
                <w:color w:val="212121"/>
                <w:sz w:val="19"/>
              </w:rPr>
              <w:t>About 30% of people carry DQ2/DQ8, yet only around 3% of carriers develop celiac disease.</w:t>
            </w:r>
          </w:p>
          <w:p>
            <w:pPr>
              <w:spacing w:after="40" w:line="252" w:lineRule="auto"/>
            </w:pPr>
            <w:hyperlink r:id="rId14">
              <w:r>
                <w:rPr>
                  <w:rFonts w:ascii="Calibri" w:hAnsi="Calibri" w:cs="Calibri"/>
                  <w:sz w:val="18"/>
                  <w:color w:val="1155CC"/>
                  <w:u w:val="single"/>
                </w:rPr>
                <w:t xml:space="preserve">niddk.nih.gov — celiac disease symptoms &amp; causes</w:t>
              </w:r>
            </w:hyperlink>
          </w:p>
          <w:p>
            <w:pPr>
              <w:spacing w:before="60" w:after="40"/>
            </w:pPr>
            <w:r>
              <w:rPr>
                <w:rFonts w:ascii="Calibri" w:hAnsi="Calibri"/>
                <w:b w:val="0"/>
                <w:i w:val="0"/>
                <w:color w:val="5A5A5A"/>
                <w:sz w:val="18"/>
              </w:rPr>
              <w:t>#HLADQ2  #HLADQ8  #geneticmarker  #susceptibility</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Wheat-based staple consumers (chapati/roti, dalia, suji, maida)</w:t>
            </w:r>
          </w:p>
        </w:tc>
        <w:tc>
          <w:tcPr>
            <w:tcW w:type="dxa" w:w="4276"/>
            <w:vAlign w:val="top"/>
          </w:tcPr>
          <w:p>
            <w:pPr>
              <w:spacing w:after="60" w:line="259" w:lineRule="auto"/>
            </w:pPr>
            <w:r>
              <w:rPr>
                <w:rFonts w:ascii="Calibri" w:hAnsi="Calibri"/>
                <w:b w:val="0"/>
                <w:i w:val="0"/>
                <w:color w:val="212121"/>
                <w:sz w:val="19"/>
              </w:rPr>
              <w:t>A diet built around wheat delivers a large, sustained gluten load that provides the antigenic drive for mucosal injury; the amount and frequency of gluten intake correlate with disease frequency across Indian regions.</w:t>
            </w:r>
          </w:p>
          <w:p>
            <w:pPr>
              <w:spacing w:after="40" w:before="60" w:line="259" w:lineRule="auto"/>
            </w:pPr>
            <w:r>
              <w:rPr>
                <w:rFonts w:ascii="Calibri" w:hAnsi="Calibri"/>
                <w:b w:val="0"/>
                <w:i w:val="0"/>
                <w:color w:val="212121"/>
                <w:sz w:val="19"/>
              </w:rPr>
              <w:t>Disease prevalence correlated directly with daily wheat consumption across regions and did not reflect differences in genetic background.</w:t>
            </w:r>
          </w:p>
          <w:p>
            <w:pPr>
              <w:spacing w:after="40" w:line="252" w:lineRule="auto"/>
            </w:pPr>
            <w:hyperlink r:id="rId12">
              <w:r>
                <w:rPr>
                  <w:rFonts w:ascii="Calibri" w:hAnsi="Calibri" w:cs="Calibri"/>
                  <w:sz w:val="18"/>
                  <w:color w:val="1155CC"/>
                  <w:u w:val="single"/>
                </w:rPr>
                <w:t xml:space="preserve">pubmed.ncbi.nlm.nih.gov/26729543 — ICMR regional variations study</w:t>
              </w:r>
            </w:hyperlink>
          </w:p>
          <w:p>
            <w:pPr>
              <w:spacing w:before="60" w:after="40"/>
            </w:pPr>
            <w:r>
              <w:rPr>
                <w:rFonts w:ascii="Calibri" w:hAnsi="Calibri"/>
                <w:b w:val="0"/>
                <w:i w:val="0"/>
                <w:color w:val="5A5A5A"/>
                <w:sz w:val="18"/>
              </w:rPr>
              <w:t>#wheat  #chapati  #glutenload  #dietaryrisk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 gluten exposure &amp; feeding</w:t>
            </w:r>
          </w:p>
        </w:tc>
        <w:tc>
          <w:tcPr>
            <w:tcW w:type="dxa" w:w="2160"/>
            <w:vAlign w:val="top"/>
          </w:tcPr>
          <w:p>
            <w:pPr>
              <w:spacing w:after="40" w:before="0" w:line="259" w:lineRule="auto"/>
            </w:pPr>
            <w:r>
              <w:rPr>
                <w:rFonts w:ascii="Calibri" w:hAnsi="Calibri"/>
                <w:b w:val="0"/>
                <w:i w:val="0"/>
                <w:color w:val="212121"/>
                <w:sz w:val="19"/>
              </w:rPr>
              <w:t>Infants weaned onto large gluten loads / not breastfed</w:t>
            </w:r>
          </w:p>
        </w:tc>
        <w:tc>
          <w:tcPr>
            <w:tcW w:type="dxa" w:w="4276"/>
            <w:vAlign w:val="top"/>
          </w:tcPr>
          <w:p>
            <w:pPr>
              <w:spacing w:after="60" w:line="259" w:lineRule="auto"/>
            </w:pPr>
            <w:r>
              <w:rPr>
                <w:rFonts w:ascii="Calibri" w:hAnsi="Calibri"/>
                <w:b w:val="0"/>
                <w:i w:val="0"/>
                <w:color w:val="212121"/>
                <w:sz w:val="19"/>
              </w:rPr>
              <w:t>The quantity of gluten introduced at weaning and reduced breastfeeding are proposed environmental modifiers of disease onset in genetically susceptible infants, though evidence for timing is mixed.</w:t>
            </w:r>
          </w:p>
          <w:p>
            <w:pPr>
              <w:spacing w:after="40" w:before="60" w:line="259" w:lineRule="auto"/>
            </w:pPr>
            <w:r>
              <w:rPr>
                <w:rFonts w:ascii="Calibri" w:hAnsi="Calibri"/>
                <w:b w:val="0"/>
                <w:i w:val="0"/>
                <w:color w:val="212121"/>
                <w:sz w:val="19"/>
              </w:rPr>
              <w:t>Infant-feeding practices, gastrointestinal infections and gut bacteria may contribute to disease onset.</w:t>
            </w:r>
          </w:p>
          <w:p>
            <w:pPr>
              <w:spacing w:after="40" w:line="252" w:lineRule="auto"/>
            </w:pPr>
            <w:hyperlink r:id="rId11">
              <w:r>
                <w:rPr>
                  <w:rFonts w:ascii="Calibri" w:hAnsi="Calibri" w:cs="Calibri"/>
                  <w:sz w:val="18"/>
                  <w:color w:val="1155CC"/>
                  <w:u w:val="single"/>
                </w:rPr>
                <w:t xml:space="preserve">mayoclinic.org — celiac disease symptoms &amp; causes</w:t>
              </w:r>
            </w:hyperlink>
          </w:p>
          <w:p>
            <w:pPr>
              <w:spacing w:before="60" w:after="40"/>
            </w:pPr>
            <w:r>
              <w:rPr>
                <w:rFonts w:ascii="Calibri" w:hAnsi="Calibri"/>
                <w:b w:val="0"/>
                <w:i w:val="0"/>
                <w:color w:val="5A5A5A"/>
                <w:sz w:val="18"/>
              </w:rPr>
              <w:t>#weaning  #breastfeeding  #infantfeeding  #environment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(weak/inverse association)</w:t>
            </w:r>
          </w:p>
        </w:tc>
        <w:tc>
          <w:tcPr>
            <w:tcW w:type="dxa" w:w="4276"/>
            <w:vAlign w:val="top"/>
          </w:tcPr>
          <w:p>
            <w:pPr>
              <w:spacing w:after="60" w:line="259" w:lineRule="auto"/>
            </w:pPr>
            <w:r>
              <w:rPr>
                <w:rFonts w:ascii="Calibri" w:hAnsi="Calibri"/>
                <w:b w:val="0"/>
                <w:i w:val="0"/>
                <w:color w:val="212121"/>
                <w:sz w:val="19"/>
              </w:rPr>
              <w:t>Unlike most conditions, several studies report a weak inverse association between current smoking and celiac disease; smoking is nonetheless harmful and confers no protective benefit, and cessation is advised for overall and bone health.</w:t>
            </w:r>
          </w:p>
          <w:p>
            <w:pPr>
              <w:spacing w:before="60" w:after="40"/>
            </w:pPr>
            <w:r>
              <w:rPr>
                <w:rFonts w:ascii="Calibri" w:hAnsi="Calibri"/>
                <w:b w:val="0"/>
                <w:i w:val="0"/>
                <w:color w:val="5A5A5A"/>
                <w:sz w:val="18"/>
              </w:rPr>
              <w:t>#smoking  #inverseassociation  #nobenefit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Consumers of gluten-containing beer / malt beverages</w:t>
            </w:r>
          </w:p>
        </w:tc>
        <w:tc>
          <w:tcPr>
            <w:tcW w:type="dxa" w:w="4276"/>
            <w:vAlign w:val="top"/>
          </w:tcPr>
          <w:p>
            <w:pPr>
              <w:spacing w:after="60" w:line="259" w:lineRule="auto"/>
            </w:pPr>
            <w:r>
              <w:rPr>
                <w:rFonts w:ascii="Calibri" w:hAnsi="Calibri"/>
                <w:b w:val="0"/>
                <w:i w:val="0"/>
                <w:color w:val="212121"/>
                <w:sz w:val="19"/>
              </w:rPr>
              <w:t>Alcohol does not cause celiac disease, but barley-based beers and malt drinks contain gluten and can perpetuate mucosal injury and symptoms in diagnosed patients, who should choose gluten-free or distilled options.</w:t>
            </w:r>
          </w:p>
          <w:p>
            <w:pPr>
              <w:spacing w:before="60" w:after="40"/>
            </w:pPr>
            <w:r>
              <w:rPr>
                <w:rFonts w:ascii="Calibri" w:hAnsi="Calibri"/>
                <w:b w:val="0"/>
                <w:i w:val="0"/>
                <w:color w:val="5A5A5A"/>
                <w:sz w:val="18"/>
              </w:rPr>
              <w:t>#beer  #barley  #glutencontaining  #dietadherence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1 diabetes mellitus</w:t>
            </w:r>
          </w:p>
        </w:tc>
        <w:tc>
          <w:tcPr>
            <w:tcW w:type="dxa" w:w="2160"/>
            <w:vAlign w:val="top"/>
          </w:tcPr>
          <w:p>
            <w:pPr>
              <w:spacing w:after="40" w:before="0" w:line="259" w:lineRule="auto"/>
            </w:pPr>
            <w:r>
              <w:rPr>
                <w:rFonts w:ascii="Calibri" w:hAnsi="Calibri"/>
                <w:b w:val="0"/>
                <w:i w:val="0"/>
                <w:color w:val="212121"/>
                <w:sz w:val="19"/>
              </w:rPr>
              <w:t>Patients with type 1 diabetes</w:t>
            </w:r>
          </w:p>
        </w:tc>
        <w:tc>
          <w:tcPr>
            <w:tcW w:type="dxa" w:w="4276"/>
            <w:vAlign w:val="top"/>
          </w:tcPr>
          <w:p>
            <w:pPr>
              <w:spacing w:after="60" w:line="259" w:lineRule="auto"/>
            </w:pPr>
            <w:r>
              <w:rPr>
                <w:rFonts w:ascii="Calibri" w:hAnsi="Calibri"/>
                <w:b w:val="0"/>
                <w:i w:val="0"/>
                <w:color w:val="212121"/>
                <w:sz w:val="19"/>
              </w:rPr>
              <w:t>Type 1 diabetes and celiac disease share HLA-DQ2/DQ8 and non-HLA susceptibility genes and frequently co-occur; celiac disease is often silent in diabetics, so routine screening is recommended.</w:t>
            </w:r>
          </w:p>
          <w:p>
            <w:pPr>
              <w:spacing w:after="40" w:before="60" w:line="259" w:lineRule="auto"/>
            </w:pPr>
            <w:r>
              <w:rPr>
                <w:rFonts w:ascii="Calibri" w:hAnsi="Calibri"/>
                <w:b w:val="0"/>
                <w:i w:val="0"/>
                <w:color w:val="212121"/>
                <w:sz w:val="19"/>
              </w:rPr>
              <w:t>Biopsy-confirmed celiac disease is present in ~6% of type 1 diabetes patients (seroprevalence ~9%), rising to about 1 in 12 in Asia and the Middle East.</w:t>
            </w:r>
          </w:p>
          <w:p>
            <w:pPr>
              <w:spacing w:after="40" w:line="252" w:lineRule="auto"/>
            </w:pPr>
            <w:hyperlink r:id="rId15">
              <w:r>
                <w:rPr>
                  <w:rFonts w:ascii="Calibri" w:hAnsi="Calibri" w:cs="Calibri"/>
                  <w:sz w:val="18"/>
                  <w:color w:val="1155CC"/>
                  <w:u w:val="single"/>
                </w:rPr>
                <w:t xml:space="preserve">pubmed.ncbi.nlm.nih.gov/39497278 — CeD-in-T1D meta-analysis</w:t>
              </w:r>
            </w:hyperlink>
          </w:p>
          <w:p>
            <w:pPr>
              <w:spacing w:before="60" w:after="40"/>
            </w:pPr>
            <w:r>
              <w:rPr>
                <w:rFonts w:ascii="Calibri" w:hAnsi="Calibri"/>
                <w:b w:val="0"/>
                <w:i w:val="0"/>
                <w:color w:val="5A5A5A"/>
                <w:sz w:val="18"/>
              </w:rPr>
              <w:t>#type1diabetes  #sharedHLA  #autoimmune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thyroid disease</w:t>
            </w:r>
          </w:p>
        </w:tc>
        <w:tc>
          <w:tcPr>
            <w:tcW w:type="dxa" w:w="2160"/>
            <w:vAlign w:val="top"/>
          </w:tcPr>
          <w:p>
            <w:pPr>
              <w:spacing w:after="40" w:before="0" w:line="259" w:lineRule="auto"/>
            </w:pPr>
            <w:r>
              <w:rPr>
                <w:rFonts w:ascii="Calibri" w:hAnsi="Calibri"/>
                <w:b w:val="0"/>
                <w:i w:val="0"/>
                <w:color w:val="212121"/>
                <w:sz w:val="19"/>
              </w:rPr>
              <w:t>Patients with Hashimoto's thyroiditis or Graves' disease</w:t>
            </w:r>
          </w:p>
        </w:tc>
        <w:tc>
          <w:tcPr>
            <w:tcW w:type="dxa" w:w="4276"/>
            <w:vAlign w:val="top"/>
          </w:tcPr>
          <w:p>
            <w:pPr>
              <w:spacing w:after="60" w:line="259" w:lineRule="auto"/>
            </w:pPr>
            <w:r>
              <w:rPr>
                <w:rFonts w:ascii="Calibri" w:hAnsi="Calibri"/>
                <w:b w:val="0"/>
                <w:i w:val="0"/>
                <w:color w:val="212121"/>
                <w:sz w:val="19"/>
              </w:rPr>
              <w:t>Autoimmune thyroid disease clusters with celiac disease through shared autoimmune predisposition; each raises the probability of the other, and thyroid function should be monitored.</w:t>
            </w:r>
          </w:p>
          <w:p>
            <w:pPr>
              <w:spacing w:after="40" w:before="60" w:line="259" w:lineRule="auto"/>
            </w:pPr>
            <w:r>
              <w:rPr>
                <w:rFonts w:ascii="Calibri" w:hAnsi="Calibri"/>
                <w:b w:val="0"/>
                <w:i w:val="0"/>
                <w:color w:val="212121"/>
                <w:sz w:val="19"/>
              </w:rPr>
              <w:t>Meta-analysis confirms an association between celiac disease and thyroid autoimmunity, particularly in early-onset (childhood) disease.</w:t>
            </w:r>
          </w:p>
          <w:p>
            <w:pPr>
              <w:spacing w:after="40" w:line="252" w:lineRule="auto"/>
            </w:pPr>
            <w:hyperlink r:id="rId16">
              <w:r>
                <w:rPr>
                  <w:rFonts w:ascii="Calibri" w:hAnsi="Calibri" w:cs="Calibri"/>
                  <w:sz w:val="18"/>
                  <w:color w:val="1155CC"/>
                  <w:u w:val="single"/>
                </w:rPr>
                <w:t xml:space="preserve">pubmed.ncbi.nlm.nih.gov/38205645 — GFD &amp; thyroid autoimmunity meta-analysis</w:t>
              </w:r>
            </w:hyperlink>
          </w:p>
          <w:p>
            <w:pPr>
              <w:spacing w:before="60" w:after="40"/>
            </w:pPr>
            <w:r>
              <w:rPr>
                <w:rFonts w:ascii="Calibri" w:hAnsi="Calibri"/>
                <w:b w:val="0"/>
                <w:i w:val="0"/>
                <w:color w:val="5A5A5A"/>
                <w:sz w:val="18"/>
              </w:rPr>
              <w:t>#thyroid  #hashimoto  #autoimmunecluster  #TSH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Chromosomal disorders</w:t>
            </w:r>
          </w:p>
        </w:tc>
        <w:tc>
          <w:tcPr>
            <w:tcW w:type="dxa" w:w="2160"/>
            <w:vAlign w:val="top"/>
          </w:tcPr>
          <w:p>
            <w:pPr>
              <w:spacing w:after="40" w:before="0" w:line="259" w:lineRule="auto"/>
            </w:pPr>
            <w:r>
              <w:rPr>
                <w:rFonts w:ascii="Calibri" w:hAnsi="Calibri"/>
                <w:b w:val="0"/>
                <w:i w:val="0"/>
                <w:color w:val="212121"/>
                <w:sz w:val="19"/>
              </w:rPr>
              <w:t>Down syndrome &amp; Turner syndrome</w:t>
            </w:r>
          </w:p>
        </w:tc>
        <w:tc>
          <w:tcPr>
            <w:tcW w:type="dxa" w:w="4276"/>
            <w:vAlign w:val="top"/>
          </w:tcPr>
          <w:p>
            <w:pPr>
              <w:spacing w:after="60" w:line="259" w:lineRule="auto"/>
            </w:pPr>
            <w:r>
              <w:rPr>
                <w:rFonts w:ascii="Calibri" w:hAnsi="Calibri"/>
                <w:b w:val="0"/>
                <w:i w:val="0"/>
                <w:color w:val="212121"/>
                <w:sz w:val="19"/>
              </w:rPr>
              <w:t>Celiac disease is several-fold more prevalent in Down, Turner and Williams syndromes, warranting proactive serologic screening in these groups.</w:t>
            </w:r>
          </w:p>
          <w:p>
            <w:pPr>
              <w:spacing w:after="40" w:before="60" w:line="259" w:lineRule="auto"/>
            </w:pPr>
            <w:r>
              <w:rPr>
                <w:rFonts w:ascii="Calibri" w:hAnsi="Calibri"/>
                <w:b w:val="0"/>
                <w:i w:val="0"/>
                <w:color w:val="212121"/>
                <w:sz w:val="19"/>
              </w:rPr>
              <w:t>NIDDK lists Down, Turner and Williams syndromes among conditions with a higher likelihood of celiac disease.</w:t>
            </w:r>
          </w:p>
          <w:p>
            <w:pPr>
              <w:spacing w:after="40" w:line="252" w:lineRule="auto"/>
            </w:pPr>
            <w:hyperlink r:id="rId13">
              <w:r>
                <w:rPr>
                  <w:rFonts w:ascii="Calibri" w:hAnsi="Calibri" w:cs="Calibri"/>
                  <w:sz w:val="18"/>
                  <w:color w:val="1155CC"/>
                  <w:u w:val="single"/>
                </w:rPr>
                <w:t xml:space="preserve">niddk.nih.gov — celiac disease definition &amp; facts</w:t>
              </w:r>
            </w:hyperlink>
          </w:p>
          <w:p>
            <w:pPr>
              <w:spacing w:before="60" w:after="40"/>
            </w:pPr>
            <w:r>
              <w:rPr>
                <w:rFonts w:ascii="Calibri" w:hAnsi="Calibri"/>
                <w:b w:val="0"/>
                <w:i w:val="0"/>
                <w:color w:val="5A5A5A"/>
                <w:sz w:val="18"/>
              </w:rPr>
              <w:t>#downsyndrome  #turnersyndrome  #screening  #genetic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Selective IgA deficiency</w:t>
            </w:r>
          </w:p>
        </w:tc>
        <w:tc>
          <w:tcPr>
            <w:tcW w:type="dxa" w:w="2160"/>
            <w:vAlign w:val="top"/>
          </w:tcPr>
          <w:p>
            <w:pPr>
              <w:spacing w:after="40" w:before="0" w:line="259" w:lineRule="auto"/>
            </w:pPr>
            <w:r>
              <w:rPr>
                <w:rFonts w:ascii="Calibri" w:hAnsi="Calibri"/>
                <w:b w:val="0"/>
                <w:i w:val="0"/>
                <w:color w:val="212121"/>
                <w:sz w:val="19"/>
              </w:rPr>
              <w:t>Patients with selective IgA deficiency</w:t>
            </w:r>
          </w:p>
        </w:tc>
        <w:tc>
          <w:tcPr>
            <w:tcW w:type="dxa" w:w="4276"/>
            <w:vAlign w:val="top"/>
          </w:tcPr>
          <w:p>
            <w:pPr>
              <w:spacing w:after="60" w:line="259" w:lineRule="auto"/>
            </w:pPr>
            <w:r>
              <w:rPr>
                <w:rFonts w:ascii="Calibri" w:hAnsi="Calibri"/>
                <w:b w:val="0"/>
                <w:i w:val="0"/>
                <w:color w:val="212121"/>
                <w:sz w:val="19"/>
              </w:rPr>
              <w:t>Selective IgA deficiency is markedly over-represented in celiac disease and also invalidates standard IgA-based serology, so IgG-based tests must be used to avoid false-negative screening.</w:t>
            </w:r>
          </w:p>
          <w:p>
            <w:pPr>
              <w:spacing w:after="40" w:before="60" w:line="259" w:lineRule="auto"/>
            </w:pPr>
            <w:r>
              <w:rPr>
                <w:rFonts w:ascii="Calibri" w:hAnsi="Calibri"/>
                <w:b w:val="0"/>
                <w:i w:val="0"/>
                <w:color w:val="212121"/>
                <w:sz w:val="19"/>
              </w:rPr>
              <w:t>Total IgA is measured routinely at diagnosis precisely because IgA deficiency is far commoner in celiac patients and alters test interpretation.</w:t>
            </w:r>
          </w:p>
          <w:p>
            <w:pPr>
              <w:spacing w:after="40" w:line="252" w:lineRule="auto"/>
            </w:pPr>
            <w:hyperlink r:id="rId17">
              <w:r>
                <w:rPr>
                  <w:rFonts w:ascii="Calibri" w:hAnsi="Calibri" w:cs="Calibri"/>
                  <w:sz w:val="18"/>
                  <w:color w:val="1155CC"/>
                  <w:u w:val="single"/>
                </w:rPr>
                <w:t xml:space="preserve">niddk.nih.gov — celiac disease diagnosis</w:t>
              </w:r>
            </w:hyperlink>
          </w:p>
          <w:p>
            <w:pPr>
              <w:spacing w:before="60" w:after="40"/>
            </w:pPr>
            <w:r>
              <w:rPr>
                <w:rFonts w:ascii="Calibri" w:hAnsi="Calibri"/>
                <w:b w:val="0"/>
                <w:i w:val="0"/>
                <w:color w:val="5A5A5A"/>
                <w:sz w:val="18"/>
              </w:rPr>
              <w:t>#IgAdeficiency  #falsenegative  #serology  #IgGtesting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Unexplained iron-deficiency anaemia</w:t>
            </w:r>
          </w:p>
        </w:tc>
        <w:tc>
          <w:tcPr>
            <w:tcW w:type="dxa" w:w="2160"/>
            <w:vAlign w:val="top"/>
          </w:tcPr>
          <w:p>
            <w:pPr>
              <w:spacing w:after="40" w:before="0" w:line="259" w:lineRule="auto"/>
            </w:pPr>
            <w:r>
              <w:rPr>
                <w:rFonts w:ascii="Calibri" w:hAnsi="Calibri"/>
                <w:b w:val="0"/>
                <w:i w:val="0"/>
                <w:color w:val="212121"/>
                <w:sz w:val="19"/>
              </w:rPr>
              <w:t>Adults with refractory or unexplained iron-deficiency anaemia</w:t>
            </w:r>
          </w:p>
        </w:tc>
        <w:tc>
          <w:tcPr>
            <w:tcW w:type="dxa" w:w="4276"/>
            <w:vAlign w:val="top"/>
          </w:tcPr>
          <w:p>
            <w:pPr>
              <w:spacing w:after="60" w:line="259" w:lineRule="auto"/>
            </w:pPr>
            <w:r>
              <w:rPr>
                <w:rFonts w:ascii="Calibri" w:hAnsi="Calibri"/>
                <w:b w:val="0"/>
                <w:i w:val="0"/>
                <w:color w:val="212121"/>
                <w:sz w:val="19"/>
              </w:rPr>
              <w:t>Duodenal villous atrophy impairs iron absorption, so celiac disease is a classic cause of iron-deficiency anaemia that does not respond to oral iron; such patients should be screened serologically.</w:t>
            </w:r>
          </w:p>
          <w:p>
            <w:pPr>
              <w:spacing w:after="40" w:before="60" w:line="259" w:lineRule="auto"/>
            </w:pPr>
            <w:r>
              <w:rPr>
                <w:rFonts w:ascii="Calibri" w:hAnsi="Calibri"/>
                <w:b w:val="0"/>
                <w:i w:val="0"/>
                <w:color w:val="212121"/>
                <w:sz w:val="19"/>
              </w:rPr>
              <w:t>Iron-deficiency anaemia is one of the commonest non-digestive presentations of celiac disease in adults.</w:t>
            </w:r>
          </w:p>
          <w:p>
            <w:pPr>
              <w:spacing w:after="40" w:line="252" w:lineRule="auto"/>
            </w:pPr>
            <w:hyperlink r:id="rId11">
              <w:r>
                <w:rPr>
                  <w:rFonts w:ascii="Calibri" w:hAnsi="Calibri" w:cs="Calibri"/>
                  <w:sz w:val="18"/>
                  <w:color w:val="1155CC"/>
                  <w:u w:val="single"/>
                </w:rPr>
                <w:t xml:space="preserve">mayoclinic.org — celiac disease symptoms &amp; causes</w:t>
              </w:r>
            </w:hyperlink>
          </w:p>
          <w:p>
            <w:pPr>
              <w:spacing w:before="60" w:after="40"/>
            </w:pPr>
            <w:r>
              <w:rPr>
                <w:rFonts w:ascii="Calibri" w:hAnsi="Calibri"/>
                <w:b w:val="0"/>
                <w:i w:val="0"/>
                <w:color w:val="5A5A5A"/>
                <w:sz w:val="18"/>
              </w:rPr>
              <w:t>#irondeficiency  #anaemia  #refractory  #malabsorption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or prevent celiac disease, but weight-bearing and resistance exercise are important adjuncts because untreated patients are prone to low bone mineral density and osteoporosis.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gluten (wheat, barley, rye) is the essential and sufficient trigger; disease frequency tracks regional wheat intake, and a strict lifelong gluten-free diet is the only effective treatment.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causal role, though fatigue and disturbed sleep are common with active disease and untreated anaemia and usually improve on a gluten-free diet.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Epidemiological studies suggest a weak inverse association between smoking and celiac disease; smoking is not protective and cessation is advised for general and bone health.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itself is not causal, but barley-based beers and malt beverages contain gluten and must be avoided; wine and distilled spirits are gluten-free.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Anxiety, depression and “brain fog” are more common in celiac disease through gut-brain and nutritional pathways and via the burden of a restrictive diet; the relationship is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water intake and celiac disease.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celiac disease.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hygiene hypothesis and early-life gastrointestinal infections and microbiome composition may modulate susceptibility, but evidence is indirect.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Onset is sometimes precipitated by gastrointestinal infection, pregnancy, surgery or severe stress, and by reintroduction of gluten after a period of avoidance.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gluten intake</w:t>
            </w:r>
          </w:p>
        </w:tc>
        <w:tc>
          <w:tcPr>
            <w:tcW w:type="dxa" w:w="1655"/>
            <w:vAlign w:val="top"/>
          </w:tcPr>
          <w:p>
            <w:pPr>
              <w:spacing w:after="40" w:before="0" w:line="259" w:lineRule="auto"/>
            </w:pPr>
            <w:r>
              <w:rPr>
                <w:rFonts w:ascii="Calibri" w:hAnsi="Calibri"/>
                <w:b w:val="0"/>
                <w:i w:val="0"/>
                <w:color w:val="212121"/>
                <w:sz w:val="19"/>
              </w:rPr>
              <w:t>All diagnosed patients</w:t>
            </w:r>
          </w:p>
        </w:tc>
        <w:tc>
          <w:tcPr>
            <w:tcW w:type="dxa" w:w="1512"/>
            <w:vAlign w:val="top"/>
          </w:tcPr>
          <w:p>
            <w:pPr>
              <w:spacing w:after="40" w:before="0" w:line="259" w:lineRule="auto"/>
            </w:pPr>
            <w:r>
              <w:rPr>
                <w:rFonts w:ascii="Calibri" w:hAnsi="Calibri"/>
                <w:b w:val="0"/>
                <w:i w:val="0"/>
                <w:color w:val="212121"/>
                <w:sz w:val="19"/>
              </w:rPr>
              <w:t>0 g/day (strict gluten-free diet)</w:t>
            </w:r>
          </w:p>
        </w:tc>
        <w:tc>
          <w:tcPr>
            <w:tcW w:type="dxa" w:w="1512"/>
            <w:vAlign w:val="top"/>
          </w:tcPr>
          <w:p>
            <w:pPr>
              <w:spacing w:after="40" w:before="0" w:line="259" w:lineRule="auto"/>
            </w:pPr>
            <w:r>
              <w:rPr>
                <w:rFonts w:ascii="Calibri" w:hAnsi="Calibri"/>
                <w:b w:val="0"/>
                <w:i w:val="0"/>
                <w:color w:val="212121"/>
                <w:sz w:val="19"/>
              </w:rPr>
              <w:t>Any wheat, barley or rye</w:t>
            </w:r>
          </w:p>
        </w:tc>
        <w:tc>
          <w:tcPr>
            <w:tcW w:type="dxa" w:w="1468"/>
            <w:vAlign w:val="top"/>
          </w:tcPr>
          <w:p>
            <w:pPr>
              <w:spacing w:after="40" w:before="0" w:line="259" w:lineRule="auto"/>
            </w:pPr>
            <w:r>
              <w:rPr>
                <w:rFonts w:ascii="Calibri" w:hAnsi="Calibri"/>
                <w:b w:val="0"/>
                <w:i w:val="0"/>
                <w:color w:val="212121"/>
                <w:sz w:val="19"/>
              </w:rPr>
              <w:t>Complete gluten elimination is the only treatment and allows mucosal healing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wheat consumption (regional)</w:t>
            </w:r>
          </w:p>
        </w:tc>
        <w:tc>
          <w:tcPr>
            <w:tcW w:type="dxa" w:w="1655"/>
            <w:vAlign w:val="top"/>
          </w:tcPr>
          <w:p>
            <w:pPr>
              <w:spacing w:after="40" w:before="0" w:line="259" w:lineRule="auto"/>
            </w:pPr>
            <w:r>
              <w:rPr>
                <w:rFonts w:ascii="Calibri" w:hAnsi="Calibri"/>
                <w:b w:val="0"/>
                <w:i w:val="0"/>
                <w:color w:val="212121"/>
                <w:sz w:val="19"/>
              </w:rPr>
              <w:t>North vs south Indians</w:t>
            </w:r>
          </w:p>
        </w:tc>
        <w:tc>
          <w:tcPr>
            <w:tcW w:type="dxa" w:w="1512"/>
            <w:vAlign w:val="top"/>
          </w:tcPr>
          <w:p>
            <w:pPr>
              <w:spacing w:after="40" w:before="0" w:line="259" w:lineRule="auto"/>
            </w:pPr>
            <w:r>
              <w:rPr>
                <w:rFonts w:ascii="Calibri" w:hAnsi="Calibri"/>
                <w:b w:val="0"/>
                <w:i w:val="0"/>
                <w:color w:val="212121"/>
                <w:sz w:val="19"/>
              </w:rPr>
              <w:t>Lower wheat load reduces expression</w:t>
            </w:r>
          </w:p>
        </w:tc>
        <w:tc>
          <w:tcPr>
            <w:tcW w:type="dxa" w:w="1512"/>
            <w:vAlign w:val="top"/>
          </w:tcPr>
          <w:p>
            <w:pPr>
              <w:spacing w:after="40" w:before="0" w:line="259" w:lineRule="auto"/>
            </w:pPr>
            <w:r>
              <w:rPr>
                <w:rFonts w:ascii="Calibri" w:hAnsi="Calibri"/>
                <w:b w:val="0"/>
                <w:i w:val="0"/>
                <w:color w:val="212121"/>
                <w:sz w:val="19"/>
              </w:rPr>
              <w:t>High sustained wheat intake</w:t>
            </w:r>
          </w:p>
        </w:tc>
        <w:tc>
          <w:tcPr>
            <w:tcW w:type="dxa" w:w="1468"/>
            <w:vAlign w:val="top"/>
          </w:tcPr>
          <w:p>
            <w:pPr>
              <w:spacing w:after="60" w:line="259" w:lineRule="auto"/>
            </w:pPr>
            <w:r>
              <w:rPr>
                <w:rFonts w:ascii="Calibri" w:hAnsi="Calibri"/>
                <w:b w:val="0"/>
                <w:i w:val="0"/>
                <w:color w:val="212121"/>
                <w:sz w:val="19"/>
              </w:rPr>
              <w:t>North India ≈455 g/day vs 25–37 g/day in the south, tracking prevalence</w:t>
            </w:r>
          </w:p>
          <w:p>
            <w:pPr>
              <w:spacing w:after="40" w:line="252" w:lineRule="auto"/>
            </w:pPr>
            <w:hyperlink r:id="rId12">
              <w:r>
                <w:rPr>
                  <w:rFonts w:ascii="Calibri" w:hAnsi="Calibri" w:cs="Calibri"/>
                  <w:sz w:val="18"/>
                  <w:color w:val="1155CC"/>
                  <w:u w:val="single"/>
                </w:rPr>
                <w:t xml:space="preserve">https://pubmed.ncbi.nlm.nih.gov/26729543/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anti-tTG IgA (monitoring)</w:t>
            </w:r>
          </w:p>
        </w:tc>
        <w:tc>
          <w:tcPr>
            <w:tcW w:type="dxa" w:w="1655"/>
            <w:vAlign w:val="top"/>
          </w:tcPr>
          <w:p>
            <w:pPr>
              <w:spacing w:after="40" w:before="0" w:line="259" w:lineRule="auto"/>
            </w:pPr>
            <w:r>
              <w:rPr>
                <w:rFonts w:ascii="Calibri" w:hAnsi="Calibri"/>
                <w:b w:val="0"/>
                <w:i w:val="0"/>
                <w:color w:val="212121"/>
                <w:sz w:val="19"/>
              </w:rPr>
              <w:t>Patients on gluten-free diet</w:t>
            </w:r>
          </w:p>
        </w:tc>
        <w:tc>
          <w:tcPr>
            <w:tcW w:type="dxa" w:w="1512"/>
            <w:vAlign w:val="top"/>
          </w:tcPr>
          <w:p>
            <w:pPr>
              <w:spacing w:after="40" w:before="0" w:line="259" w:lineRule="auto"/>
            </w:pPr>
            <w:r>
              <w:rPr>
                <w:rFonts w:ascii="Calibri" w:hAnsi="Calibri"/>
                <w:b w:val="0"/>
                <w:i w:val="0"/>
                <w:color w:val="212121"/>
                <w:sz w:val="19"/>
              </w:rPr>
              <w:t>Negative / normalising titre</w:t>
            </w:r>
          </w:p>
        </w:tc>
        <w:tc>
          <w:tcPr>
            <w:tcW w:type="dxa" w:w="1512"/>
            <w:vAlign w:val="top"/>
          </w:tcPr>
          <w:p>
            <w:pPr>
              <w:spacing w:after="40" w:before="0" w:line="259" w:lineRule="auto"/>
            </w:pPr>
            <w:r>
              <w:rPr>
                <w:rFonts w:ascii="Calibri" w:hAnsi="Calibri"/>
                <w:b w:val="0"/>
                <w:i w:val="0"/>
                <w:color w:val="212121"/>
                <w:sz w:val="19"/>
              </w:rPr>
              <w:t>Persistently elevated titre</w:t>
            </w:r>
          </w:p>
        </w:tc>
        <w:tc>
          <w:tcPr>
            <w:tcW w:type="dxa" w:w="1468"/>
            <w:vAlign w:val="top"/>
          </w:tcPr>
          <w:p>
            <w:pPr>
              <w:spacing w:after="40" w:before="0" w:line="259" w:lineRule="auto"/>
            </w:pPr>
            <w:r>
              <w:rPr>
                <w:rFonts w:ascii="Calibri" w:hAnsi="Calibri"/>
                <w:b w:val="0"/>
                <w:i w:val="0"/>
                <w:color w:val="212121"/>
                <w:sz w:val="19"/>
              </w:rPr>
              <w:t>A sensitive marker of ongoing gluten exposure and dietary non-adherence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&amp; children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kg/m² (malabsorption)</w:t>
            </w:r>
          </w:p>
        </w:tc>
        <w:tc>
          <w:tcPr>
            <w:tcW w:type="dxa" w:w="1468"/>
            <w:vAlign w:val="top"/>
          </w:tcPr>
          <w:p>
            <w:pPr>
              <w:spacing w:after="40" w:before="0" w:line="259" w:lineRule="auto"/>
            </w:pPr>
            <w:r>
              <w:rPr>
                <w:rFonts w:ascii="Calibri" w:hAnsi="Calibri"/>
                <w:b w:val="0"/>
                <w:i w:val="0"/>
                <w:color w:val="212121"/>
                <w:sz w:val="19"/>
              </w:rPr>
              <w:t>Low BMI reflects malabsorption; note non-classical disease can occur at normal/high BMI</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Bone mineral density (DEXA T-score)</w:t>
            </w:r>
          </w:p>
        </w:tc>
        <w:tc>
          <w:tcPr>
            <w:tcW w:type="dxa" w:w="1655"/>
            <w:vAlign w:val="top"/>
          </w:tcPr>
          <w:p>
            <w:pPr>
              <w:spacing w:after="40" w:before="0" w:line="259" w:lineRule="auto"/>
            </w:pPr>
            <w:r>
              <w:rPr>
                <w:rFonts w:ascii="Calibri" w:hAnsi="Calibri"/>
                <w:b w:val="0"/>
                <w:i w:val="0"/>
                <w:color w:val="212121"/>
                <w:sz w:val="19"/>
              </w:rPr>
              <w:t>Adults with celiac disease</w:t>
            </w:r>
          </w:p>
        </w:tc>
        <w:tc>
          <w:tcPr>
            <w:tcW w:type="dxa" w:w="1512"/>
            <w:vAlign w:val="top"/>
          </w:tcPr>
          <w:p>
            <w:pPr>
              <w:spacing w:after="40" w:before="0" w:line="259" w:lineRule="auto"/>
            </w:pPr>
            <w:r>
              <w:rPr>
                <w:rFonts w:ascii="Calibri" w:hAnsi="Calibri"/>
                <w:b w:val="0"/>
                <w:i w:val="0"/>
                <w:color w:val="212121"/>
                <w:sz w:val="19"/>
              </w:rPr>
              <w:t>&gt; −1.0</w:t>
            </w:r>
          </w:p>
        </w:tc>
        <w:tc>
          <w:tcPr>
            <w:tcW w:type="dxa" w:w="1512"/>
            <w:vAlign w:val="top"/>
          </w:tcPr>
          <w:p>
            <w:pPr>
              <w:spacing w:after="40" w:before="0" w:line="259" w:lineRule="auto"/>
            </w:pPr>
            <w:r>
              <w:rPr>
                <w:rFonts w:ascii="Calibri" w:hAnsi="Calibri"/>
                <w:b w:val="0"/>
                <w:i w:val="0"/>
                <w:color w:val="212121"/>
                <w:sz w:val="19"/>
              </w:rPr>
              <w:t>≤ −2.5 (osteoporosis)</w:t>
            </w:r>
          </w:p>
        </w:tc>
        <w:tc>
          <w:tcPr>
            <w:tcW w:type="dxa" w:w="1468"/>
            <w:vAlign w:val="top"/>
          </w:tcPr>
          <w:p>
            <w:pPr>
              <w:spacing w:after="40" w:before="0" w:line="259" w:lineRule="auto"/>
            </w:pPr>
            <w:r>
              <w:rPr>
                <w:rFonts w:ascii="Calibri" w:hAnsi="Calibri"/>
                <w:b w:val="0"/>
                <w:i w:val="0"/>
                <w:color w:val="212121"/>
                <w:sz w:val="19"/>
              </w:rPr>
              <w:t>Calcium/vitamin-D malabsorption predisposes to osteopenia and fragility fractures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 13, F ≥ 12 g/dL</w:t>
            </w:r>
          </w:p>
        </w:tc>
        <w:tc>
          <w:tcPr>
            <w:tcW w:type="dxa" w:w="1512"/>
            <w:vAlign w:val="top"/>
          </w:tcPr>
          <w:p>
            <w:pPr>
              <w:spacing w:after="40" w:before="0" w:line="259" w:lineRule="auto"/>
            </w:pPr>
            <w:r>
              <w:rPr>
                <w:rFonts w:ascii="Calibri" w:hAnsi="Calibri"/>
                <w:b w:val="0"/>
                <w:i w:val="0"/>
                <w:color w:val="212121"/>
                <w:sz w:val="19"/>
              </w:rPr>
              <w:t>Below age/sex threshold</w:t>
            </w:r>
          </w:p>
        </w:tc>
        <w:tc>
          <w:tcPr>
            <w:tcW w:type="dxa" w:w="1468"/>
            <w:vAlign w:val="top"/>
          </w:tcPr>
          <w:p>
            <w:pPr>
              <w:spacing w:after="40" w:before="0" w:line="259" w:lineRule="auto"/>
            </w:pPr>
            <w:r>
              <w:rPr>
                <w:rFonts w:ascii="Calibri" w:hAnsi="Calibri"/>
                <w:b w:val="0"/>
                <w:i w:val="0"/>
                <w:color w:val="212121"/>
                <w:sz w:val="19"/>
              </w:rPr>
              <w:t>Iron-deficiency anaemia is the commonest extraintestinal sign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w:t>
            </w:r>
          </w:p>
        </w:tc>
        <w:tc>
          <w:tcPr>
            <w:tcW w:type="dxa" w:w="1655"/>
            <w:vAlign w:val="top"/>
          </w:tcPr>
          <w:p>
            <w:pPr>
              <w:spacing w:after="40" w:before="0" w:line="259" w:lineRule="auto"/>
            </w:pPr>
            <w:r>
              <w:rPr>
                <w:rFonts w:ascii="Calibri" w:hAnsi="Calibri"/>
                <w:b w:val="0"/>
                <w:i w:val="0"/>
                <w:color w:val="212121"/>
                <w:sz w:val="19"/>
              </w:rPr>
              <w:t>Adults with anaemia</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15–30 ng/mL</w:t>
            </w:r>
          </w:p>
        </w:tc>
        <w:tc>
          <w:tcPr>
            <w:tcW w:type="dxa" w:w="1468"/>
            <w:vAlign w:val="top"/>
          </w:tcPr>
          <w:p>
            <w:pPr>
              <w:spacing w:after="40" w:before="0" w:line="259" w:lineRule="auto"/>
            </w:pPr>
            <w:r>
              <w:rPr>
                <w:rFonts w:ascii="Calibri" w:hAnsi="Calibri"/>
                <w:b w:val="0"/>
                <w:i w:val="0"/>
                <w:color w:val="212121"/>
                <w:sz w:val="19"/>
              </w:rPr>
              <w:t>Low ferritin from impaired duodenal iron absorption; often refractory to oral iron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40" w:before="0" w:line="259" w:lineRule="auto"/>
            </w:pPr>
            <w:r>
              <w:rPr>
                <w:rFonts w:ascii="Calibri" w:hAnsi="Calibri"/>
                <w:b w:val="0"/>
                <w:i w:val="0"/>
                <w:color w:val="212121"/>
                <w:sz w:val="19"/>
              </w:rPr>
              <w:t>Fat-soluble vitamin malabsorption; correct alongside calcium for bone health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corrected calcium</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8.5–10.5 mg/dL</w:t>
            </w:r>
          </w:p>
        </w:tc>
        <w:tc>
          <w:tcPr>
            <w:tcW w:type="dxa" w:w="1512"/>
            <w:vAlign w:val="top"/>
          </w:tcPr>
          <w:p>
            <w:pPr>
              <w:spacing w:after="40" w:before="0" w:line="259" w:lineRule="auto"/>
            </w:pPr>
            <w:r>
              <w:rPr>
                <w:rFonts w:ascii="Calibri" w:hAnsi="Calibri"/>
                <w:b w:val="0"/>
                <w:i w:val="0"/>
                <w:color w:val="212121"/>
                <w:sz w:val="19"/>
              </w:rPr>
              <w:t>&lt; 8.5 mg/dL</w:t>
            </w:r>
          </w:p>
        </w:tc>
        <w:tc>
          <w:tcPr>
            <w:tcW w:type="dxa" w:w="1468"/>
            <w:vAlign w:val="top"/>
          </w:tcPr>
          <w:p>
            <w:pPr>
              <w:spacing w:after="40" w:before="0" w:line="259" w:lineRule="auto"/>
            </w:pPr>
            <w:r>
              <w:rPr>
                <w:rFonts w:ascii="Calibri" w:hAnsi="Calibri"/>
                <w:b w:val="0"/>
                <w:i w:val="0"/>
                <w:color w:val="212121"/>
                <w:sz w:val="19"/>
              </w:rPr>
              <w:t>Hypocalcaemia may cause tetany; reflects vitamin-D and calcium malabsorption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Gluten-containing beer / malt drinks</w:t>
            </w:r>
          </w:p>
        </w:tc>
        <w:tc>
          <w:tcPr>
            <w:tcW w:type="dxa" w:w="1655"/>
            <w:vAlign w:val="top"/>
          </w:tcPr>
          <w:p>
            <w:pPr>
              <w:spacing w:after="40" w:before="0" w:line="259" w:lineRule="auto"/>
            </w:pPr>
            <w:r>
              <w:rPr>
                <w:rFonts w:ascii="Calibri" w:hAnsi="Calibri"/>
                <w:b w:val="0"/>
                <w:i w:val="0"/>
                <w:color w:val="212121"/>
                <w:sz w:val="19"/>
              </w:rPr>
              <w:t>Diagnosed patients</w:t>
            </w:r>
          </w:p>
        </w:tc>
        <w:tc>
          <w:tcPr>
            <w:tcW w:type="dxa" w:w="1512"/>
            <w:vAlign w:val="top"/>
          </w:tcPr>
          <w:p>
            <w:pPr>
              <w:spacing w:after="40" w:before="0" w:line="259" w:lineRule="auto"/>
            </w:pPr>
            <w:r>
              <w:rPr>
                <w:rFonts w:ascii="Calibri" w:hAnsi="Calibri"/>
                <w:b w:val="0"/>
                <w:i w:val="0"/>
                <w:color w:val="212121"/>
                <w:sz w:val="19"/>
              </w:rPr>
              <w:t>Avoid entirely</w:t>
            </w:r>
          </w:p>
        </w:tc>
        <w:tc>
          <w:tcPr>
            <w:tcW w:type="dxa" w:w="1512"/>
            <w:vAlign w:val="top"/>
          </w:tcPr>
          <w:p>
            <w:pPr>
              <w:spacing w:after="40" w:before="0" w:line="259" w:lineRule="auto"/>
            </w:pPr>
            <w:r>
              <w:rPr>
                <w:rFonts w:ascii="Calibri" w:hAnsi="Calibri"/>
                <w:b w:val="0"/>
                <w:i w:val="0"/>
                <w:color w:val="212121"/>
                <w:sz w:val="19"/>
              </w:rPr>
              <w:t>Any barley beer or malt beverage</w:t>
            </w:r>
          </w:p>
        </w:tc>
        <w:tc>
          <w:tcPr>
            <w:tcW w:type="dxa" w:w="1468"/>
            <w:vAlign w:val="top"/>
          </w:tcPr>
          <w:p>
            <w:pPr>
              <w:spacing w:after="40" w:before="0" w:line="259" w:lineRule="auto"/>
            </w:pPr>
            <w:r>
              <w:rPr>
                <w:rFonts w:ascii="Calibri" w:hAnsi="Calibri"/>
                <w:b w:val="0"/>
                <w:i w:val="0"/>
                <w:color w:val="212121"/>
                <w:sz w:val="19"/>
              </w:rPr>
              <w:t>Choose gluten-free beer, wine or distilled spirits in moderation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IgA anti-tissue transglutaminase (anti-tTG IgA)</w:t>
            </w:r>
          </w:p>
        </w:tc>
        <w:tc>
          <w:tcPr>
            <w:tcW w:type="dxa" w:w="892"/>
            <w:vAlign w:val="top"/>
          </w:tcPr>
          <w:p>
            <w:pPr>
              <w:spacing w:after="40" w:before="0" w:line="259" w:lineRule="auto"/>
            </w:pPr>
            <w:r>
              <w:rPr>
                <w:rFonts w:ascii="Calibri" w:hAnsi="Calibri"/>
                <w:b w:val="0"/>
                <w:i w:val="0"/>
                <w:color w:val="212121"/>
                <w:sz w:val="16"/>
              </w:rPr>
              <w:t>Serologic antibody test</w:t>
            </w:r>
          </w:p>
        </w:tc>
        <w:tc>
          <w:tcPr>
            <w:tcW w:type="dxa" w:w="950"/>
            <w:vAlign w:val="top"/>
          </w:tcPr>
          <w:p>
            <w:pPr>
              <w:spacing w:after="40" w:before="0" w:line="259" w:lineRule="auto"/>
            </w:pPr>
            <w:r>
              <w:rPr>
                <w:rFonts w:ascii="Calibri" w:hAnsi="Calibri"/>
                <w:b w:val="0"/>
                <w:i w:val="0"/>
                <w:color w:val="212121"/>
                <w:sz w:val="16"/>
              </w:rPr>
              <w:t>Below laboratory upper limit</w:t>
            </w:r>
          </w:p>
        </w:tc>
        <w:tc>
          <w:tcPr>
            <w:tcW w:type="dxa" w:w="950"/>
            <w:vAlign w:val="top"/>
          </w:tcPr>
          <w:p>
            <w:pPr>
              <w:spacing w:after="40" w:before="0" w:line="259" w:lineRule="auto"/>
            </w:pPr>
            <w:r>
              <w:rPr>
                <w:rFonts w:ascii="Calibri" w:hAnsi="Calibri"/>
                <w:b w:val="0"/>
                <w:i w:val="0"/>
                <w:color w:val="212121"/>
                <w:sz w:val="16"/>
              </w:rPr>
              <w:t>Elevated (positive)</w:t>
            </w:r>
          </w:p>
        </w:tc>
        <w:tc>
          <w:tcPr>
            <w:tcW w:type="dxa" w:w="1036"/>
            <w:vAlign w:val="top"/>
          </w:tcPr>
          <w:p>
            <w:pPr>
              <w:spacing w:after="40" w:before="0" w:line="259" w:lineRule="auto"/>
            </w:pPr>
            <w:r>
              <w:rPr>
                <w:rFonts w:ascii="Calibri" w:hAnsi="Calibri"/>
                <w:b w:val="0"/>
                <w:i w:val="0"/>
                <w:color w:val="212121"/>
                <w:sz w:val="16"/>
              </w:rPr>
              <w:t>Most sensitive and specific first-line screen; must be done on a gluten-containing diet</w:t>
            </w:r>
          </w:p>
        </w:tc>
        <w:tc>
          <w:tcPr>
            <w:tcW w:type="dxa" w:w="1036"/>
            <w:vAlign w:val="top"/>
          </w:tcPr>
          <w:p>
            <w:pPr>
              <w:spacing w:after="40" w:before="0" w:line="259" w:lineRule="auto"/>
            </w:pPr>
            <w:r>
              <w:rPr>
                <w:rFonts w:ascii="Calibri" w:hAnsi="Calibri"/>
                <w:b w:val="0"/>
                <w:i w:val="0"/>
                <w:color w:val="212121"/>
                <w:sz w:val="16"/>
              </w:rPr>
              <w:t>Symptomatic patients, high-risk groups, first-degree relatives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 (first-line)</w:t>
            </w:r>
          </w:p>
        </w:tc>
        <w:tc>
          <w:tcPr>
            <w:tcW w:type="dxa" w:w="720"/>
            <w:vAlign w:val="top"/>
          </w:tcPr>
          <w:p>
            <w:pPr>
              <w:spacing w:after="40" w:before="0" w:line="259" w:lineRule="auto"/>
            </w:pPr>
            <w:r>
              <w:rPr>
                <w:rFonts w:ascii="Calibri" w:hAnsi="Calibri"/>
                <w:b w:val="0"/>
                <w:i w:val="0"/>
                <w:color w:val="212121"/>
                <w:sz w:val="16"/>
              </w:rPr>
              <w:t>Interpret alongside total IgA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Total serum IgA</w:t>
            </w:r>
          </w:p>
        </w:tc>
        <w:tc>
          <w:tcPr>
            <w:tcW w:type="dxa" w:w="892"/>
            <w:vAlign w:val="top"/>
          </w:tcPr>
          <w:p>
            <w:pPr>
              <w:spacing w:after="40" w:before="0" w:line="259" w:lineRule="auto"/>
            </w:pPr>
            <w:r>
              <w:rPr>
                <w:rFonts w:ascii="Calibri" w:hAnsi="Calibri"/>
                <w:b w:val="0"/>
                <w:i w:val="0"/>
                <w:color w:val="212121"/>
                <w:sz w:val="16"/>
              </w:rPr>
              <w:t>Immunoglobulin assay</w:t>
            </w:r>
          </w:p>
        </w:tc>
        <w:tc>
          <w:tcPr>
            <w:tcW w:type="dxa" w:w="950"/>
            <w:vAlign w:val="top"/>
          </w:tcPr>
          <w:p>
            <w:pPr>
              <w:spacing w:after="40" w:before="0" w:line="259" w:lineRule="auto"/>
            </w:pPr>
            <w:r>
              <w:rPr>
                <w:rFonts w:ascii="Calibri" w:hAnsi="Calibri"/>
                <w:b w:val="0"/>
                <w:i w:val="0"/>
                <w:color w:val="212121"/>
                <w:sz w:val="16"/>
              </w:rPr>
              <w:t>Age-appropriate range</w:t>
            </w:r>
          </w:p>
        </w:tc>
        <w:tc>
          <w:tcPr>
            <w:tcW w:type="dxa" w:w="950"/>
            <w:vAlign w:val="top"/>
          </w:tcPr>
          <w:p>
            <w:pPr>
              <w:spacing w:after="40" w:before="0" w:line="259" w:lineRule="auto"/>
            </w:pPr>
            <w:r>
              <w:rPr>
                <w:rFonts w:ascii="Calibri" w:hAnsi="Calibri"/>
                <w:b w:val="0"/>
                <w:i w:val="0"/>
                <w:color w:val="212121"/>
                <w:sz w:val="16"/>
              </w:rPr>
              <w:t>Low / deficient</w:t>
            </w:r>
          </w:p>
        </w:tc>
        <w:tc>
          <w:tcPr>
            <w:tcW w:type="dxa" w:w="1036"/>
            <w:vAlign w:val="top"/>
          </w:tcPr>
          <w:p>
            <w:pPr>
              <w:spacing w:after="40" w:before="0" w:line="259" w:lineRule="auto"/>
            </w:pPr>
            <w:r>
              <w:rPr>
                <w:rFonts w:ascii="Calibri" w:hAnsi="Calibri"/>
                <w:b w:val="0"/>
                <w:i w:val="0"/>
                <w:color w:val="212121"/>
                <w:sz w:val="16"/>
              </w:rPr>
              <w:t>Detects selective IgA deficiency that would cause false-negative IgA serology</w:t>
            </w:r>
          </w:p>
        </w:tc>
        <w:tc>
          <w:tcPr>
            <w:tcW w:type="dxa" w:w="1036"/>
            <w:vAlign w:val="top"/>
          </w:tcPr>
          <w:p>
            <w:pPr>
              <w:spacing w:after="40" w:before="0" w:line="259" w:lineRule="auto"/>
            </w:pPr>
            <w:r>
              <w:rPr>
                <w:rFonts w:ascii="Calibri" w:hAnsi="Calibri"/>
                <w:b w:val="0"/>
                <w:i w:val="0"/>
                <w:color w:val="212121"/>
                <w:sz w:val="16"/>
              </w:rPr>
              <w:t>All patients screened for celiac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adjunct</w:t>
            </w:r>
          </w:p>
        </w:tc>
        <w:tc>
          <w:tcPr>
            <w:tcW w:type="dxa" w:w="720"/>
            <w:vAlign w:val="top"/>
          </w:tcPr>
          <w:p>
            <w:pPr>
              <w:spacing w:after="40" w:before="0" w:line="259" w:lineRule="auto"/>
            </w:pPr>
            <w:r>
              <w:rPr>
                <w:rFonts w:ascii="Calibri" w:hAnsi="Calibri"/>
                <w:b w:val="0"/>
                <w:i w:val="0"/>
                <w:color w:val="212121"/>
                <w:sz w:val="16"/>
              </w:rPr>
              <w:t>If deficient, use IgG-DGP or IgG-tTG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IgA endomysial antibody (EMA)</w:t>
            </w:r>
          </w:p>
        </w:tc>
        <w:tc>
          <w:tcPr>
            <w:tcW w:type="dxa" w:w="892"/>
            <w:vAlign w:val="top"/>
          </w:tcPr>
          <w:p>
            <w:pPr>
              <w:spacing w:after="40" w:before="0" w:line="259" w:lineRule="auto"/>
            </w:pPr>
            <w:r>
              <w:rPr>
                <w:rFonts w:ascii="Calibri" w:hAnsi="Calibri"/>
                <w:b w:val="0"/>
                <w:i w:val="0"/>
                <w:color w:val="212121"/>
                <w:sz w:val="16"/>
              </w:rPr>
              <w:t>Immunofluorescence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Highly specific confirmatory test, useful for borderline anti-tTG</w:t>
            </w:r>
          </w:p>
        </w:tc>
        <w:tc>
          <w:tcPr>
            <w:tcW w:type="dxa" w:w="1036"/>
            <w:vAlign w:val="top"/>
          </w:tcPr>
          <w:p>
            <w:pPr>
              <w:spacing w:after="40" w:before="0" w:line="259" w:lineRule="auto"/>
            </w:pPr>
            <w:r>
              <w:rPr>
                <w:rFonts w:ascii="Calibri" w:hAnsi="Calibri"/>
                <w:b w:val="0"/>
                <w:i w:val="0"/>
                <w:color w:val="212121"/>
                <w:sz w:val="16"/>
              </w:rPr>
              <w:t>Patients with equivocal or high anti-tTG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Operator-dependent; near 100% specificity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IgG deamidated gliadin peptide / IgG-tTG</w:t>
            </w:r>
          </w:p>
        </w:tc>
        <w:tc>
          <w:tcPr>
            <w:tcW w:type="dxa" w:w="892"/>
            <w:vAlign w:val="top"/>
          </w:tcPr>
          <w:p>
            <w:pPr>
              <w:spacing w:after="40" w:before="0" w:line="259" w:lineRule="auto"/>
            </w:pPr>
            <w:r>
              <w:rPr>
                <w:rFonts w:ascii="Calibri" w:hAnsi="Calibri"/>
                <w:b w:val="0"/>
                <w:i w:val="0"/>
                <w:color w:val="212121"/>
                <w:sz w:val="16"/>
              </w:rPr>
              <w:t>Serologic antibody test</w:t>
            </w:r>
          </w:p>
        </w:tc>
        <w:tc>
          <w:tcPr>
            <w:tcW w:type="dxa" w:w="950"/>
            <w:vAlign w:val="top"/>
          </w:tcPr>
          <w:p>
            <w:pPr>
              <w:spacing w:after="40" w:before="0" w:line="259" w:lineRule="auto"/>
            </w:pPr>
            <w:r>
              <w:rPr>
                <w:rFonts w:ascii="Calibri" w:hAnsi="Calibri"/>
                <w:b w:val="0"/>
                <w:i w:val="0"/>
                <w:color w:val="212121"/>
                <w:sz w:val="16"/>
              </w:rPr>
              <w:t>Below upper limit</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Used when the patient is IgA-deficient</w:t>
            </w:r>
          </w:p>
        </w:tc>
        <w:tc>
          <w:tcPr>
            <w:tcW w:type="dxa" w:w="1036"/>
            <w:vAlign w:val="top"/>
          </w:tcPr>
          <w:p>
            <w:pPr>
              <w:spacing w:after="40" w:before="0" w:line="259" w:lineRule="auto"/>
            </w:pPr>
            <w:r>
              <w:rPr>
                <w:rFonts w:ascii="Calibri" w:hAnsi="Calibri"/>
                <w:b w:val="0"/>
                <w:i w:val="0"/>
                <w:color w:val="212121"/>
                <w:sz w:val="16"/>
              </w:rPr>
              <w:t>IgA-deficient patients, young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Alternative serology</w:t>
            </w:r>
          </w:p>
        </w:tc>
        <w:tc>
          <w:tcPr>
            <w:tcW w:type="dxa" w:w="720"/>
            <w:vAlign w:val="top"/>
          </w:tcPr>
          <w:p>
            <w:pPr>
              <w:spacing w:after="40" w:before="0" w:line="259" w:lineRule="auto"/>
            </w:pPr>
            <w:r>
              <w:rPr>
                <w:rFonts w:ascii="Calibri" w:hAnsi="Calibri"/>
                <w:b w:val="0"/>
                <w:i w:val="0"/>
                <w:color w:val="212121"/>
                <w:sz w:val="16"/>
              </w:rPr>
              <w:t>Preferred when total IgA is low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HLA-DQ2 / HLA-DQ8 genotyping</w:t>
            </w:r>
          </w:p>
        </w:tc>
        <w:tc>
          <w:tcPr>
            <w:tcW w:type="dxa" w:w="892"/>
            <w:vAlign w:val="top"/>
          </w:tcPr>
          <w:p>
            <w:pPr>
              <w:spacing w:after="40" w:before="0" w:line="259" w:lineRule="auto"/>
            </w:pPr>
            <w:r>
              <w:rPr>
                <w:rFonts w:ascii="Calibri" w:hAnsi="Calibri"/>
                <w:b w:val="0"/>
                <w:i w:val="0"/>
                <w:color w:val="212121"/>
                <w:sz w:val="16"/>
              </w:rPr>
              <w:t>HLA typing</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DQ2 and/or DQ8 present</w:t>
            </w:r>
          </w:p>
        </w:tc>
        <w:tc>
          <w:tcPr>
            <w:tcW w:type="dxa" w:w="1036"/>
            <w:vAlign w:val="top"/>
          </w:tcPr>
          <w:p>
            <w:pPr>
              <w:spacing w:after="40" w:before="0" w:line="259" w:lineRule="auto"/>
            </w:pPr>
            <w:r>
              <w:rPr>
                <w:rFonts w:ascii="Calibri" w:hAnsi="Calibri"/>
                <w:b w:val="0"/>
                <w:i w:val="0"/>
                <w:color w:val="212121"/>
                <w:sz w:val="16"/>
              </w:rPr>
              <w:t>High negative predictive value; absence virtually excludes celiac disease</w:t>
            </w:r>
          </w:p>
        </w:tc>
        <w:tc>
          <w:tcPr>
            <w:tcW w:type="dxa" w:w="1036"/>
            <w:vAlign w:val="top"/>
          </w:tcPr>
          <w:p>
            <w:pPr>
              <w:spacing w:after="40" w:before="0" w:line="259" w:lineRule="auto"/>
            </w:pPr>
            <w:r>
              <w:rPr>
                <w:rFonts w:ascii="Calibri" w:hAnsi="Calibri"/>
                <w:b w:val="0"/>
                <w:i w:val="0"/>
                <w:color w:val="212121"/>
                <w:sz w:val="16"/>
              </w:rPr>
              <w:t>Equivocal serology/histology, relatives, patients already on gluten-free diet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 test</w:t>
            </w:r>
          </w:p>
        </w:tc>
        <w:tc>
          <w:tcPr>
            <w:tcW w:type="dxa" w:w="720"/>
            <w:vAlign w:val="top"/>
          </w:tcPr>
          <w:p>
            <w:pPr>
              <w:spacing w:after="40" w:before="0" w:line="259" w:lineRule="auto"/>
            </w:pPr>
            <w:r>
              <w:rPr>
                <w:rFonts w:ascii="Calibri" w:hAnsi="Calibri"/>
                <w:b w:val="0"/>
                <w:i w:val="0"/>
                <w:color w:val="212121"/>
                <w:sz w:val="16"/>
              </w:rPr>
              <w:t>Carriage is common and not diagnostic by itself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Duodenal biopsy (modified Marsh–Oberhüber grade)</w:t>
            </w:r>
          </w:p>
        </w:tc>
        <w:tc>
          <w:tcPr>
            <w:tcW w:type="dxa" w:w="892"/>
            <w:vAlign w:val="top"/>
          </w:tcPr>
          <w:p>
            <w:pPr>
              <w:spacing w:after="40" w:before="0" w:line="259" w:lineRule="auto"/>
            </w:pPr>
            <w:r>
              <w:rPr>
                <w:rFonts w:ascii="Calibri" w:hAnsi="Calibri"/>
                <w:b w:val="0"/>
                <w:i w:val="0"/>
                <w:color w:val="212121"/>
                <w:sz w:val="16"/>
              </w:rPr>
              <w:t>Upper GI endoscopy with biopsy</w:t>
            </w:r>
          </w:p>
        </w:tc>
        <w:tc>
          <w:tcPr>
            <w:tcW w:type="dxa" w:w="950"/>
            <w:vAlign w:val="top"/>
          </w:tcPr>
          <w:p>
            <w:pPr>
              <w:spacing w:after="40" w:before="0" w:line="259" w:lineRule="auto"/>
            </w:pPr>
            <w:r>
              <w:rPr>
                <w:rFonts w:ascii="Calibri" w:hAnsi="Calibri"/>
                <w:b w:val="0"/>
                <w:i w:val="0"/>
                <w:color w:val="212121"/>
                <w:sz w:val="16"/>
              </w:rPr>
              <w:t>Marsh 0 (normal villi)</w:t>
            </w:r>
          </w:p>
        </w:tc>
        <w:tc>
          <w:tcPr>
            <w:tcW w:type="dxa" w:w="950"/>
            <w:vAlign w:val="top"/>
          </w:tcPr>
          <w:p>
            <w:pPr>
              <w:spacing w:after="40" w:before="0" w:line="259" w:lineRule="auto"/>
            </w:pPr>
            <w:r>
              <w:rPr>
                <w:rFonts w:ascii="Calibri" w:hAnsi="Calibri"/>
                <w:b w:val="0"/>
                <w:i w:val="0"/>
                <w:color w:val="212121"/>
                <w:sz w:val="16"/>
              </w:rPr>
              <w:t>Marsh 1–3 (lymphocytosis → villous atrophy)</w:t>
            </w:r>
          </w:p>
        </w:tc>
        <w:tc>
          <w:tcPr>
            <w:tcW w:type="dxa" w:w="1036"/>
            <w:vAlign w:val="top"/>
          </w:tcPr>
          <w:p>
            <w:pPr>
              <w:spacing w:after="40" w:before="0" w:line="259" w:lineRule="auto"/>
            </w:pPr>
            <w:r>
              <w:rPr>
                <w:rFonts w:ascii="Calibri" w:hAnsi="Calibri"/>
                <w:b w:val="0"/>
                <w:i w:val="0"/>
                <w:color w:val="212121"/>
                <w:sz w:val="16"/>
              </w:rPr>
              <w:t>Confirms enteropathy; gold standard in adults</w:t>
            </w:r>
          </w:p>
        </w:tc>
        <w:tc>
          <w:tcPr>
            <w:tcW w:type="dxa" w:w="1036"/>
            <w:vAlign w:val="top"/>
          </w:tcPr>
          <w:p>
            <w:pPr>
              <w:spacing w:after="40" w:before="0" w:line="259" w:lineRule="auto"/>
            </w:pPr>
            <w:r>
              <w:rPr>
                <w:rFonts w:ascii="Calibri" w:hAnsi="Calibri"/>
                <w:b w:val="0"/>
                <w:i w:val="0"/>
                <w:color w:val="212121"/>
                <w:sz w:val="16"/>
              </w:rPr>
              <w:t>Seropositive adults, atypical/refractory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≥4 distal + 1–2 bulb samples on a gluten-containing diet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Full blood count, ferritin, folate, vitamin B12</w:t>
            </w:r>
          </w:p>
        </w:tc>
        <w:tc>
          <w:tcPr>
            <w:tcW w:type="dxa" w:w="892"/>
            <w:vAlign w:val="top"/>
          </w:tcPr>
          <w:p>
            <w:pPr>
              <w:spacing w:after="40" w:before="0" w:line="259" w:lineRule="auto"/>
            </w:pPr>
            <w:r>
              <w:rPr>
                <w:rFonts w:ascii="Calibri" w:hAnsi="Calibri"/>
                <w:b w:val="0"/>
                <w:i w:val="0"/>
                <w:color w:val="212121"/>
                <w:sz w:val="16"/>
              </w:rPr>
              <w:t>Blood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Anaemia, low ferritin/folate/B12</w:t>
            </w:r>
          </w:p>
        </w:tc>
        <w:tc>
          <w:tcPr>
            <w:tcW w:type="dxa" w:w="1036"/>
            <w:vAlign w:val="top"/>
          </w:tcPr>
          <w:p>
            <w:pPr>
              <w:spacing w:after="40" w:before="0" w:line="259" w:lineRule="auto"/>
            </w:pPr>
            <w:r>
              <w:rPr>
                <w:rFonts w:ascii="Calibri" w:hAnsi="Calibri"/>
                <w:b w:val="0"/>
                <w:i w:val="0"/>
                <w:color w:val="212121"/>
                <w:sz w:val="16"/>
              </w:rPr>
              <w:t>Detects malabsorptive anaemia and micronutrient deficiency</w:t>
            </w:r>
          </w:p>
        </w:tc>
        <w:tc>
          <w:tcPr>
            <w:tcW w:type="dxa" w:w="1036"/>
            <w:vAlign w:val="top"/>
          </w:tcPr>
          <w:p>
            <w:pPr>
              <w:spacing w:after="40" w:before="0" w:line="259" w:lineRule="auto"/>
            </w:pPr>
            <w:r>
              <w:rPr>
                <w:rFonts w:ascii="Calibri" w:hAnsi="Calibri"/>
                <w:b w:val="0"/>
                <w:i w:val="0"/>
                <w:color w:val="212121"/>
                <w:sz w:val="16"/>
              </w:rPr>
              <w:t>Patients with anaemia, fatigue, non-classical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Iron-deficiency anaemia may be the only clue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25-OH vitamin D, calcium, albumin, liver enzymes</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Low vitamin D/calcium/albumin; raised transaminases</w:t>
            </w:r>
          </w:p>
        </w:tc>
        <w:tc>
          <w:tcPr>
            <w:tcW w:type="dxa" w:w="1036"/>
            <w:vAlign w:val="top"/>
          </w:tcPr>
          <w:p>
            <w:pPr>
              <w:spacing w:after="40" w:before="0" w:line="259" w:lineRule="auto"/>
            </w:pPr>
            <w:r>
              <w:rPr>
                <w:rFonts w:ascii="Calibri" w:hAnsi="Calibri"/>
                <w:b w:val="0"/>
                <w:i w:val="0"/>
                <w:color w:val="212121"/>
                <w:sz w:val="16"/>
              </w:rPr>
              <w:t>Assesses malabsorption, bone risk and celiac hepatitis</w:t>
            </w:r>
          </w:p>
        </w:tc>
        <w:tc>
          <w:tcPr>
            <w:tcW w:type="dxa" w:w="1036"/>
            <w:vAlign w:val="top"/>
          </w:tcPr>
          <w:p>
            <w:pPr>
              <w:spacing w:after="40" w:before="0" w:line="259" w:lineRule="auto"/>
            </w:pPr>
            <w:r>
              <w:rPr>
                <w:rFonts w:ascii="Calibri" w:hAnsi="Calibri"/>
                <w:b w:val="0"/>
                <w:i w:val="0"/>
                <w:color w:val="212121"/>
                <w:sz w:val="16"/>
              </w:rPr>
              <w:t>Newly diagnosed patients, those with bone or liver findings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Baseline DEXA advised in adults for osteoporosis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Chronic diarrhoea, bloating, weight loss, fatigue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persistent</w:t>
            </w:r>
          </w:p>
        </w:tc>
        <w:tc>
          <w:tcPr>
            <w:tcW w:type="dxa" w:w="1036"/>
            <w:vAlign w:val="top"/>
          </w:tcPr>
          <w:p>
            <w:pPr>
              <w:spacing w:after="40" w:before="0" w:line="259" w:lineRule="auto"/>
            </w:pPr>
            <w:r>
              <w:rPr>
                <w:rFonts w:ascii="Calibri" w:hAnsi="Calibri"/>
                <w:b w:val="0"/>
                <w:i w:val="0"/>
                <w:color w:val="212121"/>
                <w:sz w:val="16"/>
              </w:rPr>
              <w:t>Cardinal malabsorptive symptoms prompting testing</w:t>
            </w:r>
          </w:p>
        </w:tc>
        <w:tc>
          <w:tcPr>
            <w:tcW w:type="dxa" w:w="1036"/>
            <w:vAlign w:val="top"/>
          </w:tcPr>
          <w:p>
            <w:pPr>
              <w:spacing w:after="40" w:before="0" w:line="259" w:lineRule="auto"/>
            </w:pPr>
            <w:r>
              <w:rPr>
                <w:rFonts w:ascii="Calibri" w:hAnsi="Calibri"/>
                <w:b w:val="0"/>
                <w:i w:val="0"/>
                <w:color w:val="212121"/>
                <w:sz w:val="16"/>
              </w:rPr>
              <w:t>Patients with chronic GI symptoms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May be minimal or absent in non-classical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&amp; symptom relationship</w:t>
            </w:r>
          </w:p>
        </w:tc>
        <w:tc>
          <w:tcPr>
            <w:tcW w:type="dxa" w:w="979"/>
            <w:vAlign w:val="top"/>
          </w:tcPr>
          <w:p>
            <w:pPr>
              <w:spacing w:after="40" w:before="0" w:line="259" w:lineRule="auto"/>
            </w:pPr>
            <w:r>
              <w:rPr>
                <w:rFonts w:ascii="Calibri" w:hAnsi="Calibri"/>
                <w:b w:val="0"/>
                <w:i w:val="0"/>
                <w:color w:val="212121"/>
                <w:sz w:val="16"/>
              </w:rPr>
              <w:t>Relation of symptoms to gluten-containing foods</w:t>
            </w:r>
          </w:p>
        </w:tc>
        <w:tc>
          <w:tcPr>
            <w:tcW w:type="dxa" w:w="950"/>
            <w:vAlign w:val="top"/>
          </w:tcPr>
          <w:p>
            <w:pPr>
              <w:spacing w:after="40" w:before="0" w:line="259" w:lineRule="auto"/>
            </w:pPr>
            <w:r>
              <w:rPr>
                <w:rFonts w:ascii="Calibri" w:hAnsi="Calibri"/>
                <w:b w:val="0"/>
                <w:i w:val="0"/>
                <w:color w:val="212121"/>
                <w:sz w:val="16"/>
              </w:rPr>
              <w:t>No relationship</w:t>
            </w:r>
          </w:p>
        </w:tc>
        <w:tc>
          <w:tcPr>
            <w:tcW w:type="dxa" w:w="950"/>
            <w:vAlign w:val="top"/>
          </w:tcPr>
          <w:p>
            <w:pPr>
              <w:spacing w:after="40" w:before="0" w:line="259" w:lineRule="auto"/>
            </w:pPr>
            <w:r>
              <w:rPr>
                <w:rFonts w:ascii="Calibri" w:hAnsi="Calibri"/>
                <w:b w:val="0"/>
                <w:i w:val="0"/>
                <w:color w:val="212121"/>
                <w:sz w:val="16"/>
              </w:rPr>
              <w:t>Symptoms with wheat-based meals</w:t>
            </w:r>
          </w:p>
        </w:tc>
        <w:tc>
          <w:tcPr>
            <w:tcW w:type="dxa" w:w="1036"/>
            <w:vAlign w:val="top"/>
          </w:tcPr>
          <w:p>
            <w:pPr>
              <w:spacing w:after="40" w:before="0" w:line="259" w:lineRule="auto"/>
            </w:pPr>
            <w:r>
              <w:rPr>
                <w:rFonts w:ascii="Calibri" w:hAnsi="Calibri"/>
                <w:b w:val="0"/>
                <w:i w:val="0"/>
                <w:color w:val="212121"/>
                <w:sz w:val="16"/>
              </w:rPr>
              <w:t>Supports gluten as trigger; ensure gluten not already withdrawn before testing</w:t>
            </w:r>
          </w:p>
        </w:tc>
        <w:tc>
          <w:tcPr>
            <w:tcW w:type="dxa" w:w="1036"/>
            <w:vAlign w:val="top"/>
          </w:tcPr>
          <w:p>
            <w:pPr>
              <w:spacing w:after="40" w:before="0" w:line="259" w:lineRule="auto"/>
            </w:pPr>
            <w:r>
              <w:rPr>
                <w:rFonts w:ascii="Calibri" w:hAnsi="Calibri"/>
                <w:b w:val="0"/>
                <w:i w:val="0"/>
                <w:color w:val="212121"/>
                <w:sz w:val="16"/>
              </w:rPr>
              <w:t>Wheat-staple consumers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Do not start a gluten-free diet before diagnosis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 with celiac or autoimmune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affected relative</w:t>
            </w:r>
          </w:p>
        </w:tc>
        <w:tc>
          <w:tcPr>
            <w:tcW w:type="dxa" w:w="1036"/>
            <w:vAlign w:val="top"/>
          </w:tcPr>
          <w:p>
            <w:pPr>
              <w:spacing w:after="40" w:before="0" w:line="259" w:lineRule="auto"/>
            </w:pPr>
            <w:r>
              <w:rPr>
                <w:rFonts w:ascii="Calibri" w:hAnsi="Calibri"/>
                <w:b w:val="0"/>
                <w:i w:val="0"/>
                <w:color w:val="212121"/>
                <w:sz w:val="16"/>
              </w:rPr>
              <w:t>Indicates heritable risk; prompts serologic screening</w:t>
            </w:r>
          </w:p>
        </w:tc>
        <w:tc>
          <w:tcPr>
            <w:tcW w:type="dxa" w:w="1036"/>
            <w:vAlign w:val="top"/>
          </w:tcPr>
          <w:p>
            <w:pPr>
              <w:spacing w:after="40" w:before="0" w:line="259" w:lineRule="auto"/>
            </w:pPr>
            <w:r>
              <w:rPr>
                <w:rFonts w:ascii="Calibri" w:hAnsi="Calibri"/>
                <w:b w:val="0"/>
                <w:i w:val="0"/>
                <w:color w:val="212121"/>
                <w:sz w:val="16"/>
              </w:rPr>
              <w:t>Relatives of celiac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~10–15% risk in first-degree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Associated autoimmune conditions</w:t>
            </w:r>
          </w:p>
        </w:tc>
        <w:tc>
          <w:tcPr>
            <w:tcW w:type="dxa" w:w="979"/>
            <w:vAlign w:val="top"/>
          </w:tcPr>
          <w:p>
            <w:pPr>
              <w:spacing w:after="40" w:before="0" w:line="259" w:lineRule="auto"/>
            </w:pPr>
            <w:r>
              <w:rPr>
                <w:rFonts w:ascii="Calibri" w:hAnsi="Calibri"/>
                <w:b w:val="0"/>
                <w:i w:val="0"/>
                <w:color w:val="212121"/>
                <w:sz w:val="16"/>
              </w:rPr>
              <w:t>Type 1 diabetes, autoimmune thyroid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Shared HLA background raises pre-test probability</w:t>
            </w:r>
          </w:p>
        </w:tc>
        <w:tc>
          <w:tcPr>
            <w:tcW w:type="dxa" w:w="1036"/>
            <w:vAlign w:val="top"/>
          </w:tcPr>
          <w:p>
            <w:pPr>
              <w:spacing w:after="40" w:before="0" w:line="259" w:lineRule="auto"/>
            </w:pPr>
            <w:r>
              <w:rPr>
                <w:rFonts w:ascii="Calibri" w:hAnsi="Calibri"/>
                <w:b w:val="0"/>
                <w:i w:val="0"/>
                <w:color w:val="212121"/>
                <w:sz w:val="16"/>
              </w:rPr>
              <w:t>Diabetics, thyroid-autoimmune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Screen these groups even if asymptomatic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General &amp; nutritional exam</w:t>
            </w:r>
          </w:p>
        </w:tc>
        <w:tc>
          <w:tcPr>
            <w:tcW w:type="dxa" w:w="979"/>
            <w:vAlign w:val="top"/>
          </w:tcPr>
          <w:p>
            <w:pPr>
              <w:spacing w:after="40" w:before="0" w:line="259" w:lineRule="auto"/>
            </w:pPr>
            <w:r>
              <w:rPr>
                <w:rFonts w:ascii="Calibri" w:hAnsi="Calibri"/>
                <w:b w:val="0"/>
                <w:i w:val="0"/>
                <w:color w:val="212121"/>
                <w:sz w:val="16"/>
              </w:rPr>
              <w:t>Pallor, low BMI, muscle wasting, oedema</w:t>
            </w:r>
          </w:p>
        </w:tc>
        <w:tc>
          <w:tcPr>
            <w:tcW w:type="dxa" w:w="950"/>
            <w:vAlign w:val="top"/>
          </w:tcPr>
          <w:p>
            <w:pPr>
              <w:spacing w:after="40" w:before="0" w:line="259" w:lineRule="auto"/>
            </w:pPr>
            <w:r>
              <w:rPr>
                <w:rFonts w:ascii="Calibri" w:hAnsi="Calibri"/>
                <w:b w:val="0"/>
                <w:i w:val="0"/>
                <w:color w:val="212121"/>
                <w:sz w:val="16"/>
              </w:rPr>
              <w:t>Well-nourished</w:t>
            </w:r>
          </w:p>
        </w:tc>
        <w:tc>
          <w:tcPr>
            <w:tcW w:type="dxa" w:w="950"/>
            <w:vAlign w:val="top"/>
          </w:tcPr>
          <w:p>
            <w:pPr>
              <w:spacing w:after="40" w:before="0" w:line="259" w:lineRule="auto"/>
            </w:pPr>
            <w:r>
              <w:rPr>
                <w:rFonts w:ascii="Calibri" w:hAnsi="Calibri"/>
                <w:b w:val="0"/>
                <w:i w:val="0"/>
                <w:color w:val="212121"/>
                <w:sz w:val="16"/>
              </w:rPr>
              <w:t>Pallor, wasting, pedal oedema</w:t>
            </w:r>
          </w:p>
        </w:tc>
        <w:tc>
          <w:tcPr>
            <w:tcW w:type="dxa" w:w="1036"/>
            <w:vAlign w:val="top"/>
          </w:tcPr>
          <w:p>
            <w:pPr>
              <w:spacing w:after="40" w:before="0" w:line="259" w:lineRule="auto"/>
            </w:pPr>
            <w:r>
              <w:rPr>
                <w:rFonts w:ascii="Calibri" w:hAnsi="Calibri"/>
                <w:b w:val="0"/>
                <w:i w:val="0"/>
                <w:color w:val="212121"/>
                <w:sz w:val="16"/>
              </w:rPr>
              <w:t>Signs of anaemia, malnutrition and hypoalbuminaemia</w:t>
            </w:r>
          </w:p>
        </w:tc>
        <w:tc>
          <w:tcPr>
            <w:tcW w:type="dxa" w:w="1036"/>
            <w:vAlign w:val="top"/>
          </w:tcPr>
          <w:p>
            <w:pPr>
              <w:spacing w:after="40" w:before="0" w:line="259" w:lineRule="auto"/>
            </w:pPr>
            <w:r>
              <w:rPr>
                <w:rFonts w:ascii="Calibri" w:hAnsi="Calibri"/>
                <w:b w:val="0"/>
                <w:i w:val="0"/>
                <w:color w:val="212121"/>
                <w:sz w:val="16"/>
              </w:rPr>
              <w:t>Patients with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for glossitis and angular stomatitis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examination</w:t>
            </w:r>
          </w:p>
        </w:tc>
        <w:tc>
          <w:tcPr>
            <w:tcW w:type="dxa" w:w="979"/>
            <w:vAlign w:val="top"/>
          </w:tcPr>
          <w:p>
            <w:pPr>
              <w:spacing w:after="40" w:before="0" w:line="259" w:lineRule="auto"/>
            </w:pPr>
            <w:r>
              <w:rPr>
                <w:rFonts w:ascii="Calibri" w:hAnsi="Calibri"/>
                <w:b w:val="0"/>
                <w:i w:val="0"/>
                <w:color w:val="212121"/>
                <w:sz w:val="16"/>
              </w:rPr>
              <w:t>Dermatitis herpetiformis (grouped vesicles on extensors)</w:t>
            </w:r>
          </w:p>
        </w:tc>
        <w:tc>
          <w:tcPr>
            <w:tcW w:type="dxa" w:w="950"/>
            <w:vAlign w:val="top"/>
          </w:tcPr>
          <w:p>
            <w:pPr>
              <w:spacing w:after="40" w:before="0" w:line="259" w:lineRule="auto"/>
            </w:pPr>
            <w:r>
              <w:rPr>
                <w:rFonts w:ascii="Calibri" w:hAnsi="Calibri"/>
                <w:b w:val="0"/>
                <w:i w:val="0"/>
                <w:color w:val="212121"/>
                <w:sz w:val="16"/>
              </w:rPr>
              <w:t>No rash</w:t>
            </w:r>
          </w:p>
        </w:tc>
        <w:tc>
          <w:tcPr>
            <w:tcW w:type="dxa" w:w="950"/>
            <w:vAlign w:val="top"/>
          </w:tcPr>
          <w:p>
            <w:pPr>
              <w:spacing w:after="40" w:before="0" w:line="259" w:lineRule="auto"/>
            </w:pPr>
            <w:r>
              <w:rPr>
                <w:rFonts w:ascii="Calibri" w:hAnsi="Calibri"/>
                <w:b w:val="0"/>
                <w:i w:val="0"/>
                <w:color w:val="212121"/>
                <w:sz w:val="16"/>
              </w:rPr>
              <w:t>Itchy vesicular rash on elbows/knees/buttocks/scalp</w:t>
            </w:r>
          </w:p>
        </w:tc>
        <w:tc>
          <w:tcPr>
            <w:tcW w:type="dxa" w:w="1036"/>
            <w:vAlign w:val="top"/>
          </w:tcPr>
          <w:p>
            <w:pPr>
              <w:spacing w:after="40" w:before="0" w:line="259" w:lineRule="auto"/>
            </w:pPr>
            <w:r>
              <w:rPr>
                <w:rFonts w:ascii="Calibri" w:hAnsi="Calibri"/>
                <w:b w:val="0"/>
                <w:i w:val="0"/>
                <w:color w:val="212121"/>
                <w:sz w:val="16"/>
              </w:rPr>
              <w:t>Cutaneous manifestation of celiac disease; skin biopsy confirms</w:t>
            </w:r>
          </w:p>
        </w:tc>
        <w:tc>
          <w:tcPr>
            <w:tcW w:type="dxa" w:w="1036"/>
            <w:vAlign w:val="top"/>
          </w:tcPr>
          <w:p>
            <w:pPr>
              <w:spacing w:after="40" w:before="0" w:line="259" w:lineRule="auto"/>
            </w:pPr>
            <w:r>
              <w:rPr>
                <w:rFonts w:ascii="Calibri" w:hAnsi="Calibri"/>
                <w:b w:val="0"/>
                <w:i w:val="0"/>
                <w:color w:val="212121"/>
                <w:sz w:val="16"/>
              </w:rPr>
              <w:t>Patients with chronic itchy blistering rash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clue</w:t>
            </w:r>
          </w:p>
        </w:tc>
        <w:tc>
          <w:tcPr>
            <w:tcW w:type="dxa" w:w="720"/>
            <w:vAlign w:val="top"/>
          </w:tcPr>
          <w:p>
            <w:pPr>
              <w:spacing w:after="40" w:before="0" w:line="259" w:lineRule="auto"/>
            </w:pPr>
            <w:r>
              <w:rPr>
                <w:rFonts w:ascii="Calibri" w:hAnsi="Calibri"/>
                <w:b w:val="0"/>
                <w:i w:val="0"/>
                <w:color w:val="212121"/>
                <w:sz w:val="16"/>
              </w:rPr>
              <w:t>Affects 10–20% of adults with celiac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Growth &amp; pubertal assessment (children)</w:t>
            </w:r>
          </w:p>
        </w:tc>
        <w:tc>
          <w:tcPr>
            <w:tcW w:type="dxa" w:w="979"/>
            <w:vAlign w:val="top"/>
          </w:tcPr>
          <w:p>
            <w:pPr>
              <w:spacing w:after="40" w:before="0" w:line="259" w:lineRule="auto"/>
            </w:pPr>
            <w:r>
              <w:rPr>
                <w:rFonts w:ascii="Calibri" w:hAnsi="Calibri"/>
                <w:b w:val="0"/>
                <w:i w:val="0"/>
                <w:color w:val="212121"/>
                <w:sz w:val="16"/>
              </w:rPr>
              <w:t>Height/weight percentiles, pubertal staging</w:t>
            </w:r>
          </w:p>
        </w:tc>
        <w:tc>
          <w:tcPr>
            <w:tcW w:type="dxa" w:w="950"/>
            <w:vAlign w:val="top"/>
          </w:tcPr>
          <w:p>
            <w:pPr>
              <w:spacing w:after="40" w:before="0" w:line="259" w:lineRule="auto"/>
            </w:pPr>
            <w:r>
              <w:rPr>
                <w:rFonts w:ascii="Calibri" w:hAnsi="Calibri"/>
                <w:b w:val="0"/>
                <w:i w:val="0"/>
                <w:color w:val="212121"/>
                <w:sz w:val="16"/>
              </w:rPr>
              <w:t>Age-appropriate</w:t>
            </w:r>
          </w:p>
        </w:tc>
        <w:tc>
          <w:tcPr>
            <w:tcW w:type="dxa" w:w="950"/>
            <w:vAlign w:val="top"/>
          </w:tcPr>
          <w:p>
            <w:pPr>
              <w:spacing w:after="40" w:before="0" w:line="259" w:lineRule="auto"/>
            </w:pPr>
            <w:r>
              <w:rPr>
                <w:rFonts w:ascii="Calibri" w:hAnsi="Calibri"/>
                <w:b w:val="0"/>
                <w:i w:val="0"/>
                <w:color w:val="212121"/>
                <w:sz w:val="16"/>
              </w:rPr>
              <w:t>Short stature, faltering growth, delayed puberty</w:t>
            </w:r>
          </w:p>
        </w:tc>
        <w:tc>
          <w:tcPr>
            <w:tcW w:type="dxa" w:w="1036"/>
            <w:vAlign w:val="top"/>
          </w:tcPr>
          <w:p>
            <w:pPr>
              <w:spacing w:after="40" w:before="0" w:line="259" w:lineRule="auto"/>
            </w:pPr>
            <w:r>
              <w:rPr>
                <w:rFonts w:ascii="Calibri" w:hAnsi="Calibri"/>
                <w:b w:val="0"/>
                <w:i w:val="0"/>
                <w:color w:val="212121"/>
                <w:sz w:val="16"/>
              </w:rPr>
              <w:t>Reflects chronic malabsorption in paediatric disease</w:t>
            </w:r>
          </w:p>
        </w:tc>
        <w:tc>
          <w:tcPr>
            <w:tcW w:type="dxa" w:w="1036"/>
            <w:vAlign w:val="top"/>
          </w:tcPr>
          <w:p>
            <w:pPr>
              <w:spacing w:after="40" w:before="0" w:line="259" w:lineRule="auto"/>
            </w:pPr>
            <w:r>
              <w:rPr>
                <w:rFonts w:ascii="Calibri" w:hAnsi="Calibri"/>
                <w:b w:val="0"/>
                <w:i w:val="0"/>
                <w:color w:val="212121"/>
                <w:sz w:val="16"/>
              </w:rPr>
              <w:t>Children and adolescents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Plot serial growth; dental enamel defects may be seen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or recurrent diarrhoea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malabsorption and osmotic/secretory effects of the damaged mucosa.</w:t>
            </w:r>
          </w:p>
        </w:tc>
      </w:tr>
      <w:tr>
        <w:trPr>
          <w:cantSplit/>
        </w:trPr>
        <w:tc>
          <w:tcPr>
            <w:tcW w:type="dxa" w:w="2304"/>
            <w:vAlign w:val="top"/>
          </w:tcPr>
          <w:p>
            <w:pPr>
              <w:spacing w:after="40" w:before="0" w:line="259" w:lineRule="auto"/>
            </w:pPr>
            <w:r>
              <w:rPr>
                <w:rFonts w:ascii="Calibri" w:hAnsi="Calibri"/>
                <w:b/>
                <w:i w:val="0"/>
                <w:color w:val="212121"/>
                <w:sz w:val="19"/>
              </w:rPr>
              <w:t>Abdominal bloating &amp; flatulence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Fermentation of malabsorbed nutrients; one of the most frequent complaints.</w:t>
            </w:r>
          </w:p>
        </w:tc>
      </w:tr>
      <w:tr>
        <w:trPr>
          <w:cantSplit/>
        </w:trPr>
        <w:tc>
          <w:tcPr>
            <w:tcW w:type="dxa" w:w="2304"/>
            <w:vAlign w:val="top"/>
          </w:tcPr>
          <w:p>
            <w:pPr>
              <w:spacing w:after="40" w:before="0" w:line="259" w:lineRule="auto"/>
            </w:pPr>
            <w:r>
              <w:rPr>
                <w:rFonts w:ascii="Calibri" w:hAnsi="Calibri"/>
                <w:b/>
                <w:i w:val="0"/>
                <w:color w:val="212121"/>
                <w:sz w:val="19"/>
              </w:rPr>
              <w:t>Abdominal pain / cramps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Diffuse discomfort, often mislabelled as irritable bowel syndrome.</w:t>
            </w:r>
          </w:p>
        </w:tc>
      </w:tr>
      <w:tr>
        <w:trPr>
          <w:cantSplit/>
        </w:trPr>
        <w:tc>
          <w:tcPr>
            <w:tcW w:type="dxa" w:w="2304"/>
            <w:vAlign w:val="top"/>
          </w:tcPr>
          <w:p>
            <w:pPr>
              <w:spacing w:after="40" w:before="0" w:line="259" w:lineRule="auto"/>
            </w:pPr>
            <w:r>
              <w:rPr>
                <w:rFonts w:ascii="Calibri" w:hAnsi="Calibri"/>
                <w:b/>
                <w:i w:val="0"/>
                <w:color w:val="212121"/>
                <w:sz w:val="19"/>
              </w:rPr>
              <w:t>Steatorrhoea (bulky, pale, greasy, foul-smelling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Fat malabsorption from extensive villous atrophy.</w:t>
            </w:r>
          </w:p>
        </w:tc>
      </w:tr>
      <w:tr>
        <w:trPr>
          <w:cantSplit/>
        </w:trPr>
        <w:tc>
          <w:tcPr>
            <w:tcW w:type="dxa" w:w="2304"/>
            <w:vAlign w:val="top"/>
          </w:tcPr>
          <w:p>
            <w:pPr>
              <w:spacing w:after="40" w:before="0" w:line="259" w:lineRule="auto"/>
            </w:pPr>
            <w:r>
              <w:rPr>
                <w:rFonts w:ascii="Calibri" w:hAnsi="Calibri"/>
                <w:b/>
                <w:i w:val="0"/>
                <w:color w:val="212121"/>
                <w:sz w:val="19"/>
              </w:rPr>
              <w:t>Fatigue &amp;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Largely due to iron/folate/B12-deficiency anaemia and chronic inflammation.</w:t>
            </w:r>
          </w:p>
        </w:tc>
      </w:tr>
      <w:tr>
        <w:trPr>
          <w:cantSplit/>
        </w:trPr>
        <w:tc>
          <w:tcPr>
            <w:tcW w:type="dxa" w:w="2304"/>
            <w:vAlign w:val="top"/>
          </w:tcPr>
          <w:p>
            <w:pPr>
              <w:spacing w:after="40" w:before="0" w:line="259" w:lineRule="auto"/>
            </w:pPr>
            <w:r>
              <w:rPr>
                <w:rFonts w:ascii="Calibri" w:hAnsi="Calibri"/>
                <w:b/>
                <w:i w:val="0"/>
                <w:color w:val="212121"/>
                <w:sz w:val="19"/>
              </w:rPr>
              <w:t>Weight loss / failure to gain weight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Malabsorption of calories and protein; failure to thrive in children.</w:t>
            </w:r>
          </w:p>
        </w:tc>
      </w:tr>
      <w:tr>
        <w:trPr>
          <w:cantSplit/>
        </w:trPr>
        <w:tc>
          <w:tcPr>
            <w:tcW w:type="dxa" w:w="2304"/>
            <w:vAlign w:val="top"/>
          </w:tcPr>
          <w:p>
            <w:pPr>
              <w:spacing w:after="40" w:before="0" w:line="259" w:lineRule="auto"/>
            </w:pPr>
            <w:r>
              <w:rPr>
                <w:rFonts w:ascii="Calibri" w:hAnsi="Calibri"/>
                <w:b/>
                <w:i w:val="0"/>
                <w:color w:val="212121"/>
                <w:sz w:val="19"/>
              </w:rPr>
              <w:t>Unexplained iron-deficiency anaemia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duodenal iron absorption; may be the only manifestation in adults.</w:t>
            </w:r>
          </w:p>
        </w:tc>
      </w:tr>
      <w:tr>
        <w:trPr>
          <w:cantSplit/>
        </w:trPr>
        <w:tc>
          <w:tcPr>
            <w:tcW w:type="dxa" w:w="2304"/>
            <w:vAlign w:val="top"/>
          </w:tcPr>
          <w:p>
            <w:pPr>
              <w:spacing w:after="40" w:before="0" w:line="259" w:lineRule="auto"/>
            </w:pPr>
            <w:r>
              <w:rPr>
                <w:rFonts w:ascii="Calibri" w:hAnsi="Calibri"/>
                <w:b/>
                <w:i w:val="0"/>
                <w:color w:val="212121"/>
                <w:sz w:val="19"/>
              </w:rPr>
              <w:t>Recurrent aphthous mouth ulcers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frequent extraintestinal clue, often with glossitis.</w:t>
            </w:r>
          </w:p>
        </w:tc>
      </w:tr>
      <w:tr>
        <w:trPr>
          <w:cantSplit/>
        </w:trPr>
        <w:tc>
          <w:tcPr>
            <w:tcW w:type="dxa" w:w="2304"/>
            <w:vAlign w:val="top"/>
          </w:tcPr>
          <w:p>
            <w:pPr>
              <w:spacing w:after="40" w:before="0" w:line="259" w:lineRule="auto"/>
            </w:pPr>
            <w:r>
              <w:rPr>
                <w:rFonts w:ascii="Calibri" w:hAnsi="Calibri"/>
                <w:b/>
                <w:i w:val="0"/>
                <w:color w:val="212121"/>
                <w:sz w:val="19"/>
              </w:rPr>
              <w:t>Itchy blistering skin rash (dermatitis herpetiformis)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Symmetrical vesicles on elbows, knees, buttocks and scalp; pathognomonic.</w:t>
            </w:r>
          </w:p>
        </w:tc>
      </w:tr>
      <w:tr>
        <w:trPr>
          <w:cantSplit/>
        </w:trPr>
        <w:tc>
          <w:tcPr>
            <w:tcW w:type="dxa" w:w="2304"/>
            <w:vAlign w:val="top"/>
          </w:tcPr>
          <w:p>
            <w:pPr>
              <w:spacing w:after="40" w:before="0" w:line="259" w:lineRule="auto"/>
            </w:pPr>
            <w:r>
              <w:rPr>
                <w:rFonts w:ascii="Calibri" w:hAnsi="Calibri"/>
                <w:b/>
                <w:i w:val="0"/>
                <w:color w:val="212121"/>
                <w:sz w:val="19"/>
              </w:rPr>
              <w:t>Short stature / delayed puberty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malabsorption during growth in children and adolescents.</w:t>
            </w:r>
          </w:p>
        </w:tc>
      </w:tr>
      <w:tr>
        <w:trPr>
          <w:cantSplit/>
        </w:trPr>
        <w:tc>
          <w:tcPr>
            <w:tcW w:type="dxa" w:w="2304"/>
            <w:vAlign w:val="top"/>
          </w:tcPr>
          <w:p>
            <w:pPr>
              <w:spacing w:after="40" w:before="0" w:line="259" w:lineRule="auto"/>
            </w:pPr>
            <w:r>
              <w:rPr>
                <w:rFonts w:ascii="Calibri" w:hAnsi="Calibri"/>
                <w:b/>
                <w:i w:val="0"/>
                <w:color w:val="212121"/>
                <w:sz w:val="19"/>
              </w:rPr>
              <w:t>Infertility / recurrent miscarriage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Linked to nutritional deficiency; may improve on a gluten-free diet.</w:t>
            </w:r>
          </w:p>
        </w:tc>
      </w:tr>
      <w:tr>
        <w:trPr>
          <w:cantSplit/>
        </w:trPr>
        <w:tc>
          <w:tcPr>
            <w:tcW w:type="dxa" w:w="2304"/>
            <w:vAlign w:val="top"/>
          </w:tcPr>
          <w:p>
            <w:pPr>
              <w:spacing w:after="40" w:before="0" w:line="259" w:lineRule="auto"/>
            </w:pPr>
            <w:r>
              <w:rPr>
                <w:rFonts w:ascii="Calibri" w:hAnsi="Calibri"/>
                <w:b/>
                <w:i w:val="0"/>
                <w:color w:val="212121"/>
                <w:sz w:val="19"/>
              </w:rPr>
              <w:t>Tingling / numbness of hands and feet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Peripheral neuropathy from B-vitamin deficiency and immune mechanisms.</w:t>
            </w:r>
          </w:p>
        </w:tc>
      </w:tr>
      <w:tr>
        <w:trPr>
          <w:cantSplit/>
        </w:trPr>
        <w:tc>
          <w:tcPr>
            <w:tcW w:type="dxa" w:w="2304"/>
            <w:vAlign w:val="top"/>
          </w:tcPr>
          <w:p>
            <w:pPr>
              <w:spacing w:after="40" w:before="0" w:line="259" w:lineRule="auto"/>
            </w:pPr>
            <w:r>
              <w:rPr>
                <w:rFonts w:ascii="Calibri" w:hAnsi="Calibri"/>
                <w:b/>
                <w:i w:val="0"/>
                <w:color w:val="212121"/>
                <w:sz w:val="19"/>
              </w:rPr>
              <w:t>Gluten ataxia (unsteady gait)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Immune-mediated cerebellar involvement, a rare neurological presentation.</w:t>
            </w:r>
          </w:p>
        </w:tc>
      </w:tr>
      <w:tr>
        <w:trPr>
          <w:cantSplit/>
        </w:trPr>
        <w:tc>
          <w:tcPr>
            <w:tcW w:type="dxa" w:w="2304"/>
            <w:vAlign w:val="top"/>
          </w:tcPr>
          <w:p>
            <w:pPr>
              <w:spacing w:after="40" w:before="0" w:line="259" w:lineRule="auto"/>
            </w:pPr>
            <w:r>
              <w:rPr>
                <w:rFonts w:ascii="Calibri" w:hAnsi="Calibri"/>
                <w:b/>
                <w:i w:val="0"/>
                <w:color w:val="212121"/>
                <w:sz w:val="19"/>
              </w:rPr>
              <w:t>Tetany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hypocalcaemia/hypomagnesaemia causing carpopedal spasm.</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(conjunctival/palmar)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iron, folate or B12-deficiency anaemia.</w:t>
            </w:r>
          </w:p>
        </w:tc>
      </w:tr>
      <w:tr>
        <w:trPr>
          <w:cantSplit/>
        </w:trPr>
        <w:tc>
          <w:tcPr>
            <w:tcW w:type="dxa" w:w="3456"/>
            <w:vAlign w:val="top"/>
          </w:tcPr>
          <w:p>
            <w:pPr>
              <w:spacing w:after="40" w:before="0" w:line="259" w:lineRule="auto"/>
            </w:pPr>
            <w:r>
              <w:rPr>
                <w:rFonts w:ascii="Calibri" w:hAnsi="Calibri"/>
                <w:b/>
                <w:i w:val="0"/>
                <w:color w:val="212121"/>
                <w:sz w:val="19"/>
              </w:rPr>
              <w:t>Low BMI / muscle wasting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malabsorption and protein-energy malnutrition.</w:t>
            </w:r>
          </w:p>
        </w:tc>
      </w:tr>
      <w:tr>
        <w:trPr>
          <w:cantSplit/>
        </w:trPr>
        <w:tc>
          <w:tcPr>
            <w:tcW w:type="dxa" w:w="3456"/>
            <w:vAlign w:val="top"/>
          </w:tcPr>
          <w:p>
            <w:pPr>
              <w:spacing w:after="40" w:before="0" w:line="259" w:lineRule="auto"/>
            </w:pPr>
            <w:r>
              <w:rPr>
                <w:rFonts w:ascii="Calibri" w:hAnsi="Calibri"/>
                <w:b/>
                <w:i w:val="0"/>
                <w:color w:val="212121"/>
                <w:sz w:val="19"/>
              </w:rPr>
              <w:t>Abdominal distension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Gaseous distension from malabsorbed, fermented nutrients.</w:t>
            </w:r>
          </w:p>
        </w:tc>
      </w:tr>
      <w:tr>
        <w:trPr>
          <w:cantSplit/>
        </w:trPr>
        <w:tc>
          <w:tcPr>
            <w:tcW w:type="dxa" w:w="3456"/>
            <w:vAlign w:val="top"/>
          </w:tcPr>
          <w:p>
            <w:pPr>
              <w:spacing w:after="40" w:before="0" w:line="259" w:lineRule="auto"/>
            </w:pPr>
            <w:r>
              <w:rPr>
                <w:rFonts w:ascii="Calibri" w:hAnsi="Calibri"/>
                <w:b/>
                <w:i w:val="0"/>
                <w:color w:val="212121"/>
                <w:sz w:val="19"/>
              </w:rPr>
              <w:t>Glossitis &amp; angular stomatitis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Mucosal signs of iron and B-vitamin deficiency.</w:t>
            </w:r>
          </w:p>
        </w:tc>
      </w:tr>
      <w:tr>
        <w:trPr>
          <w:cantSplit/>
        </w:trPr>
        <w:tc>
          <w:tcPr>
            <w:tcW w:type="dxa" w:w="3456"/>
            <w:vAlign w:val="top"/>
          </w:tcPr>
          <w:p>
            <w:pPr>
              <w:spacing w:after="40" w:before="0" w:line="259" w:lineRule="auto"/>
            </w:pPr>
            <w:r>
              <w:rPr>
                <w:rFonts w:ascii="Calibri" w:hAnsi="Calibri"/>
                <w:b/>
                <w:i w:val="0"/>
                <w:color w:val="212121"/>
                <w:sz w:val="19"/>
              </w:rPr>
              <w:t>Aphthous ulcers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Recurrent oral ulceration associated with the enteropathy.</w:t>
            </w:r>
          </w:p>
        </w:tc>
      </w:tr>
      <w:tr>
        <w:trPr>
          <w:cantSplit/>
        </w:trPr>
        <w:tc>
          <w:tcPr>
            <w:tcW w:type="dxa" w:w="3456"/>
            <w:vAlign w:val="top"/>
          </w:tcPr>
          <w:p>
            <w:pPr>
              <w:spacing w:after="40" w:before="0" w:line="259" w:lineRule="auto"/>
            </w:pPr>
            <w:r>
              <w:rPr>
                <w:rFonts w:ascii="Calibri" w:hAnsi="Calibri"/>
                <w:b/>
                <w:i w:val="0"/>
                <w:color w:val="212121"/>
                <w:sz w:val="19"/>
              </w:rPr>
              <w:t>Dermatitis herpetiformis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Grouped, intensely itchy vesicles on extensor surfaces; IgA deposits on skin biopsy.</w:t>
            </w:r>
          </w:p>
        </w:tc>
      </w:tr>
      <w:tr>
        <w:trPr>
          <w:cantSplit/>
        </w:trPr>
        <w:tc>
          <w:tcPr>
            <w:tcW w:type="dxa" w:w="3456"/>
            <w:vAlign w:val="top"/>
          </w:tcPr>
          <w:p>
            <w:pPr>
              <w:spacing w:after="40" w:before="0" w:line="259" w:lineRule="auto"/>
            </w:pPr>
            <w:r>
              <w:rPr>
                <w:rFonts w:ascii="Calibri" w:hAnsi="Calibri"/>
                <w:b/>
                <w:i w:val="0"/>
                <w:color w:val="212121"/>
                <w:sz w:val="19"/>
              </w:rPr>
              <w:t>Short stature / faltering growth (children)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growth failure on serial percentile charts.</w:t>
            </w:r>
          </w:p>
        </w:tc>
      </w:tr>
      <w:tr>
        <w:trPr>
          <w:cantSplit/>
        </w:trPr>
        <w:tc>
          <w:tcPr>
            <w:tcW w:type="dxa" w:w="3456"/>
            <w:vAlign w:val="top"/>
          </w:tcPr>
          <w:p>
            <w:pPr>
              <w:spacing w:after="40" w:before="0" w:line="259" w:lineRule="auto"/>
            </w:pPr>
            <w:r>
              <w:rPr>
                <w:rFonts w:ascii="Calibri" w:hAnsi="Calibri"/>
                <w:b/>
                <w:i w:val="0"/>
                <w:color w:val="212121"/>
                <w:sz w:val="19"/>
              </w:rPr>
              <w:t>Dental enamel hypoplasia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Symmetrical enamel defects of the permanent teeth.</w:t>
            </w:r>
          </w:p>
        </w:tc>
      </w:tr>
      <w:tr>
        <w:trPr>
          <w:cantSplit/>
        </w:trPr>
        <w:tc>
          <w:tcPr>
            <w:tcW w:type="dxa" w:w="3456"/>
            <w:vAlign w:val="top"/>
          </w:tcPr>
          <w:p>
            <w:pPr>
              <w:spacing w:after="40" w:before="0" w:line="259" w:lineRule="auto"/>
            </w:pPr>
            <w:r>
              <w:rPr>
                <w:rFonts w:ascii="Calibri" w:hAnsi="Calibri"/>
                <w:b/>
                <w:i w:val="0"/>
                <w:color w:val="212121"/>
                <w:sz w:val="19"/>
              </w:rPr>
              <w:t>Pedal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hypoalbuminaemia due to protein-losing enteropathy.</w:t>
            </w:r>
          </w:p>
        </w:tc>
      </w:tr>
      <w:tr>
        <w:trPr>
          <w:cantSplit/>
        </w:trPr>
        <w:tc>
          <w:tcPr>
            <w:tcW w:type="dxa" w:w="3456"/>
            <w:vAlign w:val="top"/>
          </w:tcPr>
          <w:p>
            <w:pPr>
              <w:spacing w:after="40" w:before="0" w:line="259" w:lineRule="auto"/>
            </w:pPr>
            <w:r>
              <w:rPr>
                <w:rFonts w:ascii="Calibri" w:hAnsi="Calibri"/>
                <w:b/>
                <w:i w:val="0"/>
                <w:color w:val="212121"/>
                <w:sz w:val="19"/>
              </w:rPr>
              <w:t>Chvostek's / Trousseau's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Latent tetany from hypocalcaemia/hypomagnesaemia.</w:t>
            </w:r>
          </w:p>
        </w:tc>
      </w:tr>
      <w:tr>
        <w:trPr>
          <w:cantSplit/>
        </w:trPr>
        <w:tc>
          <w:tcPr>
            <w:tcW w:type="dxa" w:w="3456"/>
            <w:vAlign w:val="top"/>
          </w:tcPr>
          <w:p>
            <w:pPr>
              <w:spacing w:after="40" w:before="0" w:line="259" w:lineRule="auto"/>
            </w:pPr>
            <w:r>
              <w:rPr>
                <w:rFonts w:ascii="Calibri" w:hAnsi="Calibri"/>
                <w:b/>
                <w:i w:val="0"/>
                <w:color w:val="212121"/>
                <w:sz w:val="19"/>
              </w:rPr>
              <w:t>Peripheral neuropathy / ataxia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sensation or unsteady gait in neurological celiac disease.</w:t>
            </w:r>
          </w:p>
        </w:tc>
      </w:tr>
      <w:tr>
        <w:trPr>
          <w:cantSplit/>
        </w:trPr>
        <w:tc>
          <w:tcPr>
            <w:tcW w:type="dxa" w:w="3456"/>
            <w:vAlign w:val="top"/>
          </w:tcPr>
          <w:p>
            <w:pPr>
              <w:spacing w:after="40" w:before="0" w:line="259" w:lineRule="auto"/>
            </w:pPr>
            <w:r>
              <w:rPr>
                <w:rFonts w:ascii="Calibri" w:hAnsi="Calibri"/>
                <w:b/>
                <w:i w:val="0"/>
                <w:color w:val="212121"/>
                <w:sz w:val="19"/>
              </w:rPr>
              <w:t>Hepatomegaly with raised transaminases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Celiac hepatitis; usually normalises on a gluten-free diet.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Villous atrophy with generalised malabsorption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 folate- and vitamin-B12-deficiency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Fat-soluble vitamin (A, D, E, K)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Hypocalcaemia and hypomagnesaemia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Protein-energy malnutrition and hypoalbuminaemia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lactose intolerance</w:t>
            </w:r>
          </w:p>
        </w:tc>
        <w:tc>
          <w:tcPr>
            <w:tcW w:type="dxa" w:w="2980"/>
            <w:vAlign w:val="top"/>
          </w:tcPr>
          <w:p>
            <w:pPr>
              <w:spacing w:after="40" w:before="0" w:line="259" w:lineRule="auto"/>
            </w:pPr>
            <w:r>
              <w:rPr>
                <w:rFonts w:ascii="Calibri" w:hAnsi="Calibri"/>
                <w:b w:val="0"/>
                <w:i w:val="0"/>
                <w:color w:val="212121"/>
                <w:sz w:val="19"/>
              </w:rPr>
              <w:t>Direct consequences of mucosal damage and nutrient malabsorption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bone disease — osteopenia, osteoporosis, osteomalacia and fragility fractures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 stature and delayed puberty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Subfertility, recurrent miscarriage and adverse pregnancy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Dermatitis herpetiformis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neuropathy and gluten ataxia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Celiac hepatitis / associated autoimmune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hyposplenism with increased infection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Clustering of other autoimmune diseases (type 1 diabetes, thyroid disease)</w:t>
            </w:r>
          </w:p>
        </w:tc>
        <w:tc>
          <w:tcPr>
            <w:tcW w:type="dxa" w:w="2980"/>
            <w:vAlign w:val="top"/>
          </w:tcPr>
          <w:p>
            <w:pPr>
              <w:spacing w:after="40" w:before="0" w:line="259" w:lineRule="auto"/>
            </w:pPr>
            <w:r>
              <w:rPr>
                <w:rFonts w:ascii="Calibri" w:hAnsi="Calibri"/>
                <w:b w:val="0"/>
                <w:i w:val="0"/>
                <w:color w:val="212121"/>
                <w:sz w:val="19"/>
              </w:rPr>
              <w:t>Systemic sequelae of chronic malabsorption and shared autoimmunity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celiac disease (Type I and pre-malignant Type II)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Enteropathy-associated T-cell lymphoma (EATL)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Small-bowel adenocarcinoma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Ulcerative jejunoileitis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Collagenous sprue with irreversible mucosal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all-cause mortality</w:t>
            </w:r>
          </w:p>
        </w:tc>
        <w:tc>
          <w:tcPr>
            <w:tcW w:type="dxa" w:w="2980"/>
            <w:vAlign w:val="top"/>
          </w:tcPr>
          <w:p>
            <w:pPr>
              <w:spacing w:after="40" w:before="0" w:line="259" w:lineRule="auto"/>
            </w:pPr>
            <w:r>
              <w:rPr>
                <w:rFonts w:ascii="Calibri" w:hAnsi="Calibri"/>
                <w:b w:val="0"/>
                <w:i w:val="0"/>
                <w:color w:val="212121"/>
                <w:sz w:val="19"/>
              </w:rPr>
              <w:t>Severe, irreversible or malignant outcomes of longstanding, uncontrolled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1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HLA-DQ2/DQ8 and non-HLA susceptibility genes; celiac disease is frequently silent in diabetics, so routine serologic screening is recommended.</w:t>
            </w:r>
          </w:p>
          <w:p>
            <w:pPr>
              <w:spacing w:after="40" w:before="0" w:line="259" w:lineRule="auto"/>
            </w:pPr>
            <w:r>
              <w:rPr>
                <w:rFonts w:ascii="Calibri" w:hAnsi="Calibri"/>
                <w:b/>
                <w:i w:val="0"/>
                <w:color w:val="212121"/>
                <w:sz w:val="19"/>
              </w:rPr>
              <w:t>~6% (up to 1 in 12 in Asia)</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(Hashimoto's / Graves')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Clusters with celiac disease through shared autoimmunity; thyroid function should be monitored and vice versa.</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extraintestinal manifestation, from impaired duodenal iron absorption; often refractory to oral iron until gluten is removed.</w:t>
            </w:r>
          </w:p>
        </w:tc>
      </w:tr>
      <w:tr>
        <w:trPr>
          <w:cantSplit/>
        </w:trPr>
        <w:tc>
          <w:tcPr>
            <w:tcW w:type="dxa" w:w="2232"/>
            <w:vAlign w:val="top"/>
          </w:tcPr>
          <w:p>
            <w:pPr>
              <w:spacing w:after="40" w:before="0" w:line="259" w:lineRule="auto"/>
            </w:pPr>
            <w:r>
              <w:rPr>
                <w:rFonts w:ascii="Calibri" w:hAnsi="Calibri"/>
                <w:b/>
                <w:i w:val="0"/>
                <w:color w:val="212121"/>
                <w:sz w:val="19"/>
              </w:rPr>
              <w:t>Osteoporosis / metabolic bone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Calcium and vitamin-D malabsorption cause low bone density and fragility fractures; DEXA and supplementation are advised.</w:t>
            </w:r>
          </w:p>
        </w:tc>
      </w:tr>
      <w:tr>
        <w:trPr>
          <w:cantSplit/>
        </w:trPr>
        <w:tc>
          <w:tcPr>
            <w:tcW w:type="dxa" w:w="2232"/>
            <w:vAlign w:val="top"/>
          </w:tcPr>
          <w:p>
            <w:pPr>
              <w:spacing w:after="40" w:before="0" w:line="259" w:lineRule="auto"/>
            </w:pPr>
            <w:r>
              <w:rPr>
                <w:rFonts w:ascii="Calibri" w:hAnsi="Calibri"/>
                <w:b/>
                <w:i w:val="0"/>
                <w:color w:val="212121"/>
                <w:sz w:val="19"/>
              </w:rPr>
              <w:t>Dermatitis herpetiformis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The cutaneous expression of gluten sensitivity, with granular IgA deposits in the skin; responds to a gluten-free diet.</w:t>
            </w:r>
          </w:p>
          <w:p>
            <w:pPr>
              <w:spacing w:after="40" w:before="0" w:line="259" w:lineRule="auto"/>
            </w:pPr>
            <w:r>
              <w:rPr>
                <w:rFonts w:ascii="Calibri" w:hAnsi="Calibri"/>
                <w:b/>
                <w:i w:val="0"/>
                <w:color w:val="212121"/>
                <w:sz w:val="19"/>
              </w:rPr>
              <w:t>10–20% of adults</w:t>
            </w:r>
          </w:p>
        </w:tc>
      </w:tr>
      <w:tr>
        <w:trPr>
          <w:cantSplit/>
        </w:trPr>
        <w:tc>
          <w:tcPr>
            <w:tcW w:type="dxa" w:w="2232"/>
            <w:vAlign w:val="top"/>
          </w:tcPr>
          <w:p>
            <w:pPr>
              <w:spacing w:after="40" w:before="0" w:line="259" w:lineRule="auto"/>
            </w:pPr>
            <w:r>
              <w:rPr>
                <w:rFonts w:ascii="Calibri" w:hAnsi="Calibri"/>
                <w:b/>
                <w:i w:val="0"/>
                <w:color w:val="212121"/>
                <w:sz w:val="19"/>
              </w:rPr>
              <w:t>Selective IgA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Markedly over-represented in celiac disease and invalidates IgA-based serology, mandating IgG-based testing.</w:t>
            </w:r>
          </w:p>
        </w:tc>
      </w:tr>
      <w:tr>
        <w:trPr>
          <w:cantSplit/>
        </w:trPr>
        <w:tc>
          <w:tcPr>
            <w:tcW w:type="dxa" w:w="2232"/>
            <w:vAlign w:val="top"/>
          </w:tcPr>
          <w:p>
            <w:pPr>
              <w:spacing w:after="40" w:before="0" w:line="259" w:lineRule="auto"/>
            </w:pPr>
            <w:r>
              <w:rPr>
                <w:rFonts w:ascii="Calibri" w:hAnsi="Calibri"/>
                <w:b/>
                <w:i w:val="0"/>
                <w:color w:val="212121"/>
                <w:sz w:val="19"/>
              </w:rPr>
              <w:t>Down syndrome &amp; Turner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Several-fold higher celiac prevalence in these chromosomal disorders, justifying proactive screening.</w:t>
            </w:r>
          </w:p>
        </w:tc>
      </w:tr>
      <w:tr>
        <w:trPr>
          <w:cantSplit/>
        </w:trPr>
        <w:tc>
          <w:tcPr>
            <w:tcW w:type="dxa" w:w="2232"/>
            <w:vAlign w:val="top"/>
          </w:tcPr>
          <w:p>
            <w:pPr>
              <w:spacing w:after="40" w:before="0" w:line="259" w:lineRule="auto"/>
            </w:pPr>
            <w:r>
              <w:rPr>
                <w:rFonts w:ascii="Calibri" w:hAnsi="Calibri"/>
                <w:b/>
                <w:i w:val="0"/>
                <w:color w:val="212121"/>
                <w:sz w:val="19"/>
              </w:rPr>
              <w:t>Enteropathy-associated T-cell lymphoma (EATL)</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rare but serious malignant complication arising from refractory (Type II) disease and longstanding uncontrolled inflammation.</w:t>
            </w:r>
          </w:p>
        </w:tc>
      </w:tr>
      <w:tr>
        <w:trPr>
          <w:cantSplit/>
        </w:trPr>
        <w:tc>
          <w:tcPr>
            <w:tcW w:type="dxa" w:w="2232"/>
            <w:vAlign w:val="top"/>
          </w:tcPr>
          <w:p>
            <w:pPr>
              <w:spacing w:after="40" w:before="0" w:line="259" w:lineRule="auto"/>
            </w:pPr>
            <w:r>
              <w:rPr>
                <w:rFonts w:ascii="Calibri" w:hAnsi="Calibri"/>
                <w:b/>
                <w:i w:val="0"/>
                <w:color w:val="212121"/>
                <w:sz w:val="19"/>
              </w:rPr>
              <w:t>Celiac hepatitis / autoimmune liver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Cryptogenic transaminitis is common and usually reverses on a gluten-free diet; primary biliary cholangitis and autoimmune hepatitis co-occur.</w:t>
            </w:r>
          </w:p>
        </w:tc>
      </w:tr>
      <w:tr>
        <w:trPr>
          <w:cantSplit/>
        </w:trPr>
        <w:tc>
          <w:tcPr>
            <w:tcW w:type="dxa" w:w="2232"/>
            <w:vAlign w:val="top"/>
          </w:tcPr>
          <w:p>
            <w:pPr>
              <w:spacing w:after="40" w:before="0" w:line="259" w:lineRule="auto"/>
            </w:pPr>
            <w:r>
              <w:rPr>
                <w:rFonts w:ascii="Calibri" w:hAnsi="Calibri"/>
                <w:b/>
                <w:i w:val="0"/>
                <w:color w:val="212121"/>
                <w:sz w:val="19"/>
              </w:rPr>
              <w:t>Secondary lactose intolerance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Loss of brush-border lactase from villous atrophy causes transient lactose intolerance that improves as the mucosa heals.</w:t>
            </w:r>
          </w:p>
        </w:tc>
      </w:tr>
      <w:tr>
        <w:trPr>
          <w:cantSplit/>
        </w:trPr>
        <w:tc>
          <w:tcPr>
            <w:tcW w:type="dxa" w:w="2232"/>
            <w:vAlign w:val="top"/>
          </w:tcPr>
          <w:p>
            <w:pPr>
              <w:spacing w:after="40" w:before="0" w:line="259" w:lineRule="auto"/>
            </w:pPr>
            <w:r>
              <w:rPr>
                <w:rFonts w:ascii="Calibri" w:hAnsi="Calibri"/>
                <w:b/>
                <w:i w:val="0"/>
                <w:color w:val="212121"/>
                <w:sz w:val="19"/>
              </w:rPr>
              <w:t>Subfertility &amp; recurrent pregnancy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Linked to nutritional deficiency and immune mechanisms; reproductive outcomes often improve after dietary treatment.</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More common through gut-brain, nutritional and quality-of-life pathways, with a bidirectional relationship.</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tested for celiac disease BEFORE removing gluten from the diet — starting a gluten-free diet early makes both blood tests and biopsy unreliable.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high-risk groups even when symptoms are mild or absent: first-degree relatives, and people with type 1 diabetes, autoimmune thyroid disease, Down or Turner syndrome, or unexplained iron-deficiency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celiac disease in India is common and often ‘non-classical’ — refractory anaemia, tiredness, osteoporosis, mouth ulcers or infertility may be the only clues, not diarrhoea.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read food labels for wheat, barley, rye, malt, atta, maida, suji/rava, dalia and ‘wheat starch’, and understand hidden sources in sauces, snacks and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cross-contamination at home and while eating out: separate utensils, toasters and cooking surfaces, and beware shared frying oil and wheat-dusted foods.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type 1 diabetes or thyroid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unexplained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Wheat-belt (north Indian)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strict, lifelong gluten-free diet — the only effective treatment; even small, repeated gluten exposures perpetuate mucosal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Completely avoid wheat, barley and rye and all their products (roti/chapati, maida, suji/rava, dalia, bread, biscuits, pasta, most namkeen and malt drinks).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meals on naturally gluten-free Indian staples: rice, maize (makka), and millets such as bajra, jowar and ragi, plus buckwheat (kuttu), amaranth (rajgira), quinoa, pulses and besan.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nutritional deficiencies with iron, folate, vitamin B12, vitamin D and calcium as needed, guided by blood tests.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cautious with oats (use only certified gluten-free, uncontaminated oats) and manage transient lactose intolerance until the gut heals.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Consult a trained dietitian for a personalised gluten-free plan and periodic review of diet adherence and micronutrients.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failure to thrive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anaemia or 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or newly diagnosed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high-risk families, breastfeeding and avoiding very large gluten loads at weaning are reasonable, though no diet is proven to prevent celiac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adopt a gluten-free diet ‘just in case’ without testing, as it prevents accurate diagnosis and can cause unnecessary nutritional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gluten-free replacements are fortified or balanced, since some processed gluten-free products are low in fibre, iron and B-vitamins.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a celiac member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high-risk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considering self-directed gluten avoidance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weight-bearing and resistance exercise (brisk walking, bodyweight training) to protect against celiac-related bone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≥150 minutes/week of moderate activity once anaemia and malnutrition are being corrected.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vitamin-D and calcium repletion, and obtain a baseline DEXA scan in adults to guide bone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low bone density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or late-diagnosed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sleep-wake timing and good sleep hygiene, as fatigue is common with active disease and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sleep and energy to improve as the gluten-free diet heals the gut and anaemia is corrected.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anaemia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although some studies note a weak inverse association with celiac disease, smoking is harmful and worsens bone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particularly to patients already at risk of osteoporosis.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celiac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low bone density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beer and other barley/malt-based drinks, which contain gluten and can trigger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choose gluten-free options (wine, distilled spirits or certified gluten-free beer) in moderation.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which independently harms the liver already stressed by celiac hepatitis.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patients who drink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raised liver enzymes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anxiety and depression, which are commoner in celiac disease and can worsen dietary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psychological and social burden of a lifelong restrictive diet and provide counselling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peer-support groups and family involvement to sustain gluten-free living and reduce isolation.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struggling with diet adherence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9551598/" TargetMode="External"/><Relationship Id="rId10" Type="http://schemas.openxmlformats.org/officeDocument/2006/relationships/hyperlink" Target="https://pubmed.ncbi.nlm.nih.gov/21182543/" TargetMode="External"/><Relationship Id="rId11" Type="http://schemas.openxmlformats.org/officeDocument/2006/relationships/hyperlink" Target="https://www.mayoclinic.org/diseases-conditions/celiac-disease/symptoms-causes/syc-20352220" TargetMode="External"/><Relationship Id="rId12" Type="http://schemas.openxmlformats.org/officeDocument/2006/relationships/hyperlink" Target="https://pubmed.ncbi.nlm.nih.gov/26729543/" TargetMode="External"/><Relationship Id="rId13" Type="http://schemas.openxmlformats.org/officeDocument/2006/relationships/hyperlink" Target="https://www.niddk.nih.gov/health-information/digestive-diseases/celiac-disease/definition-facts" TargetMode="External"/><Relationship Id="rId14" Type="http://schemas.openxmlformats.org/officeDocument/2006/relationships/hyperlink" Target="https://www.niddk.nih.gov/health-information/digestive-diseases/celiac-disease/symptoms-causes" TargetMode="External"/><Relationship Id="rId15" Type="http://schemas.openxmlformats.org/officeDocument/2006/relationships/hyperlink" Target="https://pubmed.ncbi.nlm.nih.gov/39497278/" TargetMode="External"/><Relationship Id="rId16" Type="http://schemas.openxmlformats.org/officeDocument/2006/relationships/hyperlink" Target="https://pubmed.ncbi.nlm.nih.gov/38205645/" TargetMode="External"/><Relationship Id="rId17" Type="http://schemas.openxmlformats.org/officeDocument/2006/relationships/hyperlink" Target="https://www.niddk.nih.gov/health-information/digestive-diseases/celiac-disease/diagn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