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Crohn's Disease</w:t>
      </w:r>
    </w:p>
    <w:p>
      <w:pPr>
        <w:spacing w:before="0" w:after="160"/>
      </w:pPr>
      <w:r>
        <w:rPr>
          <w:rFonts w:ascii="Calibri" w:hAnsi="Calibri"/>
          <w:b/>
          <w:i w:val="0"/>
          <w:color w:val="212121"/>
          <w:sz w:val="22"/>
        </w:rPr>
        <w:t xml:space="preserve">AKA </w:t>
      </w:r>
      <w:r>
        <w:rPr>
          <w:rFonts w:ascii="Calibri" w:hAnsi="Calibri"/>
          <w:b w:val="0"/>
          <w:i w:val="0"/>
          <w:color w:val="212121"/>
          <w:sz w:val="22"/>
        </w:rPr>
        <w:t>i.e., Crohn disease, Regional enteritis, Regional ileitis, Terminal ileitis, Granulomatous enterocolitis; a form of inflammatory bowel disease (IBD)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Crohn's disease is a chronic, immune-mediated inflammatory bowel disease (IBD) characterised by transmural, granulomatous inflammation that can affect any segment of the gastrointestinal tract from mouth to anus, most often the terminal ileum and proximal colon. The inflammation is typically patchy and discontinuous (“skip lesions”) and full-thickness, which predisposes to strictures, fistulae and abscesses that distinguish it from ulcerative colitis. It follows a relapsing–remitting course driven by a dysregulated mucosal immune response to gut microbiota in a genetically susceptible host, and—unusually—cigarette smoking increases the risk of developing and worsening the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Long regarded as a Western disease, Crohn's disease is rising rapidly across India as the country undergoes an epidemiological transition. Ulcerative colitis has historically outnumbered Crohn's disease in Indians, but the gap is narrowing and some tertiary South-Indian cohorts now report more Crohn's than colitis—for example, 654 Crohn's versus 499 ulcerative-colitis cases among 1,295 IBD patients surveyed in Tamil Nadu. Global Burden of Disease estimates put the number of Indians living with IBD at about 0.27 million in 2019, roughly double the 0.13 million of 1990, with age-standardised incidence rising to about 2.34 per 100,000. A landmark Punjab survey of 51,910 residents found ulcerative-colitis prevalence of 44.3 per 100,000 and incidence of 6.02 per 100,000 per year—not much lower than Western figures—and India is projected to carry one of the world's highest IBD burdens. Two features are distinctly Indian: a positive family history is far less common than in the West, and Crohn's disease closely mimics intestinal tuberculosis, which remains endemic and is a frequent source of misdiagnosis.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There is no single gold-standard test; the diagnosis is built from a combination of clinical, endoscopic, histological, radiological and laboratory findings, and—critically in India—only after intestinal tuberculosis has been carefully excluded. The diagnosis is supported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ileocolonoscopy with segmental biopsies (including the terminal ileum) — the cornerstone — showing discontinuous “skip” involvement, aphthous or deep linear ulcers and cobblestoning, with histology revealing focal chronic inflammation and non-caseating epithelioid granulomas;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cross-sectional small-bowel imaging (CT or MR enterography) to map small-bowel disease and detect strictures, fistulae and abscesses; MR enterography is preferred in the young to avoid radiation;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raised inflammatory markers — C-reactive protein (CRP) and ESR — and an elevated faecal calprotectin, a sensitive non-invasive marker of intestinal inflammation used for both diagnosis and monitoring (a cut-off of about 100 µg/g discriminates active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blood tests showing iron-deficiency anaemia or anaemia of chronic disease, low serum albumin, and deficiencies of vitamin B12 (terminal-ileal disease), folate and vitamin 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mandatory exclusion of intestinal tuberculosis — biopsy assessed for caseating granuloma and acid-fast bacilli, GeneXpert/TB-PCR, mycobacterial culture, chest imaging and an interferon-gamma release assay; where doubt persists, a therapeutic trial of anti-tubercular therapy with endoscopic re-evaluation is often needed;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serology (ASCA positive with pANCA negative favours Crohn's) and, for isolated small-bowel disease, video capsule endoscopy — useful adjuncts but not diagnostic in isolation;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upper gastrointestinal endoscopy when proximal (L4) symptoms such as dysphagia, epigastric pain or vomiting are present.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Crohn's disease is described anatomically and, formally, by the Montreal classification, which stratifies patients by age at diagnosis (A), disease location (L) and behaviour (B) to guide prognosis and treatment:</w:t>
      </w:r>
    </w:p>
    <w:p>
      <w:pPr>
        <w:spacing w:before="0" w:after="80"/>
      </w:pPr>
      <w:r>
        <w:rPr>
          <w:rFonts w:ascii="Calibri" w:hAnsi="Calibri"/>
          <w:b w:val="0"/>
          <w:i w:val="0"/>
          <w:color w:val="212121"/>
          <w:sz w:val="21"/>
        </w:rPr>
        <w:t>(1) Age at diagnosis — A1 (≤ 16 years), A2 (17–40 years) and A3 (&gt; 40 years); younger onset tends to be more extensive and aggressive;</w:t>
      </w:r>
    </w:p>
    <w:p>
      <w:pPr>
        <w:spacing w:before="0" w:after="80"/>
      </w:pPr>
      <w:r>
        <w:rPr>
          <w:rFonts w:ascii="Calibri" w:hAnsi="Calibri"/>
          <w:b w:val="0"/>
          <w:i w:val="0"/>
          <w:color w:val="212121"/>
          <w:sz w:val="21"/>
        </w:rPr>
        <w:t>(2) Location — L1 ileal, L2 colonic, L3 ileocolonic (the commonest pattern in Indian cohorts) and L4 isolated upper-gastrointestinal disease, with L4 added as a modifier when proximal disease coexists with distal disease;</w:t>
      </w:r>
    </w:p>
    <w:p>
      <w:pPr>
        <w:spacing w:before="0" w:after="80"/>
      </w:pPr>
      <w:r>
        <w:rPr>
          <w:rFonts w:ascii="Calibri" w:hAnsi="Calibri"/>
          <w:b w:val="0"/>
          <w:i w:val="0"/>
          <w:color w:val="212121"/>
          <w:sz w:val="21"/>
        </w:rPr>
        <w:t>(3) Behaviour — B1 non-stricturing non-penetrating (inflammatory), B2 stricturing and B3 penetrating (fistulising); the modifier “p” denotes concomitant perianal disease. Behaviour typically progresses from inflammatory towards stricturing or penetrating disease over years;</w:t>
      </w:r>
    </w:p>
    <w:p>
      <w:pPr>
        <w:spacing w:before="0" w:after="80"/>
      </w:pPr>
      <w:r>
        <w:rPr>
          <w:rFonts w:ascii="Calibri" w:hAnsi="Calibri"/>
          <w:b w:val="0"/>
          <w:i w:val="0"/>
          <w:color w:val="212121"/>
          <w:sz w:val="21"/>
        </w:rPr>
        <w:t>(4) Anatomical subtypes used in practice — ileocolitis (terminal ileum plus colon; the most common), ileitis (terminal ileum only), gastroduodenal Crohn's (stomach and duodenum), jejunoileitis (patchy proximal small bowel) and Crohn's colitis (colon only);</w:t>
      </w:r>
    </w:p>
    <w:p>
      <w:pPr>
        <w:spacing w:before="0" w:after="80"/>
      </w:pPr>
      <w:r>
        <w:rPr>
          <w:rFonts w:ascii="Calibri" w:hAnsi="Calibri"/>
          <w:b w:val="0"/>
          <w:i w:val="0"/>
          <w:color w:val="212121"/>
          <w:sz w:val="21"/>
        </w:rPr>
        <w:t>(5) Disease activity is graded clinically — for example by the Crohn's Disease Activity Index (CDAI) — into remission, mild, moderate and severe, which together with location and behaviour drives management decisions.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over 200 susceptibility loci have been identified (notably NOD2/CARD15, ATG16L1 and IL23R governing bacterial handling and autophagy); first-degree relatives are at much higher risk, although familial clustering is less pronounced in Indian than Western patients.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Immune dysregulation: an inappropriate, sustained Th1/Th17 mucosal immune response to commensal gut bacteria produces the characteristic transmural, granulomatous inflammation.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Gut dysbiosis: reduced microbial diversity (including loss of anti-inflammatory Faecalibacterium prausnitzii) and disturbed host–microbiome interaction contribute to disease onset and relapse.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Cigarette smoking: the single most important modifiable risk factor — smokers have roughly double the risk of developing Crohn's disease and experience more flares, more surgery and higher post-operative recurrence.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Diet and urbanisation: Westernised, ultra-processed, high-fat and low-fibre diets and city living are linked to rising incidence, whereas breastfeeding and higher fibre, fruit and vegetable intake appear protective.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Other precipitants: NSAID use, prior appendectomy, enteric infections and early-life antibiotic exposure can trigger onset or provoke flares in susceptible individuals.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 (peak 15–30 years)</w:t>
            </w:r>
          </w:p>
        </w:tc>
        <w:tc>
          <w:tcPr>
            <w:tcW w:type="dxa" w:w="4276"/>
            <w:vAlign w:val="top"/>
          </w:tcPr>
          <w:p>
            <w:pPr>
              <w:spacing w:after="60" w:line="259" w:lineRule="auto"/>
            </w:pPr>
            <w:r>
              <w:rPr>
                <w:rFonts w:ascii="Calibri" w:hAnsi="Calibri"/>
                <w:b w:val="0"/>
                <w:i w:val="0"/>
                <w:color w:val="212121"/>
                <w:sz w:val="19"/>
              </w:rPr>
              <w:t>Crohn's disease characteristically begins in the second and third decades, when a genetically primed mucosal immune system meets Westernising diet and lifestyle. Early-onset disease is often ileocolonic and more aggressive.</w:t>
            </w:r>
          </w:p>
          <w:p>
            <w:pPr>
              <w:spacing w:after="40" w:before="60" w:line="259" w:lineRule="auto"/>
            </w:pPr>
            <w:r>
              <w:rPr>
                <w:rFonts w:ascii="Calibri" w:hAnsi="Calibri"/>
                <w:b w:val="0"/>
                <w:i w:val="0"/>
                <w:color w:val="212121"/>
                <w:sz w:val="19"/>
              </w:rPr>
              <w:t>Most people who develop Crohn's disease are diagnosed before around 30 years of age, with peak onset in the 20–29 age band.</w:t>
            </w:r>
          </w:p>
          <w:p>
            <w:pPr>
              <w:spacing w:after="40" w:line="252" w:lineRule="auto"/>
            </w:pPr>
            <w:hyperlink r:id="rId9">
              <w:r>
                <w:rPr>
                  <w:rFonts w:ascii="Calibri" w:hAnsi="Calibri" w:cs="Calibri"/>
                  <w:sz w:val="18"/>
                  <w:color w:val="1155CC"/>
                  <w:u w:val="single"/>
                </w:rPr>
                <w:t xml:space="preserve">niddk.nih.gov — Crohn's disease definition &amp; facts</w:t>
              </w:r>
            </w:hyperlink>
          </w:p>
          <w:p>
            <w:pPr>
              <w:spacing w:before="60" w:after="40"/>
            </w:pPr>
            <w:r>
              <w:rPr>
                <w:rFonts w:ascii="Calibri" w:hAnsi="Calibri"/>
                <w:b w:val="0"/>
                <w:i w:val="0"/>
                <w:color w:val="5A5A5A"/>
                <w:sz w:val="18"/>
              </w:rPr>
              <w:t>#youngadults  #peakonset  #ileocolonic  #earlyonset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adults (second peak 50–70 years)</w:t>
            </w:r>
          </w:p>
        </w:tc>
        <w:tc>
          <w:tcPr>
            <w:tcW w:type="dxa" w:w="4276"/>
            <w:vAlign w:val="top"/>
          </w:tcPr>
          <w:p>
            <w:pPr>
              <w:spacing w:after="60" w:line="259" w:lineRule="auto"/>
            </w:pPr>
            <w:r>
              <w:rPr>
                <w:rFonts w:ascii="Calibri" w:hAnsi="Calibri"/>
                <w:b w:val="0"/>
                <w:i w:val="0"/>
                <w:color w:val="212121"/>
                <w:sz w:val="19"/>
              </w:rPr>
              <w:t>A smaller second incidence peak occurs in later life; elderly-onset disease is more often colonic and inflammatory, but is easily confused with ischaemic colitis, diverticular disease, drug-induced colitis and intestinal tuberculosis, delaying diagnosis.</w:t>
            </w:r>
          </w:p>
          <w:p>
            <w:pPr>
              <w:spacing w:after="40" w:before="60" w:line="259" w:lineRule="auto"/>
            </w:pPr>
            <w:r>
              <w:rPr>
                <w:rFonts w:ascii="Calibri" w:hAnsi="Calibri"/>
                <w:b w:val="0"/>
                <w:i w:val="0"/>
                <w:color w:val="212121"/>
                <w:sz w:val="19"/>
              </w:rPr>
              <w:t>Crohn's disease shows a bimodal age distribution, with a second, smaller peak of new diagnoses after 50–60 years.</w:t>
            </w:r>
          </w:p>
          <w:p>
            <w:pPr>
              <w:spacing w:after="40" w:line="252" w:lineRule="auto"/>
            </w:pPr>
            <w:hyperlink r:id="rId10">
              <w:r>
                <w:rPr>
                  <w:rFonts w:ascii="Calibri" w:hAnsi="Calibri" w:cs="Calibri"/>
                  <w:sz w:val="18"/>
                  <w:color w:val="1155CC"/>
                  <w:u w:val="single"/>
                </w:rPr>
                <w:t xml:space="preserve">mayoclinic.org — Crohn's disease symptoms &amp; causes</w:t>
              </w:r>
            </w:hyperlink>
          </w:p>
          <w:p>
            <w:pPr>
              <w:spacing w:before="60" w:after="40"/>
            </w:pPr>
            <w:r>
              <w:rPr>
                <w:rFonts w:ascii="Calibri" w:hAnsi="Calibri"/>
                <w:b w:val="0"/>
                <w:i w:val="0"/>
                <w:color w:val="5A5A5A"/>
                <w:sz w:val="18"/>
              </w:rPr>
              <w:t>#elderly  #bimodal  #coloniccrohns  #differentials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(slight male excess in Indian cohorts)</w:t>
            </w:r>
          </w:p>
        </w:tc>
        <w:tc>
          <w:tcPr>
            <w:tcW w:type="dxa" w:w="4276"/>
            <w:vAlign w:val="top"/>
          </w:tcPr>
          <w:p>
            <w:pPr>
              <w:spacing w:after="60" w:line="259" w:lineRule="auto"/>
            </w:pPr>
            <w:r>
              <w:rPr>
                <w:rFonts w:ascii="Calibri" w:hAnsi="Calibri"/>
                <w:b w:val="0"/>
                <w:i w:val="0"/>
                <w:color w:val="212121"/>
                <w:sz w:val="19"/>
              </w:rPr>
              <w:t>Crohn's disease affects men and women almost equally worldwide; several Indian referral cohorts report a modest male predominance, and women may present with menstrual disturbance, subfertility and pregnancy-related flares.</w:t>
            </w:r>
          </w:p>
          <w:p>
            <w:pPr>
              <w:spacing w:after="40" w:before="60" w:line="259" w:lineRule="auto"/>
            </w:pPr>
            <w:r>
              <w:rPr>
                <w:rFonts w:ascii="Calibri" w:hAnsi="Calibri"/>
                <w:b w:val="0"/>
                <w:i w:val="0"/>
                <w:color w:val="212121"/>
                <w:sz w:val="19"/>
              </w:rPr>
              <w:t>Large Indian IBD cohorts (e.g., Tamil Nadu, n=1,295) describe near-equal sex distribution with a slight male preponderance.</w:t>
            </w:r>
          </w:p>
          <w:p>
            <w:pPr>
              <w:spacing w:after="40" w:line="252" w:lineRule="auto"/>
            </w:pPr>
            <w:hyperlink r:id="rId11">
              <w:r>
                <w:rPr>
                  <w:rFonts w:ascii="Calibri" w:hAnsi="Calibri" w:cs="Calibri"/>
                  <w:sz w:val="18"/>
                  <w:color w:val="1155CC"/>
                  <w:u w:val="single"/>
                </w:rPr>
                <w:t xml:space="preserve">pubmed.ncbi.nlm.nih.gov/34816017 — Tamil Nadu IBD survey</w:t>
              </w:r>
            </w:hyperlink>
          </w:p>
          <w:p>
            <w:pPr>
              <w:spacing w:before="60" w:after="40"/>
            </w:pPr>
            <w:r>
              <w:rPr>
                <w:rFonts w:ascii="Calibri" w:hAnsi="Calibri"/>
                <w:b w:val="0"/>
                <w:i w:val="0"/>
                <w:color w:val="5A5A5A"/>
                <w:sz w:val="18"/>
              </w:rPr>
              <w:t>#sexdistribution  #malepreponderance  #fertility  #pregnancy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higher socioeconomic groups</w:t>
            </w:r>
          </w:p>
        </w:tc>
        <w:tc>
          <w:tcPr>
            <w:tcW w:type="dxa" w:w="4276"/>
            <w:vAlign w:val="top"/>
          </w:tcPr>
          <w:p>
            <w:pPr>
              <w:spacing w:after="60" w:line="259" w:lineRule="auto"/>
            </w:pPr>
            <w:r>
              <w:rPr>
                <w:rFonts w:ascii="Calibri" w:hAnsi="Calibri"/>
                <w:b w:val="0"/>
                <w:i w:val="0"/>
                <w:color w:val="212121"/>
                <w:sz w:val="19"/>
              </w:rPr>
              <w:t>Incidence is rising fastest in urban, higher-income Indian populations. The “hygiene hypothesis” holds that reduced early-life microbial exposure, small family size and sanitised environments impair immune tolerance, while urban diets add a second hit.</w:t>
            </w:r>
          </w:p>
          <w:p>
            <w:pPr>
              <w:spacing w:after="40" w:before="60" w:line="259" w:lineRule="auto"/>
            </w:pPr>
            <w:r>
              <w:rPr>
                <w:rFonts w:ascii="Calibri" w:hAnsi="Calibri"/>
                <w:b w:val="0"/>
                <w:i w:val="0"/>
                <w:color w:val="212121"/>
                <w:sz w:val="19"/>
              </w:rPr>
              <w:t>India's IBD burden is concentrated in urbanising, higher-SES settings, mirroring the country's epidemiological transition.</w:t>
            </w:r>
          </w:p>
          <w:p>
            <w:pPr>
              <w:spacing w:after="40" w:line="252" w:lineRule="auto"/>
            </w:pPr>
            <w:hyperlink r:id="rId12">
              <w:r>
                <w:rPr>
                  <w:rFonts w:ascii="Calibri" w:hAnsi="Calibri" w:cs="Calibri"/>
                  <w:sz w:val="18"/>
                  <w:color w:val="1155CC"/>
                  <w:u w:val="single"/>
                </w:rPr>
                <w:t xml:space="preserve">pubmed.ncbi.nlm.nih.gov/30018961 — IBD in India: the great shift east</w:t>
              </w:r>
            </w:hyperlink>
          </w:p>
          <w:p>
            <w:pPr>
              <w:spacing w:before="60" w:after="40"/>
            </w:pPr>
            <w:r>
              <w:rPr>
                <w:rFonts w:ascii="Calibri" w:hAnsi="Calibri"/>
                <w:b w:val="0"/>
                <w:i w:val="0"/>
                <w:color w:val="5A5A5A"/>
                <w:sz w:val="18"/>
              </w:rPr>
              <w:t>#urbanisation  #hygienehypothesis  #highSES  #transition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Ashkenazi Jewish &amp; White European descent</w:t>
            </w:r>
          </w:p>
        </w:tc>
        <w:tc>
          <w:tcPr>
            <w:tcW w:type="dxa" w:w="4276"/>
            <w:vAlign w:val="top"/>
          </w:tcPr>
          <w:p>
            <w:pPr>
              <w:spacing w:after="60" w:line="259" w:lineRule="auto"/>
            </w:pPr>
            <w:r>
              <w:rPr>
                <w:rFonts w:ascii="Calibri" w:hAnsi="Calibri"/>
                <w:b w:val="0"/>
                <w:i w:val="0"/>
                <w:color w:val="212121"/>
                <w:sz w:val="19"/>
              </w:rPr>
              <w:t>Global risk is highest in people of White, especially Eastern-European (Ashkenazi) Jewish ancestry, reflecting a heavier load of susceptibility alleles such as NOD2/CARD15.</w:t>
            </w:r>
          </w:p>
          <w:p>
            <w:pPr>
              <w:spacing w:after="40" w:before="60" w:line="259" w:lineRule="auto"/>
            </w:pPr>
            <w:r>
              <w:rPr>
                <w:rFonts w:ascii="Calibri" w:hAnsi="Calibri"/>
                <w:b w:val="0"/>
                <w:i w:val="0"/>
                <w:color w:val="212121"/>
                <w:sz w:val="19"/>
              </w:rPr>
              <w:t>White people have the highest risk of Crohn's disease, especially those of Eastern European (Ashkenazi) Jewish descent.</w:t>
            </w:r>
          </w:p>
          <w:p>
            <w:pPr>
              <w:spacing w:after="40" w:line="252" w:lineRule="auto"/>
            </w:pPr>
            <w:hyperlink r:id="rId10">
              <w:r>
                <w:rPr>
                  <w:rFonts w:ascii="Calibri" w:hAnsi="Calibri" w:cs="Calibri"/>
                  <w:sz w:val="18"/>
                  <w:color w:val="1155CC"/>
                  <w:u w:val="single"/>
                </w:rPr>
                <w:t xml:space="preserve">mayoclinic.org — Crohn's disease symptoms &amp; causes</w:t>
              </w:r>
            </w:hyperlink>
          </w:p>
          <w:p>
            <w:pPr>
              <w:spacing w:before="60" w:after="40"/>
            </w:pPr>
            <w:r>
              <w:rPr>
                <w:rFonts w:ascii="Calibri" w:hAnsi="Calibri"/>
                <w:b w:val="0"/>
                <w:i w:val="0"/>
                <w:color w:val="5A5A5A"/>
                <w:sz w:val="18"/>
              </w:rPr>
              <w:t>#ashkenazi  #ethnicity  #NOD2  #geneticload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Urban and northern/eastern Indians; TB-endemic areas</w:t>
            </w:r>
          </w:p>
        </w:tc>
        <w:tc>
          <w:tcPr>
            <w:tcW w:type="dxa" w:w="4276"/>
            <w:vAlign w:val="top"/>
          </w:tcPr>
          <w:p>
            <w:pPr>
              <w:spacing w:after="60" w:line="259" w:lineRule="auto"/>
            </w:pPr>
            <w:r>
              <w:rPr>
                <w:rFonts w:ascii="Calibri" w:hAnsi="Calibri"/>
                <w:b w:val="0"/>
                <w:i w:val="0"/>
                <w:color w:val="212121"/>
                <w:sz w:val="19"/>
              </w:rPr>
              <w:t>Crohn's disease is increasingly reported from across India, but the TB-endemic environment makes diagnosis uniquely hard: Crohn's and intestinal tuberculosis share ileocaecal location, granulomas and imaging features, and misclassification is common and potentially dangerous.</w:t>
            </w:r>
          </w:p>
          <w:p>
            <w:pPr>
              <w:spacing w:after="40" w:before="60" w:line="259" w:lineRule="auto"/>
            </w:pPr>
            <w:r>
              <w:rPr>
                <w:rFonts w:ascii="Calibri" w:hAnsi="Calibri"/>
                <w:b w:val="0"/>
                <w:i w:val="0"/>
                <w:color w:val="212121"/>
                <w:sz w:val="19"/>
              </w:rPr>
              <w:t>Distinguishing Crohn's disease from intestinal tuberculosis remains a major challenge in India, and an anti-tubercular therapy trial is still required in a significant proportion of patients to settle the diagnosis.</w:t>
            </w:r>
          </w:p>
          <w:p>
            <w:pPr>
              <w:spacing w:after="40" w:line="252" w:lineRule="auto"/>
            </w:pPr>
            <w:hyperlink r:id="rId13">
              <w:r>
                <w:rPr>
                  <w:rFonts w:ascii="Calibri" w:hAnsi="Calibri" w:cs="Calibri"/>
                  <w:sz w:val="18"/>
                  <w:color w:val="1155CC"/>
                  <w:u w:val="single"/>
                </w:rPr>
                <w:t xml:space="preserve">pubmed.ncbi.nlm.nih.gov/30700939 — differentiating CD from intestinal TB</w:t>
              </w:r>
            </w:hyperlink>
          </w:p>
          <w:p>
            <w:pPr>
              <w:spacing w:before="60" w:after="40"/>
            </w:pPr>
            <w:r>
              <w:rPr>
                <w:rFonts w:ascii="Calibri" w:hAnsi="Calibri"/>
                <w:b w:val="0"/>
                <w:i w:val="0"/>
                <w:color w:val="5A5A5A"/>
                <w:sz w:val="18"/>
              </w:rPr>
              <w:t>#intestinalTB  #ileocaecal  #misdiagnosis  #ATTtrial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Migration</w:t>
            </w:r>
          </w:p>
        </w:tc>
        <w:tc>
          <w:tcPr>
            <w:tcW w:type="dxa" w:w="2160"/>
            <w:vAlign w:val="top"/>
          </w:tcPr>
          <w:p>
            <w:pPr>
              <w:spacing w:after="40" w:before="0" w:line="259" w:lineRule="auto"/>
            </w:pPr>
            <w:r>
              <w:rPr>
                <w:rFonts w:ascii="Calibri" w:hAnsi="Calibri"/>
                <w:b w:val="0"/>
                <w:i w:val="0"/>
                <w:color w:val="212121"/>
                <w:sz w:val="19"/>
              </w:rPr>
              <w:t>Second-generation South Asian immigrants to the West</w:t>
            </w:r>
          </w:p>
        </w:tc>
        <w:tc>
          <w:tcPr>
            <w:tcW w:type="dxa" w:w="4276"/>
            <w:vAlign w:val="top"/>
          </w:tcPr>
          <w:p>
            <w:pPr>
              <w:spacing w:after="60" w:line="259" w:lineRule="auto"/>
            </w:pPr>
            <w:r>
              <w:rPr>
                <w:rFonts w:ascii="Calibri" w:hAnsi="Calibri"/>
                <w:b w:val="0"/>
                <w:i w:val="0"/>
                <w:color w:val="212121"/>
                <w:sz w:val="19"/>
              </w:rPr>
              <w:t>Indians who migrate to Western countries—and especially their children born there—acquire the higher incidence of the host country, showing that environment and diet, not ethnicity alone, drive the rise.</w:t>
            </w:r>
          </w:p>
          <w:p>
            <w:pPr>
              <w:spacing w:after="40" w:before="60" w:line="259" w:lineRule="auto"/>
            </w:pPr>
            <w:r>
              <w:rPr>
                <w:rFonts w:ascii="Calibri" w:hAnsi="Calibri"/>
                <w:b w:val="0"/>
                <w:i w:val="0"/>
                <w:color w:val="212121"/>
                <w:sz w:val="19"/>
              </w:rPr>
              <w:t>IBD incidence in second-generation Indian immigrants is similar to that of Western populations, implicating environmental exposures.</w:t>
            </w:r>
          </w:p>
          <w:p>
            <w:pPr>
              <w:spacing w:after="40" w:line="252" w:lineRule="auto"/>
            </w:pPr>
            <w:hyperlink r:id="rId12">
              <w:r>
                <w:rPr>
                  <w:rFonts w:ascii="Calibri" w:hAnsi="Calibri" w:cs="Calibri"/>
                  <w:sz w:val="18"/>
                  <w:color w:val="1155CC"/>
                  <w:u w:val="single"/>
                </w:rPr>
                <w:t xml:space="preserve">pubmed.ncbi.nlm.nih.gov/30018961 — IBD in India: the great shift east</w:t>
              </w:r>
            </w:hyperlink>
          </w:p>
          <w:p>
            <w:pPr>
              <w:spacing w:before="60" w:after="40"/>
            </w:pPr>
            <w:r>
              <w:rPr>
                <w:rFonts w:ascii="Calibri" w:hAnsi="Calibri"/>
                <w:b w:val="0"/>
                <w:i w:val="0"/>
                <w:color w:val="5A5A5A"/>
                <w:sz w:val="18"/>
              </w:rPr>
              <w:t>#migrants  #secondgeneration  #environment  #westernisation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cigarette smokers</w:t>
            </w:r>
          </w:p>
        </w:tc>
        <w:tc>
          <w:tcPr>
            <w:tcW w:type="dxa" w:w="4276"/>
            <w:vAlign w:val="top"/>
          </w:tcPr>
          <w:p>
            <w:pPr>
              <w:spacing w:after="60" w:line="259" w:lineRule="auto"/>
            </w:pPr>
            <w:r>
              <w:rPr>
                <w:rFonts w:ascii="Calibri" w:hAnsi="Calibri"/>
                <w:b w:val="0"/>
                <w:i w:val="0"/>
                <w:color w:val="212121"/>
                <w:sz w:val="19"/>
              </w:rPr>
              <w:t>Unlike ulcerative colitis (where smoking is paradoxically protective), smoking roughly doubles the risk of developing Crohn's disease and drives a worse course with more flares, more operations and higher recurrence — making it the key modifiable factor.</w:t>
            </w:r>
          </w:p>
          <w:p>
            <w:pPr>
              <w:spacing w:after="40" w:before="60" w:line="259" w:lineRule="auto"/>
            </w:pPr>
            <w:r>
              <w:rPr>
                <w:rFonts w:ascii="Calibri" w:hAnsi="Calibri"/>
                <w:b w:val="0"/>
                <w:i w:val="0"/>
                <w:color w:val="212121"/>
                <w:sz w:val="19"/>
              </w:rPr>
              <w:t>In smokers with Crohn's disease the odds are raised for disease flare (OR 1.56), flare after surgery (OR 1.97), need for first surgery (OR 1.68) and second surgery (OR 2.17); risk falls after cessation.</w:t>
            </w:r>
          </w:p>
          <w:p>
            <w:pPr>
              <w:spacing w:after="40" w:line="252" w:lineRule="auto"/>
            </w:pPr>
            <w:hyperlink r:id="rId14">
              <w:r>
                <w:rPr>
                  <w:rFonts w:ascii="Calibri" w:hAnsi="Calibri" w:cs="Calibri"/>
                  <w:sz w:val="18"/>
                  <w:color w:val="1155CC"/>
                  <w:u w:val="single"/>
                </w:rPr>
                <w:t xml:space="preserve">pubmed.ncbi.nlm.nih.gov/26749371 — smoking &amp; Crohn's natural history (meta-analysis)</w:t>
              </w:r>
            </w:hyperlink>
          </w:p>
          <w:p>
            <w:pPr>
              <w:spacing w:before="60" w:after="40"/>
            </w:pPr>
            <w:r>
              <w:rPr>
                <w:rFonts w:ascii="Calibri" w:hAnsi="Calibri"/>
                <w:b w:val="0"/>
                <w:i w:val="0"/>
                <w:color w:val="5A5A5A"/>
                <w:sz w:val="18"/>
              </w:rPr>
              <w:t>#smoking  #modifiable  #worsecourse  #surgery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Physically inactive, sedentary urban adults</w:t>
            </w:r>
          </w:p>
        </w:tc>
        <w:tc>
          <w:tcPr>
            <w:tcW w:type="dxa" w:w="4276"/>
            <w:vAlign w:val="top"/>
          </w:tcPr>
          <w:p>
            <w:pPr>
              <w:spacing w:after="60" w:line="259" w:lineRule="auto"/>
            </w:pPr>
            <w:r>
              <w:rPr>
                <w:rFonts w:ascii="Calibri" w:hAnsi="Calibri"/>
                <w:b w:val="0"/>
                <w:i w:val="0"/>
                <w:color w:val="212121"/>
                <w:sz w:val="19"/>
              </w:rPr>
              <w:t>Physical inactivity clusters with Western diet and obesity and is associated with higher IBD incidence, while regular moderate activity may lower risk and helps preserve bone and muscle in established disease.</w:t>
            </w:r>
          </w:p>
          <w:p>
            <w:pPr>
              <w:spacing w:before="60" w:after="40"/>
            </w:pPr>
            <w:r>
              <w:rPr>
                <w:rFonts w:ascii="Calibri" w:hAnsi="Calibri"/>
                <w:b w:val="0"/>
                <w:i w:val="0"/>
                <w:color w:val="5A5A5A"/>
                <w:sz w:val="18"/>
              </w:rPr>
              <w:t>#sedentary  #inactivity  #bonehealth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consumers</w:t>
            </w:r>
          </w:p>
        </w:tc>
        <w:tc>
          <w:tcPr>
            <w:tcW w:type="dxa" w:w="4276"/>
            <w:vAlign w:val="top"/>
          </w:tcPr>
          <w:p>
            <w:pPr>
              <w:spacing w:after="60" w:line="259" w:lineRule="auto"/>
            </w:pPr>
            <w:r>
              <w:rPr>
                <w:rFonts w:ascii="Calibri" w:hAnsi="Calibri"/>
                <w:b w:val="0"/>
                <w:i w:val="0"/>
                <w:color w:val="212121"/>
                <w:sz w:val="19"/>
              </w:rPr>
              <w:t>Alcohol is not an established cause of Crohn's disease, but sulphite-containing drinks and heavy intake can aggravate diarrhoea and abdominal symptoms and interact with hepatotoxic and immunosuppressive therapy (e.g., methotrexate, azathioprine).</w:t>
            </w:r>
          </w:p>
          <w:p>
            <w:pPr>
              <w:spacing w:before="60" w:after="40"/>
            </w:pPr>
            <w:r>
              <w:rPr>
                <w:rFonts w:ascii="Calibri" w:hAnsi="Calibri"/>
                <w:b w:val="0"/>
                <w:i w:val="0"/>
                <w:color w:val="5A5A5A"/>
                <w:sz w:val="18"/>
              </w:rPr>
              <w:t>#alcohol  #sulphites  #symptomtrigger  #druginteraction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obesity</w:t>
            </w:r>
          </w:p>
        </w:tc>
        <w:tc>
          <w:tcPr>
            <w:tcW w:type="dxa" w:w="2160"/>
            <w:vAlign w:val="top"/>
          </w:tcPr>
          <w:p>
            <w:pPr>
              <w:spacing w:after="40" w:before="0" w:line="259" w:lineRule="auto"/>
            </w:pPr>
            <w:r>
              <w:rPr>
                <w:rFonts w:ascii="Calibri" w:hAnsi="Calibri"/>
                <w:b w:val="0"/>
                <w:i w:val="0"/>
                <w:color w:val="212121"/>
                <w:sz w:val="19"/>
              </w:rPr>
              <w:t>Overweight and obese adults (emerging risk)</w:t>
            </w:r>
          </w:p>
        </w:tc>
        <w:tc>
          <w:tcPr>
            <w:tcW w:type="dxa" w:w="4276"/>
            <w:vAlign w:val="top"/>
          </w:tcPr>
          <w:p>
            <w:pPr>
              <w:spacing w:after="60" w:line="259" w:lineRule="auto"/>
            </w:pPr>
            <w:r>
              <w:rPr>
                <w:rFonts w:ascii="Calibri" w:hAnsi="Calibri"/>
                <w:b w:val="0"/>
                <w:i w:val="0"/>
                <w:color w:val="212121"/>
                <w:sz w:val="19"/>
              </w:rPr>
              <w:t>Although many Crohn's patients are underweight from malabsorption, rising adiposity is an emerging risk factor: visceral (mesenteric “creeping”) fat is metabolically active, secreting pro-inflammatory cytokines, and obesity complicates surgery and blunts response to biologics.</w:t>
            </w:r>
          </w:p>
          <w:p>
            <w:pPr>
              <w:spacing w:before="60" w:after="40"/>
            </w:pPr>
            <w:r>
              <w:rPr>
                <w:rFonts w:ascii="Calibri" w:hAnsi="Calibri"/>
                <w:b w:val="0"/>
                <w:i w:val="0"/>
                <w:color w:val="5A5A5A"/>
                <w:sz w:val="18"/>
              </w:rPr>
              <w:t>#obesity  #visceralfat  #creepingfat  #biologicresponse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ultra-processed, high-fat, low-fibre “Western” diet</w:t>
            </w:r>
          </w:p>
        </w:tc>
        <w:tc>
          <w:tcPr>
            <w:tcW w:type="dxa" w:w="4276"/>
            <w:vAlign w:val="top"/>
          </w:tcPr>
          <w:p>
            <w:pPr>
              <w:spacing w:after="60" w:line="259" w:lineRule="auto"/>
            </w:pPr>
            <w:r>
              <w:rPr>
                <w:rFonts w:ascii="Calibri" w:hAnsi="Calibri"/>
                <w:b w:val="0"/>
                <w:i w:val="0"/>
                <w:color w:val="212121"/>
                <w:sz w:val="19"/>
              </w:rPr>
              <w:t>Diets rich in ultra-processed foods, emulsifiers, refined sugar and animal fat with little fibre promote dysbiosis and mucosal inflammation; such diets are spreading rapidly among urban Indians.</w:t>
            </w:r>
          </w:p>
          <w:p>
            <w:pPr>
              <w:spacing w:after="40" w:before="60" w:line="259" w:lineRule="auto"/>
            </w:pPr>
            <w:r>
              <w:rPr>
                <w:rFonts w:ascii="Calibri" w:hAnsi="Calibri"/>
                <w:b w:val="0"/>
                <w:i w:val="0"/>
                <w:color w:val="212121"/>
                <w:sz w:val="19"/>
              </w:rPr>
              <w:t>Umbrella and systematic reviews link ultra-processed foods and high red/processed-meat, low-fibre Western dietary patterns with increased incidence and progression of IBD.</w:t>
            </w:r>
          </w:p>
          <w:p>
            <w:pPr>
              <w:spacing w:after="40" w:line="252" w:lineRule="auto"/>
            </w:pPr>
            <w:hyperlink r:id="rId15">
              <w:r>
                <w:rPr>
                  <w:rFonts w:ascii="Calibri" w:hAnsi="Calibri" w:cs="Calibri"/>
                  <w:sz w:val="18"/>
                  <w:color w:val="1155CC"/>
                  <w:u w:val="single"/>
                </w:rPr>
                <w:t xml:space="preserve">pubmed.ncbi.nlm.nih.gov/38599319 — diet &amp; IBD umbrella review</w:t>
              </w:r>
            </w:hyperlink>
          </w:p>
          <w:p>
            <w:pPr>
              <w:spacing w:before="60" w:after="40"/>
            </w:pPr>
            <w:r>
              <w:rPr>
                <w:rFonts w:ascii="Calibri" w:hAnsi="Calibri"/>
                <w:b w:val="0"/>
                <w:i w:val="0"/>
                <w:color w:val="5A5A5A"/>
                <w:sz w:val="18"/>
              </w:rPr>
              <w:t>#ultraprocessed  #emulsifiers  #lowfibre  #westerndiet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Micronutrients</w:t>
            </w:r>
          </w:p>
        </w:tc>
        <w:tc>
          <w:tcPr>
            <w:tcW w:type="dxa" w:w="2160"/>
            <w:vAlign w:val="top"/>
          </w:tcPr>
          <w:p>
            <w:pPr>
              <w:spacing w:after="40" w:before="0" w:line="259" w:lineRule="auto"/>
            </w:pPr>
            <w:r>
              <w:rPr>
                <w:rFonts w:ascii="Calibri" w:hAnsi="Calibri"/>
                <w:b w:val="0"/>
                <w:i w:val="0"/>
                <w:color w:val="212121"/>
                <w:sz w:val="19"/>
              </w:rPr>
              <w:t>Low fruit, vegetable, fibre, folate &amp; vitamin-D intake</w:t>
            </w:r>
          </w:p>
        </w:tc>
        <w:tc>
          <w:tcPr>
            <w:tcW w:type="dxa" w:w="4276"/>
            <w:vAlign w:val="top"/>
          </w:tcPr>
          <w:p>
            <w:pPr>
              <w:spacing w:after="60" w:line="259" w:lineRule="auto"/>
            </w:pPr>
            <w:r>
              <w:rPr>
                <w:rFonts w:ascii="Calibri" w:hAnsi="Calibri"/>
                <w:b w:val="0"/>
                <w:i w:val="0"/>
                <w:color w:val="212121"/>
                <w:sz w:val="19"/>
              </w:rPr>
              <w:t>Diets low in fruit, vegetables and fibre and deficient in folate and vitamin D are associated with higher IBD risk, whereas these nutrients and breastfeeding appear protective.</w:t>
            </w:r>
          </w:p>
          <w:p>
            <w:pPr>
              <w:spacing w:after="40" w:before="60" w:line="259" w:lineRule="auto"/>
            </w:pPr>
            <w:r>
              <w:rPr>
                <w:rFonts w:ascii="Calibri" w:hAnsi="Calibri"/>
                <w:b w:val="0"/>
                <w:i w:val="0"/>
                <w:color w:val="212121"/>
                <w:sz w:val="19"/>
              </w:rPr>
              <w:t>An umbrella review of meta-analyses found high dietary fibre, fruit, folate and vitamin D associated with reduced IBD risk, and soft drinks with increased risk.</w:t>
            </w:r>
          </w:p>
          <w:p>
            <w:pPr>
              <w:spacing w:after="40" w:line="252" w:lineRule="auto"/>
            </w:pPr>
            <w:hyperlink r:id="rId16">
              <w:r>
                <w:rPr>
                  <w:rFonts w:ascii="Calibri" w:hAnsi="Calibri" w:cs="Calibri"/>
                  <w:sz w:val="18"/>
                  <w:color w:val="1155CC"/>
                  <w:u w:val="single"/>
                </w:rPr>
                <w:t xml:space="preserve">pubmed.ncbi.nlm.nih.gov/31014995 — environmental risk factors for IBD (umbrella review)</w:t>
              </w:r>
            </w:hyperlink>
          </w:p>
          <w:p>
            <w:pPr>
              <w:spacing w:before="60" w:after="40"/>
            </w:pPr>
            <w:r>
              <w:rPr>
                <w:rFonts w:ascii="Calibri" w:hAnsi="Calibri"/>
                <w:b w:val="0"/>
                <w:i w:val="0"/>
                <w:color w:val="5A5A5A"/>
                <w:sz w:val="18"/>
              </w:rPr>
              <w:t>#fibre  #vitaminD  #folate  #protectivediet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 Crohn's patient</w:t>
            </w:r>
          </w:p>
        </w:tc>
        <w:tc>
          <w:tcPr>
            <w:tcW w:type="dxa" w:w="4276"/>
            <w:vAlign w:val="top"/>
          </w:tcPr>
          <w:p>
            <w:pPr>
              <w:spacing w:after="60" w:line="259" w:lineRule="auto"/>
            </w:pPr>
            <w:r>
              <w:rPr>
                <w:rFonts w:ascii="Calibri" w:hAnsi="Calibri"/>
                <w:b w:val="0"/>
                <w:i w:val="0"/>
                <w:color w:val="212121"/>
                <w:sz w:val="19"/>
              </w:rPr>
              <w:t>A family history of IBD is the strongest single risk factor; parents, siblings and children of an affected person share susceptibility genes, though this clustering is notably weaker in Indian families.</w:t>
            </w:r>
          </w:p>
          <w:p>
            <w:pPr>
              <w:spacing w:after="40" w:before="60" w:line="259" w:lineRule="auto"/>
            </w:pPr>
            <w:r>
              <w:rPr>
                <w:rFonts w:ascii="Calibri" w:hAnsi="Calibri"/>
                <w:b w:val="0"/>
                <w:i w:val="0"/>
                <w:color w:val="212121"/>
                <w:sz w:val="19"/>
              </w:rPr>
              <w:t>As many as 1 in 5 people with Crohn's disease has a first-degree family member with the disease.</w:t>
            </w:r>
          </w:p>
          <w:p>
            <w:pPr>
              <w:spacing w:after="40" w:line="252" w:lineRule="auto"/>
            </w:pPr>
            <w:hyperlink r:id="rId10">
              <w:r>
                <w:rPr>
                  <w:rFonts w:ascii="Calibri" w:hAnsi="Calibri" w:cs="Calibri"/>
                  <w:sz w:val="18"/>
                  <w:color w:val="1155CC"/>
                  <w:u w:val="single"/>
                </w:rPr>
                <w:t xml:space="preserve">mayoclinic.org — Crohn's disease symptoms &amp; causes</w:t>
              </w:r>
            </w:hyperlink>
          </w:p>
          <w:p>
            <w:pPr>
              <w:spacing w:before="60" w:after="40"/>
            </w:pPr>
            <w:r>
              <w:rPr>
                <w:rFonts w:ascii="Calibri" w:hAnsi="Calibri"/>
                <w:b w:val="0"/>
                <w:i w:val="0"/>
                <w:color w:val="5A5A5A"/>
                <w:sz w:val="18"/>
              </w:rPr>
              <w:t>#familyhistory  #firstdegree  #heritable  #IBDrisk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Susceptibility genes</w:t>
            </w:r>
          </w:p>
        </w:tc>
        <w:tc>
          <w:tcPr>
            <w:tcW w:type="dxa" w:w="2160"/>
            <w:vAlign w:val="top"/>
          </w:tcPr>
          <w:p>
            <w:pPr>
              <w:spacing w:after="40" w:before="0" w:line="259" w:lineRule="auto"/>
            </w:pPr>
            <w:r>
              <w:rPr>
                <w:rFonts w:ascii="Calibri" w:hAnsi="Calibri"/>
                <w:b w:val="0"/>
                <w:i w:val="0"/>
                <w:color w:val="212121"/>
                <w:sz w:val="19"/>
              </w:rPr>
              <w:t>Carriers of NOD2/CARD15 and other IBD risk alleles</w:t>
            </w:r>
          </w:p>
        </w:tc>
        <w:tc>
          <w:tcPr>
            <w:tcW w:type="dxa" w:w="4276"/>
            <w:vAlign w:val="top"/>
          </w:tcPr>
          <w:p>
            <w:pPr>
              <w:spacing w:after="60" w:line="259" w:lineRule="auto"/>
            </w:pPr>
            <w:r>
              <w:rPr>
                <w:rFonts w:ascii="Calibri" w:hAnsi="Calibri"/>
                <w:b w:val="0"/>
                <w:i w:val="0"/>
                <w:color w:val="212121"/>
                <w:sz w:val="19"/>
              </w:rPr>
              <w:t>Polymorphisms in more than 200 loci, led by NOD2/CARD15, impair bacterial sensing and autophagy and predispose to ileal, stricturing disease; these variants are less frequent in Indian than Western patients.</w:t>
            </w:r>
          </w:p>
          <w:p>
            <w:pPr>
              <w:spacing w:after="40" w:before="60" w:line="259" w:lineRule="auto"/>
            </w:pPr>
            <w:r>
              <w:rPr>
                <w:rFonts w:ascii="Calibri" w:hAnsi="Calibri"/>
                <w:b w:val="0"/>
                <w:i w:val="0"/>
                <w:color w:val="212121"/>
                <w:sz w:val="19"/>
              </w:rPr>
              <w:t>More than 200 genes have been associated with Crohn's disease, with NOD2/CARD15 the best-established.</w:t>
            </w:r>
          </w:p>
          <w:p>
            <w:pPr>
              <w:spacing w:after="40" w:line="252" w:lineRule="auto"/>
            </w:pPr>
            <w:hyperlink r:id="rId10">
              <w:r>
                <w:rPr>
                  <w:rFonts w:ascii="Calibri" w:hAnsi="Calibri" w:cs="Calibri"/>
                  <w:sz w:val="18"/>
                  <w:color w:val="1155CC"/>
                  <w:u w:val="single"/>
                </w:rPr>
                <w:t xml:space="preserve">mayoclinic.org — Crohn's disease symptoms &amp; causes</w:t>
              </w:r>
            </w:hyperlink>
          </w:p>
          <w:p>
            <w:pPr>
              <w:spacing w:before="60" w:after="40"/>
            </w:pPr>
            <w:r>
              <w:rPr>
                <w:rFonts w:ascii="Calibri" w:hAnsi="Calibri"/>
                <w:b w:val="0"/>
                <w:i w:val="0"/>
                <w:color w:val="5A5A5A"/>
                <w:sz w:val="18"/>
              </w:rPr>
              <w:t>#NOD2  #CARD15  #autophagy  #polygenic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Intestinal tuberculosis</w:t>
            </w:r>
          </w:p>
        </w:tc>
        <w:tc>
          <w:tcPr>
            <w:tcW w:type="dxa" w:w="2160"/>
            <w:vAlign w:val="top"/>
          </w:tcPr>
          <w:p>
            <w:pPr>
              <w:spacing w:after="40" w:before="0" w:line="259" w:lineRule="auto"/>
            </w:pPr>
            <w:r>
              <w:rPr>
                <w:rFonts w:ascii="Calibri" w:hAnsi="Calibri"/>
                <w:b w:val="0"/>
                <w:i w:val="0"/>
                <w:color w:val="212121"/>
                <w:sz w:val="19"/>
              </w:rPr>
              <w:t>Patients in TB-endemic India / prior or suspected intestinal TB</w:t>
            </w:r>
          </w:p>
        </w:tc>
        <w:tc>
          <w:tcPr>
            <w:tcW w:type="dxa" w:w="4276"/>
            <w:vAlign w:val="top"/>
          </w:tcPr>
          <w:p>
            <w:pPr>
              <w:spacing w:after="60" w:line="259" w:lineRule="auto"/>
            </w:pPr>
            <w:r>
              <w:rPr>
                <w:rFonts w:ascii="Calibri" w:hAnsi="Calibri"/>
                <w:b w:val="0"/>
                <w:i w:val="0"/>
                <w:color w:val="212121"/>
                <w:sz w:val="19"/>
              </w:rPr>
              <w:t>Intestinal tuberculosis is the great mimic of ileocaecal Crohn's disease in India; the two share clinical, endoscopic and histological features, and misdiagnosis risks either untreated TB dissemination on immunosuppression or unnecessary anti-tubercular therapy.</w:t>
            </w:r>
          </w:p>
          <w:p>
            <w:pPr>
              <w:spacing w:after="40" w:before="60" w:line="259" w:lineRule="auto"/>
            </w:pPr>
            <w:r>
              <w:rPr>
                <w:rFonts w:ascii="Calibri" w:hAnsi="Calibri"/>
                <w:b w:val="0"/>
                <w:i w:val="0"/>
                <w:color w:val="212121"/>
                <w:sz w:val="19"/>
              </w:rPr>
              <w:t>Fever and night sweats and caseating granulomas/positive AFB favour tuberculosis, while diarrhoea, haematochezia and perianal disease favour Crohn's, yet an empirical anti-tubercular therapy trial is still often required.</w:t>
            </w:r>
          </w:p>
          <w:p>
            <w:pPr>
              <w:spacing w:after="40" w:line="252" w:lineRule="auto"/>
            </w:pPr>
            <w:hyperlink r:id="rId13">
              <w:r>
                <w:rPr>
                  <w:rFonts w:ascii="Calibri" w:hAnsi="Calibri" w:cs="Calibri"/>
                  <w:sz w:val="18"/>
                  <w:color w:val="1155CC"/>
                  <w:u w:val="single"/>
                </w:rPr>
                <w:t xml:space="preserve">pubmed.ncbi.nlm.nih.gov/30700939 — differentiating CD from intestinal TB</w:t>
              </w:r>
            </w:hyperlink>
          </w:p>
          <w:p>
            <w:pPr>
              <w:spacing w:before="60" w:after="40"/>
            </w:pPr>
            <w:r>
              <w:rPr>
                <w:rFonts w:ascii="Calibri" w:hAnsi="Calibri"/>
                <w:b w:val="0"/>
                <w:i w:val="0"/>
                <w:color w:val="5A5A5A"/>
                <w:sz w:val="18"/>
              </w:rPr>
              <w:t>#intestinalTB  #greatmimic  #caseation  #ATTtrial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appendectomy</w:t>
            </w:r>
          </w:p>
        </w:tc>
        <w:tc>
          <w:tcPr>
            <w:tcW w:type="dxa" w:w="2160"/>
            <w:vAlign w:val="top"/>
          </w:tcPr>
          <w:p>
            <w:pPr>
              <w:spacing w:after="40" w:before="0" w:line="259" w:lineRule="auto"/>
            </w:pPr>
            <w:r>
              <w:rPr>
                <w:rFonts w:ascii="Calibri" w:hAnsi="Calibri"/>
                <w:b w:val="0"/>
                <w:i w:val="0"/>
                <w:color w:val="212121"/>
                <w:sz w:val="19"/>
              </w:rPr>
              <w:t>Individuals with previous appendectomy</w:t>
            </w:r>
          </w:p>
        </w:tc>
        <w:tc>
          <w:tcPr>
            <w:tcW w:type="dxa" w:w="4276"/>
            <w:vAlign w:val="top"/>
          </w:tcPr>
          <w:p>
            <w:pPr>
              <w:spacing w:after="60" w:line="259" w:lineRule="auto"/>
            </w:pPr>
            <w:r>
              <w:rPr>
                <w:rFonts w:ascii="Calibri" w:hAnsi="Calibri"/>
                <w:b w:val="0"/>
                <w:i w:val="0"/>
                <w:color w:val="212121"/>
                <w:sz w:val="19"/>
              </w:rPr>
              <w:t>Unlike ulcerative colitis, prior appendectomy is associated with an increased risk of developing Crohn's disease, possibly reflecting altered mucosal immunity or reverse causation from early undiagnosed disease.</w:t>
            </w:r>
          </w:p>
          <w:p>
            <w:pPr>
              <w:spacing w:after="40" w:before="60" w:line="259" w:lineRule="auto"/>
            </w:pPr>
            <w:r>
              <w:rPr>
                <w:rFonts w:ascii="Calibri" w:hAnsi="Calibri"/>
                <w:b w:val="0"/>
                <w:i w:val="0"/>
                <w:color w:val="212121"/>
                <w:sz w:val="19"/>
              </w:rPr>
              <w:t>Umbrella reviews of meta-analyses identify appendectomy as a factor associated with increased Crohn's disease risk.</w:t>
            </w:r>
          </w:p>
          <w:p>
            <w:pPr>
              <w:spacing w:after="40" w:line="252" w:lineRule="auto"/>
            </w:pPr>
            <w:hyperlink r:id="rId16">
              <w:r>
                <w:rPr>
                  <w:rFonts w:ascii="Calibri" w:hAnsi="Calibri" w:cs="Calibri"/>
                  <w:sz w:val="18"/>
                  <w:color w:val="1155CC"/>
                  <w:u w:val="single"/>
                </w:rPr>
                <w:t xml:space="preserve">pubmed.ncbi.nlm.nih.gov/31014995 — environmental risk factors for IBD (umbrella review)</w:t>
              </w:r>
            </w:hyperlink>
          </w:p>
          <w:p>
            <w:pPr>
              <w:spacing w:before="60" w:after="40"/>
            </w:pPr>
            <w:r>
              <w:rPr>
                <w:rFonts w:ascii="Calibri" w:hAnsi="Calibri"/>
                <w:b w:val="0"/>
                <w:i w:val="0"/>
                <w:color w:val="5A5A5A"/>
                <w:sz w:val="18"/>
              </w:rPr>
              <w:t>#appendectomy  #mucosalimmunity  #riskfactor  #CDvsUC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Spondyloarthropathy</w:t>
            </w:r>
          </w:p>
        </w:tc>
        <w:tc>
          <w:tcPr>
            <w:tcW w:type="dxa" w:w="2160"/>
            <w:vAlign w:val="top"/>
          </w:tcPr>
          <w:p>
            <w:pPr>
              <w:spacing w:after="40" w:before="0" w:line="259" w:lineRule="auto"/>
            </w:pPr>
            <w:r>
              <w:rPr>
                <w:rFonts w:ascii="Calibri" w:hAnsi="Calibri"/>
                <w:b w:val="0"/>
                <w:i w:val="0"/>
                <w:color w:val="212121"/>
                <w:sz w:val="19"/>
              </w:rPr>
              <w:t>Patients with inflammatory arthritis / ankylosing spondylitis</w:t>
            </w:r>
          </w:p>
        </w:tc>
        <w:tc>
          <w:tcPr>
            <w:tcW w:type="dxa" w:w="4276"/>
            <w:vAlign w:val="top"/>
          </w:tcPr>
          <w:p>
            <w:pPr>
              <w:spacing w:after="60" w:line="259" w:lineRule="auto"/>
            </w:pPr>
            <w:r>
              <w:rPr>
                <w:rFonts w:ascii="Calibri" w:hAnsi="Calibri"/>
                <w:b w:val="0"/>
                <w:i w:val="0"/>
                <w:color w:val="212121"/>
                <w:sz w:val="19"/>
              </w:rPr>
              <w:t>Crohn's disease shares HLA-linked immune mechanisms with the seronegative spondyloarthropathies; arthritis and sacroiliitis are the commonest extraintestinal manifestations and may precede gut symptoms.</w:t>
            </w:r>
          </w:p>
          <w:p>
            <w:pPr>
              <w:spacing w:after="40" w:before="60" w:line="259" w:lineRule="auto"/>
            </w:pPr>
            <w:r>
              <w:rPr>
                <w:rFonts w:ascii="Calibri" w:hAnsi="Calibri"/>
                <w:b w:val="0"/>
                <w:i w:val="0"/>
                <w:color w:val="212121"/>
                <w:sz w:val="19"/>
              </w:rPr>
              <w:t>At least one joint, ocular or skin extraintestinal manifestation is present in about 35% of Crohn's disease patients.</w:t>
            </w:r>
          </w:p>
          <w:p>
            <w:pPr>
              <w:spacing w:after="40" w:line="252" w:lineRule="auto"/>
            </w:pPr>
            <w:hyperlink r:id="rId17">
              <w:r>
                <w:rPr>
                  <w:rFonts w:ascii="Calibri" w:hAnsi="Calibri" w:cs="Calibri"/>
                  <w:sz w:val="18"/>
                  <w:color w:val="1155CC"/>
                  <w:u w:val="single"/>
                </w:rPr>
                <w:t xml:space="preserve">pubmed.ncbi.nlm.nih.gov/37042969 — prevalence of EIM in IBD (meta-analysis)</w:t>
              </w:r>
            </w:hyperlink>
          </w:p>
          <w:p>
            <w:pPr>
              <w:spacing w:before="60" w:after="40"/>
            </w:pPr>
            <w:r>
              <w:rPr>
                <w:rFonts w:ascii="Calibri" w:hAnsi="Calibri"/>
                <w:b w:val="0"/>
                <w:i w:val="0"/>
                <w:color w:val="5A5A5A"/>
                <w:sz w:val="18"/>
              </w:rPr>
              <w:t>#arthritis  #spondyloarthropathy  #sacroiliitis  #EIM</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obesity are linked to higher IBD incidence and worse outcomes, while regular moderate exercise may reduce risk and, in established disease, counters steroid- and malabsorption-related bone and muscle loss.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Ultra-processed, high-fat, low-fibre Western diets promote dysbiosis and increase incidence and progression, whereas fibre, fruit, vegetables and breastfeeding are protective; nutrition (including exclusive enteral nutrition in children) is central to management.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sleep quality and circadian disruption are associated with higher inflammatory activity and increased risk of flare; the relationship with active disease is bidirectional.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roughly doubles the risk of developing Crohn's disease and worsens its course, raising the odds of flares, surgery (OR 1.68) and re-operation (OR 2.17); cessation improves outcomes.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an established cause but can aggravate diarrhoeal symptoms (especially sulphite-containing drinks) and interacts with hepatotoxic drugs such as methotrexate and azathioprine.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Through the gut–brain axis, psychological stress can precipitate flares, and depression and anxiety are common and worsen quality of life and adherence in a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Water intake does not cause Crohn's disease, but adequate hydration matters because chronic diarrhoea, high-output stomas and fistulae cause dehydration and electrolyte loss.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causal role but can stimulate the gut and worsen diarrhoea and cramping during active disease in some patients.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hygiene hypothesis links reduced early-life microbial exposure to higher risk; early enteric infections, antibiotic use and an inverse association with H. pylori also implicate the microbiome.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NSAIDs, enteric infections/gastroenteritis, antibiotics and psychological stress can trigger onset or provoke relapses of established disease.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Crohn's disease</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(malnutrition) or ≥ 25 (adiposity)</w:t>
            </w:r>
          </w:p>
        </w:tc>
        <w:tc>
          <w:tcPr>
            <w:tcW w:type="dxa" w:w="1468"/>
            <w:vAlign w:val="top"/>
          </w:tcPr>
          <w:p>
            <w:pPr>
              <w:spacing w:after="40" w:before="0" w:line="259" w:lineRule="auto"/>
            </w:pPr>
            <w:r>
              <w:rPr>
                <w:rFonts w:ascii="Calibri" w:hAnsi="Calibri"/>
                <w:b w:val="0"/>
                <w:i w:val="0"/>
                <w:color w:val="212121"/>
                <w:sz w:val="19"/>
              </w:rPr>
              <w:t>Low BMI signals malabsorption/active disease; rising visceral fat is an emerging risk and worsens surgery/biologic response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Bone mineral density (DEXA T-score)</w:t>
            </w:r>
          </w:p>
        </w:tc>
        <w:tc>
          <w:tcPr>
            <w:tcW w:type="dxa" w:w="1655"/>
            <w:vAlign w:val="top"/>
          </w:tcPr>
          <w:p>
            <w:pPr>
              <w:spacing w:after="40" w:before="0" w:line="259" w:lineRule="auto"/>
            </w:pPr>
            <w:r>
              <w:rPr>
                <w:rFonts w:ascii="Calibri" w:hAnsi="Calibri"/>
                <w:b w:val="0"/>
                <w:i w:val="0"/>
                <w:color w:val="212121"/>
                <w:sz w:val="19"/>
              </w:rPr>
              <w:t>Adults on steroids / malabsorption</w:t>
            </w:r>
          </w:p>
        </w:tc>
        <w:tc>
          <w:tcPr>
            <w:tcW w:type="dxa" w:w="1512"/>
            <w:vAlign w:val="top"/>
          </w:tcPr>
          <w:p>
            <w:pPr>
              <w:spacing w:after="40" w:before="0" w:line="259" w:lineRule="auto"/>
            </w:pPr>
            <w:r>
              <w:rPr>
                <w:rFonts w:ascii="Calibri" w:hAnsi="Calibri"/>
                <w:b w:val="0"/>
                <w:i w:val="0"/>
                <w:color w:val="212121"/>
                <w:sz w:val="19"/>
              </w:rPr>
              <w:t>&gt; −1.0</w:t>
            </w:r>
          </w:p>
        </w:tc>
        <w:tc>
          <w:tcPr>
            <w:tcW w:type="dxa" w:w="1512"/>
            <w:vAlign w:val="top"/>
          </w:tcPr>
          <w:p>
            <w:pPr>
              <w:spacing w:after="40" w:before="0" w:line="259" w:lineRule="auto"/>
            </w:pPr>
            <w:r>
              <w:rPr>
                <w:rFonts w:ascii="Calibri" w:hAnsi="Calibri"/>
                <w:b w:val="0"/>
                <w:i w:val="0"/>
                <w:color w:val="212121"/>
                <w:sz w:val="19"/>
              </w:rPr>
              <w:t>≤ −2.5 (osteoporosis)</w:t>
            </w:r>
          </w:p>
        </w:tc>
        <w:tc>
          <w:tcPr>
            <w:tcW w:type="dxa" w:w="1468"/>
            <w:vAlign w:val="top"/>
          </w:tcPr>
          <w:p>
            <w:pPr>
              <w:spacing w:after="60" w:line="259" w:lineRule="auto"/>
            </w:pPr>
            <w:r>
              <w:rPr>
                <w:rFonts w:ascii="Calibri" w:hAnsi="Calibri"/>
                <w:b w:val="0"/>
                <w:i w:val="0"/>
                <w:color w:val="212121"/>
                <w:sz w:val="19"/>
              </w:rPr>
              <w:t>Low bone density is common in Crohn's; reported in a wide 5–80% range of patients</w:t>
            </w:r>
          </w:p>
          <w:p>
            <w:pPr>
              <w:spacing w:after="40" w:line="252" w:lineRule="auto"/>
            </w:pPr>
            <w:hyperlink r:id="rId18">
              <w:r>
                <w:rPr>
                  <w:rFonts w:ascii="Calibri" w:hAnsi="Calibri" w:cs="Calibri"/>
                  <w:sz w:val="18"/>
                  <w:color w:val="1155CC"/>
                  <w:u w:val="single"/>
                </w:rPr>
                <w:t xml:space="preserve">https://pubmed.ncbi.nlm.nih.gov/32994694/</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Faecal calprotectin</w:t>
            </w:r>
          </w:p>
        </w:tc>
        <w:tc>
          <w:tcPr>
            <w:tcW w:type="dxa" w:w="1655"/>
            <w:vAlign w:val="top"/>
          </w:tcPr>
          <w:p>
            <w:pPr>
              <w:spacing w:after="40" w:before="0" w:line="259" w:lineRule="auto"/>
            </w:pPr>
            <w:r>
              <w:rPr>
                <w:rFonts w:ascii="Calibri" w:hAnsi="Calibri"/>
                <w:b w:val="0"/>
                <w:i w:val="0"/>
                <w:color w:val="212121"/>
                <w:sz w:val="19"/>
              </w:rPr>
              <w:t>Diagnosis &amp; monitoring</w:t>
            </w:r>
          </w:p>
        </w:tc>
        <w:tc>
          <w:tcPr>
            <w:tcW w:type="dxa" w:w="1512"/>
            <w:vAlign w:val="top"/>
          </w:tcPr>
          <w:p>
            <w:pPr>
              <w:spacing w:after="40" w:before="0" w:line="259" w:lineRule="auto"/>
            </w:pPr>
            <w:r>
              <w:rPr>
                <w:rFonts w:ascii="Calibri" w:hAnsi="Calibri"/>
                <w:b w:val="0"/>
                <w:i w:val="0"/>
                <w:color w:val="212121"/>
                <w:sz w:val="19"/>
              </w:rPr>
              <w:t>&lt; 50 µg/g</w:t>
            </w:r>
          </w:p>
        </w:tc>
        <w:tc>
          <w:tcPr>
            <w:tcW w:type="dxa" w:w="1512"/>
            <w:vAlign w:val="top"/>
          </w:tcPr>
          <w:p>
            <w:pPr>
              <w:spacing w:after="40" w:before="0" w:line="259" w:lineRule="auto"/>
            </w:pPr>
            <w:r>
              <w:rPr>
                <w:rFonts w:ascii="Calibri" w:hAnsi="Calibri"/>
                <w:b w:val="0"/>
                <w:i w:val="0"/>
                <w:color w:val="212121"/>
                <w:sz w:val="19"/>
              </w:rPr>
              <w:t>≥ 100–250 µg/g</w:t>
            </w:r>
          </w:p>
        </w:tc>
        <w:tc>
          <w:tcPr>
            <w:tcW w:type="dxa" w:w="1468"/>
            <w:vAlign w:val="top"/>
          </w:tcPr>
          <w:p>
            <w:pPr>
              <w:spacing w:after="60" w:line="259" w:lineRule="auto"/>
            </w:pPr>
            <w:r>
              <w:rPr>
                <w:rFonts w:ascii="Calibri" w:hAnsi="Calibri"/>
                <w:b w:val="0"/>
                <w:i w:val="0"/>
                <w:color w:val="212121"/>
                <w:sz w:val="19"/>
              </w:rPr>
              <w:t>Sensitive non-invasive marker of mucosal inflammation and relapse</w:t>
            </w:r>
          </w:p>
          <w:p>
            <w:pPr>
              <w:spacing w:after="40" w:line="252" w:lineRule="auto"/>
            </w:pPr>
            <w:hyperlink r:id="rId19">
              <w:r>
                <w:rPr>
                  <w:rFonts w:ascii="Calibri" w:hAnsi="Calibri" w:cs="Calibri"/>
                  <w:sz w:val="18"/>
                  <w:color w:val="1155CC"/>
                  <w:u w:val="single"/>
                </w:rPr>
                <w:t xml:space="preserve">https://pubmed.ncbi.nlm.nih.gov/33361549/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C-reactive protein (CRP)</w:t>
            </w:r>
          </w:p>
        </w:tc>
        <w:tc>
          <w:tcPr>
            <w:tcW w:type="dxa" w:w="1655"/>
            <w:vAlign w:val="top"/>
          </w:tcPr>
          <w:p>
            <w:pPr>
              <w:spacing w:after="40" w:before="0" w:line="259" w:lineRule="auto"/>
            </w:pPr>
            <w:r>
              <w:rPr>
                <w:rFonts w:ascii="Calibri" w:hAnsi="Calibri"/>
                <w:b w:val="0"/>
                <w:i w:val="0"/>
                <w:color w:val="212121"/>
                <w:sz w:val="19"/>
              </w:rPr>
              <w:t>Adults with active disease</w:t>
            </w:r>
          </w:p>
        </w:tc>
        <w:tc>
          <w:tcPr>
            <w:tcW w:type="dxa" w:w="1512"/>
            <w:vAlign w:val="top"/>
          </w:tcPr>
          <w:p>
            <w:pPr>
              <w:spacing w:after="40" w:before="0" w:line="259" w:lineRule="auto"/>
            </w:pPr>
            <w:r>
              <w:rPr>
                <w:rFonts w:ascii="Calibri" w:hAnsi="Calibri"/>
                <w:b w:val="0"/>
                <w:i w:val="0"/>
                <w:color w:val="212121"/>
                <w:sz w:val="19"/>
              </w:rPr>
              <w:t>&lt; 5 mg/L</w:t>
            </w:r>
          </w:p>
        </w:tc>
        <w:tc>
          <w:tcPr>
            <w:tcW w:type="dxa" w:w="1512"/>
            <w:vAlign w:val="top"/>
          </w:tcPr>
          <w:p>
            <w:pPr>
              <w:spacing w:after="40" w:before="0" w:line="259" w:lineRule="auto"/>
            </w:pPr>
            <w:r>
              <w:rPr>
                <w:rFonts w:ascii="Calibri" w:hAnsi="Calibri"/>
                <w:b w:val="0"/>
                <w:i w:val="0"/>
                <w:color w:val="212121"/>
                <w:sz w:val="19"/>
              </w:rPr>
              <w:t>&gt; 5 mg/L</w:t>
            </w:r>
          </w:p>
        </w:tc>
        <w:tc>
          <w:tcPr>
            <w:tcW w:type="dxa" w:w="1468"/>
            <w:vAlign w:val="top"/>
          </w:tcPr>
          <w:p>
            <w:pPr>
              <w:spacing w:after="40" w:before="0" w:line="259" w:lineRule="auto"/>
            </w:pPr>
            <w:r>
              <w:rPr>
                <w:rFonts w:ascii="Calibri" w:hAnsi="Calibri"/>
                <w:b w:val="0"/>
                <w:i w:val="0"/>
                <w:color w:val="212121"/>
                <w:sz w:val="19"/>
              </w:rPr>
              <w:t>Tracks inflammatory activity; may be normal in isolated ileal disease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w:t>
            </w:r>
          </w:p>
        </w:tc>
        <w:tc>
          <w:tcPr>
            <w:tcW w:type="dxa" w:w="1655"/>
            <w:vAlign w:val="top"/>
          </w:tcPr>
          <w:p>
            <w:pPr>
              <w:spacing w:after="40" w:before="0" w:line="259" w:lineRule="auto"/>
            </w:pPr>
            <w:r>
              <w:rPr>
                <w:rFonts w:ascii="Calibri" w:hAnsi="Calibri"/>
                <w:b w:val="0"/>
                <w:i w:val="0"/>
                <w:color w:val="212121"/>
                <w:sz w:val="19"/>
              </w:rPr>
              <w:t>Adults with Crohn's disease</w:t>
            </w:r>
          </w:p>
        </w:tc>
        <w:tc>
          <w:tcPr>
            <w:tcW w:type="dxa" w:w="1512"/>
            <w:vAlign w:val="top"/>
          </w:tcPr>
          <w:p>
            <w:pPr>
              <w:spacing w:after="40" w:before="0" w:line="259" w:lineRule="auto"/>
            </w:pPr>
            <w:r>
              <w:rPr>
                <w:rFonts w:ascii="Calibri" w:hAnsi="Calibri"/>
                <w:b w:val="0"/>
                <w:i w:val="0"/>
                <w:color w:val="212121"/>
                <w:sz w:val="19"/>
              </w:rPr>
              <w:t>M ≥ 13, F ≥ 12 g/dL</w:t>
            </w:r>
          </w:p>
        </w:tc>
        <w:tc>
          <w:tcPr>
            <w:tcW w:type="dxa" w:w="1512"/>
            <w:vAlign w:val="top"/>
          </w:tcPr>
          <w:p>
            <w:pPr>
              <w:spacing w:after="40" w:before="0" w:line="259" w:lineRule="auto"/>
            </w:pPr>
            <w:r>
              <w:rPr>
                <w:rFonts w:ascii="Calibri" w:hAnsi="Calibri"/>
                <w:b w:val="0"/>
                <w:i w:val="0"/>
                <w:color w:val="212121"/>
                <w:sz w:val="19"/>
              </w:rPr>
              <w:t>Below age/sex threshold</w:t>
            </w:r>
          </w:p>
        </w:tc>
        <w:tc>
          <w:tcPr>
            <w:tcW w:type="dxa" w:w="1468"/>
            <w:vAlign w:val="top"/>
          </w:tcPr>
          <w:p>
            <w:pPr>
              <w:spacing w:after="60" w:line="259" w:lineRule="auto"/>
            </w:pPr>
            <w:r>
              <w:rPr>
                <w:rFonts w:ascii="Calibri" w:hAnsi="Calibri"/>
                <w:b w:val="0"/>
                <w:i w:val="0"/>
                <w:color w:val="212121"/>
                <w:sz w:val="19"/>
              </w:rPr>
              <w:t>Anaemia affects roughly a third of IBD patients</w:t>
            </w:r>
          </w:p>
          <w:p>
            <w:pPr>
              <w:spacing w:after="40" w:line="252" w:lineRule="auto"/>
            </w:pPr>
            <w:hyperlink r:id="rId20">
              <w:r>
                <w:rPr>
                  <w:rFonts w:ascii="Calibri" w:hAnsi="Calibri" w:cs="Calibri"/>
                  <w:sz w:val="18"/>
                  <w:color w:val="1155CC"/>
                  <w:u w:val="single"/>
                </w:rPr>
                <w:t xml:space="preserve">https://pubmed.ncbi.nlm.nih.gov/19787830/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 transferrin saturation</w:t>
            </w:r>
          </w:p>
        </w:tc>
        <w:tc>
          <w:tcPr>
            <w:tcW w:type="dxa" w:w="1655"/>
            <w:vAlign w:val="top"/>
          </w:tcPr>
          <w:p>
            <w:pPr>
              <w:spacing w:after="40" w:before="0" w:line="259" w:lineRule="auto"/>
            </w:pPr>
            <w:r>
              <w:rPr>
                <w:rFonts w:ascii="Calibri" w:hAnsi="Calibri"/>
                <w:b w:val="0"/>
                <w:i w:val="0"/>
                <w:color w:val="212121"/>
                <w:sz w:val="19"/>
              </w:rPr>
              <w:t>Patients with anaemia</w:t>
            </w:r>
          </w:p>
        </w:tc>
        <w:tc>
          <w:tcPr>
            <w:tcW w:type="dxa" w:w="1512"/>
            <w:vAlign w:val="top"/>
          </w:tcPr>
          <w:p>
            <w:pPr>
              <w:spacing w:after="40" w:before="0" w:line="259" w:lineRule="auto"/>
            </w:pPr>
            <w:r>
              <w:rPr>
                <w:rFonts w:ascii="Calibri" w:hAnsi="Calibri"/>
                <w:b w:val="0"/>
                <w:i w:val="0"/>
                <w:color w:val="212121"/>
                <w:sz w:val="19"/>
              </w:rPr>
              <w:t>Ferritin &gt; 30 ng/mL (&gt; 100 if active); TSAT &gt; 20%</w:t>
            </w:r>
          </w:p>
        </w:tc>
        <w:tc>
          <w:tcPr>
            <w:tcW w:type="dxa" w:w="1512"/>
            <w:vAlign w:val="top"/>
          </w:tcPr>
          <w:p>
            <w:pPr>
              <w:spacing w:after="40" w:before="0" w:line="259" w:lineRule="auto"/>
            </w:pPr>
            <w:r>
              <w:rPr>
                <w:rFonts w:ascii="Calibri" w:hAnsi="Calibri"/>
                <w:b w:val="0"/>
                <w:i w:val="0"/>
                <w:color w:val="212121"/>
                <w:sz w:val="19"/>
              </w:rPr>
              <w:t>Ferritin &lt; 30 ng/mL; TSAT &lt; 20%</w:t>
            </w:r>
          </w:p>
        </w:tc>
        <w:tc>
          <w:tcPr>
            <w:tcW w:type="dxa" w:w="1468"/>
            <w:vAlign w:val="top"/>
          </w:tcPr>
          <w:p>
            <w:pPr>
              <w:spacing w:after="40" w:before="0" w:line="259" w:lineRule="auto"/>
            </w:pPr>
            <w:r>
              <w:rPr>
                <w:rFonts w:ascii="Calibri" w:hAnsi="Calibri"/>
                <w:b w:val="0"/>
                <w:i w:val="0"/>
                <w:color w:val="212121"/>
                <w:sz w:val="19"/>
              </w:rPr>
              <w:t>Iron deficiency from blood loss and poor absorption; ferritin is falsely raised by inflammation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w:t>
            </w:r>
          </w:p>
        </w:tc>
        <w:tc>
          <w:tcPr>
            <w:tcW w:type="dxa" w:w="1655"/>
            <w:vAlign w:val="top"/>
          </w:tcPr>
          <w:p>
            <w:pPr>
              <w:spacing w:after="40" w:before="0" w:line="259" w:lineRule="auto"/>
            </w:pPr>
            <w:r>
              <w:rPr>
                <w:rFonts w:ascii="Calibri" w:hAnsi="Calibri"/>
                <w:b w:val="0"/>
                <w:i w:val="0"/>
                <w:color w:val="212121"/>
                <w:sz w:val="19"/>
              </w:rPr>
              <w:t>Adults with active/severe disease</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3.5 g/dL</w:t>
            </w:r>
          </w:p>
        </w:tc>
        <w:tc>
          <w:tcPr>
            <w:tcW w:type="dxa" w:w="1468"/>
            <w:vAlign w:val="top"/>
          </w:tcPr>
          <w:p>
            <w:pPr>
              <w:spacing w:after="40" w:before="0" w:line="259" w:lineRule="auto"/>
            </w:pPr>
            <w:r>
              <w:rPr>
                <w:rFonts w:ascii="Calibri" w:hAnsi="Calibri"/>
                <w:b w:val="0"/>
                <w:i w:val="0"/>
                <w:color w:val="212121"/>
                <w:sz w:val="19"/>
              </w:rPr>
              <w:t>Low albumin reflects protein-losing enteropathy, malnutrition and severity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w:t>
            </w:r>
          </w:p>
        </w:tc>
        <w:tc>
          <w:tcPr>
            <w:tcW w:type="dxa" w:w="1655"/>
            <w:vAlign w:val="top"/>
          </w:tcPr>
          <w:p>
            <w:pPr>
              <w:spacing w:after="40" w:before="0" w:line="259" w:lineRule="auto"/>
            </w:pPr>
            <w:r>
              <w:rPr>
                <w:rFonts w:ascii="Calibri" w:hAnsi="Calibri"/>
                <w:b w:val="0"/>
                <w:i w:val="0"/>
                <w:color w:val="212121"/>
                <w:sz w:val="19"/>
              </w:rPr>
              <w:t>Terminal-ileal / resected disease</w:t>
            </w:r>
          </w:p>
        </w:tc>
        <w:tc>
          <w:tcPr>
            <w:tcW w:type="dxa" w:w="1512"/>
            <w:vAlign w:val="top"/>
          </w:tcPr>
          <w:p>
            <w:pPr>
              <w:spacing w:after="40" w:before="0" w:line="259" w:lineRule="auto"/>
            </w:pPr>
            <w:r>
              <w:rPr>
                <w:rFonts w:ascii="Calibri" w:hAnsi="Calibri"/>
                <w:b w:val="0"/>
                <w:i w:val="0"/>
                <w:color w:val="212121"/>
                <w:sz w:val="19"/>
              </w:rPr>
              <w:t>&gt; 200 pg/mL</w:t>
            </w:r>
          </w:p>
        </w:tc>
        <w:tc>
          <w:tcPr>
            <w:tcW w:type="dxa" w:w="1512"/>
            <w:vAlign w:val="top"/>
          </w:tcPr>
          <w:p>
            <w:pPr>
              <w:spacing w:after="40" w:before="0" w:line="259" w:lineRule="auto"/>
            </w:pPr>
            <w:r>
              <w:rPr>
                <w:rFonts w:ascii="Calibri" w:hAnsi="Calibri"/>
                <w:b w:val="0"/>
                <w:i w:val="0"/>
                <w:color w:val="212121"/>
                <w:sz w:val="19"/>
              </w:rPr>
              <w:t>&lt; 200 pg/mL</w:t>
            </w:r>
          </w:p>
        </w:tc>
        <w:tc>
          <w:tcPr>
            <w:tcW w:type="dxa" w:w="1468"/>
            <w:vAlign w:val="top"/>
          </w:tcPr>
          <w:p>
            <w:pPr>
              <w:spacing w:after="40" w:before="0" w:line="259" w:lineRule="auto"/>
            </w:pPr>
            <w:r>
              <w:rPr>
                <w:rFonts w:ascii="Calibri" w:hAnsi="Calibri"/>
                <w:b w:val="0"/>
                <w:i w:val="0"/>
                <w:color w:val="212121"/>
                <w:sz w:val="19"/>
              </w:rPr>
              <w:t>Terminal-ileal disease or resection impairs B12 absorption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w:t>
            </w:r>
          </w:p>
        </w:tc>
        <w:tc>
          <w:tcPr>
            <w:tcW w:type="dxa" w:w="1468"/>
            <w:vAlign w:val="top"/>
          </w:tcPr>
          <w:p>
            <w:pPr>
              <w:spacing w:after="40" w:before="0" w:line="259" w:lineRule="auto"/>
            </w:pPr>
            <w:r>
              <w:rPr>
                <w:rFonts w:ascii="Calibri" w:hAnsi="Calibri"/>
                <w:b w:val="0"/>
                <w:i w:val="0"/>
                <w:color w:val="212121"/>
                <w:sz w:val="19"/>
              </w:rPr>
              <w:t>Deficiency is common, worsens bone health and may modulate disease activity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All Crohn's patients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smoking roughly doubles risk and worsens the disease course</w:t>
            </w:r>
          </w:p>
          <w:p>
            <w:pPr>
              <w:spacing w:after="40" w:line="252" w:lineRule="auto"/>
            </w:pPr>
            <w:hyperlink r:id="rId14">
              <w:r>
                <w:rPr>
                  <w:rFonts w:ascii="Calibri" w:hAnsi="Calibri" w:cs="Calibri"/>
                  <w:sz w:val="18"/>
                  <w:color w:val="1155CC"/>
                  <w:u w:val="single"/>
                </w:rPr>
                <w:t xml:space="preserve">https://pubmed.ncbi.nlm.nih.gov/26749371/</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w:t>
            </w:r>
          </w:p>
        </w:tc>
        <w:tc>
          <w:tcPr>
            <w:tcW w:type="dxa" w:w="1655"/>
            <w:vAlign w:val="top"/>
          </w:tcPr>
          <w:p>
            <w:pPr>
              <w:spacing w:after="40" w:before="0" w:line="259" w:lineRule="auto"/>
            </w:pPr>
            <w:r>
              <w:rPr>
                <w:rFonts w:ascii="Calibri" w:hAnsi="Calibri"/>
                <w:b w:val="0"/>
                <w:i w:val="0"/>
                <w:color w:val="212121"/>
                <w:sz w:val="19"/>
              </w:rPr>
              <w:t>Adults with Crohn's disease</w:t>
            </w:r>
          </w:p>
        </w:tc>
        <w:tc>
          <w:tcPr>
            <w:tcW w:type="dxa" w:w="1512"/>
            <w:vAlign w:val="top"/>
          </w:tcPr>
          <w:p>
            <w:pPr>
              <w:spacing w:after="40" w:before="0" w:line="259" w:lineRule="auto"/>
            </w:pPr>
            <w:r>
              <w:rPr>
                <w:rFonts w:ascii="Calibri" w:hAnsi="Calibri"/>
                <w:b w:val="0"/>
                <w:i w:val="0"/>
                <w:color w:val="212121"/>
                <w:sz w:val="19"/>
              </w:rPr>
              <w:t>7–9 h/night, good quality</w:t>
            </w:r>
          </w:p>
        </w:tc>
        <w:tc>
          <w:tcPr>
            <w:tcW w:type="dxa" w:w="1512"/>
            <w:vAlign w:val="top"/>
          </w:tcPr>
          <w:p>
            <w:pPr>
              <w:spacing w:after="40" w:before="0" w:line="259" w:lineRule="auto"/>
            </w:pPr>
            <w:r>
              <w:rPr>
                <w:rFonts w:ascii="Calibri" w:hAnsi="Calibri"/>
                <w:b w:val="0"/>
                <w:i w:val="0"/>
                <w:color w:val="212121"/>
                <w:sz w:val="19"/>
              </w:rPr>
              <w:t>&lt; 6 h or poor quality</w:t>
            </w:r>
          </w:p>
        </w:tc>
        <w:tc>
          <w:tcPr>
            <w:tcW w:type="dxa" w:w="1468"/>
            <w:vAlign w:val="top"/>
          </w:tcPr>
          <w:p>
            <w:pPr>
              <w:spacing w:after="40" w:before="0" w:line="259" w:lineRule="auto"/>
            </w:pPr>
            <w:r>
              <w:rPr>
                <w:rFonts w:ascii="Calibri" w:hAnsi="Calibri"/>
                <w:b w:val="0"/>
                <w:i w:val="0"/>
                <w:color w:val="212121"/>
                <w:sz w:val="19"/>
              </w:rPr>
              <w:t>Poor sleep is associated with higher inflammatory activity and flare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Validated depression/anxiety screen</w:t>
            </w:r>
          </w:p>
        </w:tc>
        <w:tc>
          <w:tcPr>
            <w:tcW w:type="dxa" w:w="1655"/>
            <w:vAlign w:val="top"/>
          </w:tcPr>
          <w:p>
            <w:pPr>
              <w:spacing w:after="40" w:before="0" w:line="259" w:lineRule="auto"/>
            </w:pPr>
            <w:r>
              <w:rPr>
                <w:rFonts w:ascii="Calibri" w:hAnsi="Calibri"/>
                <w:b w:val="0"/>
                <w:i w:val="0"/>
                <w:color w:val="212121"/>
                <w:sz w:val="19"/>
              </w:rPr>
              <w:t>Adults with Crohn's disease</w:t>
            </w:r>
          </w:p>
        </w:tc>
        <w:tc>
          <w:tcPr>
            <w:tcW w:type="dxa" w:w="1512"/>
            <w:vAlign w:val="top"/>
          </w:tcPr>
          <w:p>
            <w:pPr>
              <w:spacing w:after="40" w:before="0" w:line="259" w:lineRule="auto"/>
            </w:pPr>
            <w:r>
              <w:rPr>
                <w:rFonts w:ascii="Calibri" w:hAnsi="Calibri"/>
                <w:b w:val="0"/>
                <w:i w:val="0"/>
                <w:color w:val="212121"/>
                <w:sz w:val="19"/>
              </w:rPr>
              <w:t>Normal score</w:t>
            </w:r>
          </w:p>
        </w:tc>
        <w:tc>
          <w:tcPr>
            <w:tcW w:type="dxa" w:w="1512"/>
            <w:vAlign w:val="top"/>
          </w:tcPr>
          <w:p>
            <w:pPr>
              <w:spacing w:after="40" w:before="0" w:line="259" w:lineRule="auto"/>
            </w:pPr>
            <w:r>
              <w:rPr>
                <w:rFonts w:ascii="Calibri" w:hAnsi="Calibri"/>
                <w:b w:val="0"/>
                <w:i w:val="0"/>
                <w:color w:val="212121"/>
                <w:sz w:val="19"/>
              </w:rPr>
              <w:t>Elevated (e.g., PHQ-9 / GAD-7 above cut-off)</w:t>
            </w:r>
          </w:p>
        </w:tc>
        <w:tc>
          <w:tcPr>
            <w:tcW w:type="dxa" w:w="1468"/>
            <w:vAlign w:val="top"/>
          </w:tcPr>
          <w:p>
            <w:pPr>
              <w:spacing w:after="40" w:before="0" w:line="259" w:lineRule="auto"/>
            </w:pPr>
            <w:r>
              <w:rPr>
                <w:rFonts w:ascii="Calibri" w:hAnsi="Calibri"/>
                <w:b w:val="0"/>
                <w:i w:val="0"/>
                <w:color w:val="212121"/>
                <w:sz w:val="19"/>
              </w:rPr>
              <w:t>Screen routinely; mood disorders worsen adherence and quality of life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 &amp; histopathology</w:t>
            </w:r>
          </w:p>
        </w:tc>
        <w:tc>
          <w:tcPr>
            <w:tcW w:type="dxa" w:w="1036"/>
            <w:vAlign w:val="top"/>
          </w:tcPr>
          <w:p>
            <w:pPr>
              <w:spacing w:after="40" w:before="0" w:line="259" w:lineRule="auto"/>
            </w:pPr>
            <w:r>
              <w:rPr>
                <w:rFonts w:ascii="Calibri" w:hAnsi="Calibri"/>
                <w:b w:val="0"/>
                <w:i w:val="0"/>
                <w:color w:val="212121"/>
                <w:sz w:val="16"/>
              </w:rPr>
              <w:t>Skip lesions, ulcers, cobblestoning, non-caseating granuloma</w:t>
            </w:r>
          </w:p>
        </w:tc>
        <w:tc>
          <w:tcPr>
            <w:tcW w:type="dxa" w:w="892"/>
            <w:vAlign w:val="top"/>
          </w:tcPr>
          <w:p>
            <w:pPr>
              <w:spacing w:after="40" w:before="0" w:line="259" w:lineRule="auto"/>
            </w:pPr>
            <w:r>
              <w:rPr>
                <w:rFonts w:ascii="Calibri" w:hAnsi="Calibri"/>
                <w:b w:val="0"/>
                <w:i w:val="0"/>
                <w:color w:val="212121"/>
                <w:sz w:val="16"/>
              </w:rPr>
              <w:t>Ileocolonoscopy with segmental biopsy</w:t>
            </w:r>
          </w:p>
        </w:tc>
        <w:tc>
          <w:tcPr>
            <w:tcW w:type="dxa" w:w="950"/>
            <w:vAlign w:val="top"/>
          </w:tcPr>
          <w:p>
            <w:pPr>
              <w:spacing w:after="40" w:before="0" w:line="259" w:lineRule="auto"/>
            </w:pPr>
            <w:r>
              <w:rPr>
                <w:rFonts w:ascii="Calibri" w:hAnsi="Calibri"/>
                <w:b w:val="0"/>
                <w:i w:val="0"/>
                <w:color w:val="212121"/>
                <w:sz w:val="16"/>
              </w:rPr>
              <w:t>Normal continuous mucosa; no granuloma</w:t>
            </w:r>
          </w:p>
        </w:tc>
        <w:tc>
          <w:tcPr>
            <w:tcW w:type="dxa" w:w="950"/>
            <w:vAlign w:val="top"/>
          </w:tcPr>
          <w:p>
            <w:pPr>
              <w:spacing w:after="40" w:before="0" w:line="259" w:lineRule="auto"/>
            </w:pPr>
            <w:r>
              <w:rPr>
                <w:rFonts w:ascii="Calibri" w:hAnsi="Calibri"/>
                <w:b w:val="0"/>
                <w:i w:val="0"/>
                <w:color w:val="212121"/>
                <w:sz w:val="16"/>
              </w:rPr>
              <w:t>Discontinuous aphthous/linear ulcers, cobblestoning, non-caseating granulomas</w:t>
            </w:r>
          </w:p>
        </w:tc>
        <w:tc>
          <w:tcPr>
            <w:tcW w:type="dxa" w:w="1036"/>
            <w:vAlign w:val="top"/>
          </w:tcPr>
          <w:p>
            <w:pPr>
              <w:spacing w:after="40" w:before="0" w:line="259" w:lineRule="auto"/>
            </w:pPr>
            <w:r>
              <w:rPr>
                <w:rFonts w:ascii="Calibri" w:hAnsi="Calibri"/>
                <w:b w:val="0"/>
                <w:i w:val="0"/>
                <w:color w:val="212121"/>
                <w:sz w:val="16"/>
              </w:rPr>
              <w:t>Diagnostic cornerstone; granuloma morphology also helps separate Crohn's (non-caseating) from TB (caseating)</w:t>
            </w:r>
          </w:p>
        </w:tc>
        <w:tc>
          <w:tcPr>
            <w:tcW w:type="dxa" w:w="1036"/>
            <w:vAlign w:val="top"/>
          </w:tcPr>
          <w:p>
            <w:pPr>
              <w:spacing w:after="40" w:before="0" w:line="259" w:lineRule="auto"/>
            </w:pPr>
            <w:r>
              <w:rPr>
                <w:rFonts w:ascii="Calibri" w:hAnsi="Calibri"/>
                <w:b w:val="0"/>
                <w:i w:val="0"/>
                <w:color w:val="212121"/>
                <w:sz w:val="16"/>
              </w:rPr>
              <w:t>Suspected Crohn's; chronic diarrhoea, RLQ pain, weight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Biopsy the terminal ileum and each segment; correlate with TB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C-reactive protein (CRP)</w:t>
            </w:r>
          </w:p>
        </w:tc>
        <w:tc>
          <w:tcPr>
            <w:tcW w:type="dxa" w:w="892"/>
            <w:vAlign w:val="top"/>
          </w:tcPr>
          <w:p>
            <w:pPr>
              <w:spacing w:after="40" w:before="0" w:line="259" w:lineRule="auto"/>
            </w:pPr>
            <w:r>
              <w:rPr>
                <w:rFonts w:ascii="Calibri" w:hAnsi="Calibri"/>
                <w:b w:val="0"/>
                <w:i w:val="0"/>
                <w:color w:val="212121"/>
                <w:sz w:val="16"/>
              </w:rPr>
              <w:t>Inflammatory marker</w:t>
            </w:r>
          </w:p>
        </w:tc>
        <w:tc>
          <w:tcPr>
            <w:tcW w:type="dxa" w:w="950"/>
            <w:vAlign w:val="top"/>
          </w:tcPr>
          <w:p>
            <w:pPr>
              <w:spacing w:after="40" w:before="0" w:line="259" w:lineRule="auto"/>
            </w:pPr>
            <w:r>
              <w:rPr>
                <w:rFonts w:ascii="Calibri" w:hAnsi="Calibri"/>
                <w:b w:val="0"/>
                <w:i w:val="0"/>
                <w:color w:val="212121"/>
                <w:sz w:val="16"/>
              </w:rPr>
              <w:t>&lt; 5 mg/L</w:t>
            </w:r>
          </w:p>
        </w:tc>
        <w:tc>
          <w:tcPr>
            <w:tcW w:type="dxa" w:w="950"/>
            <w:vAlign w:val="top"/>
          </w:tcPr>
          <w:p>
            <w:pPr>
              <w:spacing w:after="40" w:before="0" w:line="259" w:lineRule="auto"/>
            </w:pPr>
            <w:r>
              <w:rPr>
                <w:rFonts w:ascii="Calibri" w:hAnsi="Calibri"/>
                <w:b w:val="0"/>
                <w:i w:val="0"/>
                <w:color w:val="212121"/>
                <w:sz w:val="16"/>
              </w:rPr>
              <w:t>&gt; 5 mg/L</w:t>
            </w:r>
          </w:p>
        </w:tc>
        <w:tc>
          <w:tcPr>
            <w:tcW w:type="dxa" w:w="1036"/>
            <w:vAlign w:val="top"/>
          </w:tcPr>
          <w:p>
            <w:pPr>
              <w:spacing w:after="40" w:before="0" w:line="259" w:lineRule="auto"/>
            </w:pPr>
            <w:r>
              <w:rPr>
                <w:rFonts w:ascii="Calibri" w:hAnsi="Calibri"/>
                <w:b w:val="0"/>
                <w:i w:val="0"/>
                <w:color w:val="212121"/>
                <w:sz w:val="16"/>
              </w:rPr>
              <w:t>Reflects inflammatory burden; supports activity assessment and monitoring</w:t>
            </w:r>
          </w:p>
        </w:tc>
        <w:tc>
          <w:tcPr>
            <w:tcW w:type="dxa" w:w="1036"/>
            <w:vAlign w:val="top"/>
          </w:tcPr>
          <w:p>
            <w:pPr>
              <w:spacing w:after="40" w:before="0" w:line="259" w:lineRule="auto"/>
            </w:pPr>
            <w:r>
              <w:rPr>
                <w:rFonts w:ascii="Calibri" w:hAnsi="Calibri"/>
                <w:b w:val="0"/>
                <w:i w:val="0"/>
                <w:color w:val="212121"/>
                <w:sz w:val="16"/>
              </w:rPr>
              <w:t>Active disease, flare assessment</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Can be normal in isolated small-bowel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Stool</w:t>
            </w:r>
          </w:p>
        </w:tc>
        <w:tc>
          <w:tcPr>
            <w:tcW w:type="dxa" w:w="1036"/>
            <w:vAlign w:val="top"/>
          </w:tcPr>
          <w:p>
            <w:pPr>
              <w:spacing w:after="40" w:before="0" w:line="259" w:lineRule="auto"/>
            </w:pPr>
            <w:r>
              <w:rPr>
                <w:rFonts w:ascii="Calibri" w:hAnsi="Calibri"/>
                <w:b w:val="0"/>
                <w:i w:val="0"/>
                <w:color w:val="212121"/>
                <w:sz w:val="16"/>
              </w:rPr>
              <w:t>Faecal calprotectin</w:t>
            </w:r>
          </w:p>
        </w:tc>
        <w:tc>
          <w:tcPr>
            <w:tcW w:type="dxa" w:w="892"/>
            <w:vAlign w:val="top"/>
          </w:tcPr>
          <w:p>
            <w:pPr>
              <w:spacing w:after="40" w:before="0" w:line="259" w:lineRule="auto"/>
            </w:pPr>
            <w:r>
              <w:rPr>
                <w:rFonts w:ascii="Calibri" w:hAnsi="Calibri"/>
                <w:b w:val="0"/>
                <w:i w:val="0"/>
                <w:color w:val="212121"/>
                <w:sz w:val="16"/>
              </w:rPr>
              <w:t>Non-invasive inflammation marker</w:t>
            </w:r>
          </w:p>
        </w:tc>
        <w:tc>
          <w:tcPr>
            <w:tcW w:type="dxa" w:w="950"/>
            <w:vAlign w:val="top"/>
          </w:tcPr>
          <w:p>
            <w:pPr>
              <w:spacing w:after="40" w:before="0" w:line="259" w:lineRule="auto"/>
            </w:pPr>
            <w:r>
              <w:rPr>
                <w:rFonts w:ascii="Calibri" w:hAnsi="Calibri"/>
                <w:b w:val="0"/>
                <w:i w:val="0"/>
                <w:color w:val="212121"/>
                <w:sz w:val="16"/>
              </w:rPr>
              <w:t>&lt; 50 µg/g</w:t>
            </w:r>
          </w:p>
        </w:tc>
        <w:tc>
          <w:tcPr>
            <w:tcW w:type="dxa" w:w="950"/>
            <w:vAlign w:val="top"/>
          </w:tcPr>
          <w:p>
            <w:pPr>
              <w:spacing w:after="40" w:before="0" w:line="259" w:lineRule="auto"/>
            </w:pPr>
            <w:r>
              <w:rPr>
                <w:rFonts w:ascii="Calibri" w:hAnsi="Calibri"/>
                <w:b w:val="0"/>
                <w:i w:val="0"/>
                <w:color w:val="212121"/>
                <w:sz w:val="16"/>
              </w:rPr>
              <w:t>≥ 100–250 µg/g</w:t>
            </w:r>
          </w:p>
        </w:tc>
        <w:tc>
          <w:tcPr>
            <w:tcW w:type="dxa" w:w="1036"/>
            <w:vAlign w:val="top"/>
          </w:tcPr>
          <w:p>
            <w:pPr>
              <w:spacing w:after="40" w:before="0" w:line="259" w:lineRule="auto"/>
            </w:pPr>
            <w:r>
              <w:rPr>
                <w:rFonts w:ascii="Calibri" w:hAnsi="Calibri"/>
                <w:b w:val="0"/>
                <w:i w:val="0"/>
                <w:color w:val="212121"/>
                <w:sz w:val="16"/>
              </w:rPr>
              <w:t>Sensitive marker of mucosal inflammation; distinguishes IBD from IBS and predicts relapse</w:t>
            </w:r>
          </w:p>
        </w:tc>
        <w:tc>
          <w:tcPr>
            <w:tcW w:type="dxa" w:w="1036"/>
            <w:vAlign w:val="top"/>
          </w:tcPr>
          <w:p>
            <w:pPr>
              <w:spacing w:after="40" w:before="0" w:line="259" w:lineRule="auto"/>
            </w:pPr>
            <w:r>
              <w:rPr>
                <w:rFonts w:ascii="Calibri" w:hAnsi="Calibri"/>
                <w:b w:val="0"/>
                <w:i w:val="0"/>
                <w:color w:val="212121"/>
                <w:sz w:val="16"/>
              </w:rPr>
              <w:t>Diagnosis, monitoring, remission surveillance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 (non-invasive)</w:t>
            </w:r>
          </w:p>
        </w:tc>
        <w:tc>
          <w:tcPr>
            <w:tcW w:type="dxa" w:w="720"/>
            <w:vAlign w:val="top"/>
          </w:tcPr>
          <w:p>
            <w:pPr>
              <w:spacing w:after="40" w:before="0" w:line="259" w:lineRule="auto"/>
            </w:pPr>
            <w:r>
              <w:rPr>
                <w:rFonts w:ascii="Calibri" w:hAnsi="Calibri"/>
                <w:b w:val="0"/>
                <w:i w:val="0"/>
                <w:color w:val="212121"/>
                <w:sz w:val="16"/>
              </w:rPr>
              <w:t>Rising values prompt endoscopic re-assessment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 haemoglobin</w:t>
            </w:r>
          </w:p>
        </w:tc>
        <w:tc>
          <w:tcPr>
            <w:tcW w:type="dxa" w:w="892"/>
            <w:vAlign w:val="top"/>
          </w:tcPr>
          <w:p>
            <w:pPr>
              <w:spacing w:after="40" w:before="0" w:line="259" w:lineRule="auto"/>
            </w:pPr>
            <w:r>
              <w:rPr>
                <w:rFonts w:ascii="Calibri" w:hAnsi="Calibri"/>
                <w:b w:val="0"/>
                <w:i w:val="0"/>
                <w:color w:val="212121"/>
                <w:sz w:val="16"/>
              </w:rPr>
              <w:t>Blood count</w:t>
            </w:r>
          </w:p>
        </w:tc>
        <w:tc>
          <w:tcPr>
            <w:tcW w:type="dxa" w:w="950"/>
            <w:vAlign w:val="top"/>
          </w:tcPr>
          <w:p>
            <w:pPr>
              <w:spacing w:after="40" w:before="0" w:line="259" w:lineRule="auto"/>
            </w:pPr>
            <w:r>
              <w:rPr>
                <w:rFonts w:ascii="Calibri" w:hAnsi="Calibri"/>
                <w:b w:val="0"/>
                <w:i w:val="0"/>
                <w:color w:val="212121"/>
                <w:sz w:val="16"/>
              </w:rPr>
              <w:t>M ≥ 13, F ≥ 12 g/dL</w:t>
            </w:r>
          </w:p>
        </w:tc>
        <w:tc>
          <w:tcPr>
            <w:tcW w:type="dxa" w:w="950"/>
            <w:vAlign w:val="top"/>
          </w:tcPr>
          <w:p>
            <w:pPr>
              <w:spacing w:after="40" w:before="0" w:line="259" w:lineRule="auto"/>
            </w:pPr>
            <w:r>
              <w:rPr>
                <w:rFonts w:ascii="Calibri" w:hAnsi="Calibri"/>
                <w:b w:val="0"/>
                <w:i w:val="0"/>
                <w:color w:val="212121"/>
                <w:sz w:val="16"/>
              </w:rPr>
              <w:t>Anaemia; thrombocytosis</w:t>
            </w:r>
          </w:p>
        </w:tc>
        <w:tc>
          <w:tcPr>
            <w:tcW w:type="dxa" w:w="1036"/>
            <w:vAlign w:val="top"/>
          </w:tcPr>
          <w:p>
            <w:pPr>
              <w:spacing w:after="40" w:before="0" w:line="259" w:lineRule="auto"/>
            </w:pPr>
            <w:r>
              <w:rPr>
                <w:rFonts w:ascii="Calibri" w:hAnsi="Calibri"/>
                <w:b w:val="0"/>
                <w:i w:val="0"/>
                <w:color w:val="212121"/>
                <w:sz w:val="16"/>
              </w:rPr>
              <w:t>Detects anaemia of chronic disease and iron deficiency; platelets rise with activity</w:t>
            </w:r>
          </w:p>
        </w:tc>
        <w:tc>
          <w:tcPr>
            <w:tcW w:type="dxa" w:w="1036"/>
            <w:vAlign w:val="top"/>
          </w:tcPr>
          <w:p>
            <w:pPr>
              <w:spacing w:after="40" w:before="0" w:line="259" w:lineRule="auto"/>
            </w:pPr>
            <w:r>
              <w:rPr>
                <w:rFonts w:ascii="Calibri" w:hAnsi="Calibri"/>
                <w:b w:val="0"/>
                <w:i w:val="0"/>
                <w:color w:val="212121"/>
                <w:sz w:val="16"/>
              </w:rPr>
              <w:t>Fatigue, chronic bleeding, active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Anaemia present in roughly a third of IBD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Iron studies, ferritin, transferrin saturation</w:t>
            </w:r>
          </w:p>
        </w:tc>
        <w:tc>
          <w:tcPr>
            <w:tcW w:type="dxa" w:w="892"/>
            <w:vAlign w:val="top"/>
          </w:tcPr>
          <w:p>
            <w:pPr>
              <w:spacing w:after="40" w:before="0" w:line="259" w:lineRule="auto"/>
            </w:pPr>
            <w:r>
              <w:rPr>
                <w:rFonts w:ascii="Calibri" w:hAnsi="Calibri"/>
                <w:b w:val="0"/>
                <w:i w:val="0"/>
                <w:color w:val="212121"/>
                <w:sz w:val="16"/>
              </w:rPr>
              <w:t>Iron panel</w:t>
            </w:r>
          </w:p>
        </w:tc>
        <w:tc>
          <w:tcPr>
            <w:tcW w:type="dxa" w:w="950"/>
            <w:vAlign w:val="top"/>
          </w:tcPr>
          <w:p>
            <w:pPr>
              <w:spacing w:after="40" w:before="0" w:line="259" w:lineRule="auto"/>
            </w:pPr>
            <w:r>
              <w:rPr>
                <w:rFonts w:ascii="Calibri" w:hAnsi="Calibri"/>
                <w:b w:val="0"/>
                <w:i w:val="0"/>
                <w:color w:val="212121"/>
                <w:sz w:val="16"/>
              </w:rPr>
              <w:t>Ferritin &gt; 30 ng/mL; TSAT &gt; 20%</w:t>
            </w:r>
          </w:p>
        </w:tc>
        <w:tc>
          <w:tcPr>
            <w:tcW w:type="dxa" w:w="950"/>
            <w:vAlign w:val="top"/>
          </w:tcPr>
          <w:p>
            <w:pPr>
              <w:spacing w:after="40" w:before="0" w:line="259" w:lineRule="auto"/>
            </w:pPr>
            <w:r>
              <w:rPr>
                <w:rFonts w:ascii="Calibri" w:hAnsi="Calibri"/>
                <w:b w:val="0"/>
                <w:i w:val="0"/>
                <w:color w:val="212121"/>
                <w:sz w:val="16"/>
              </w:rPr>
              <w:t>Low ferritin/TSAT</w:t>
            </w:r>
          </w:p>
        </w:tc>
        <w:tc>
          <w:tcPr>
            <w:tcW w:type="dxa" w:w="1036"/>
            <w:vAlign w:val="top"/>
          </w:tcPr>
          <w:p>
            <w:pPr>
              <w:spacing w:after="40" w:before="0" w:line="259" w:lineRule="auto"/>
            </w:pPr>
            <w:r>
              <w:rPr>
                <w:rFonts w:ascii="Calibri" w:hAnsi="Calibri"/>
                <w:b w:val="0"/>
                <w:i w:val="0"/>
                <w:color w:val="212121"/>
                <w:sz w:val="16"/>
              </w:rPr>
              <w:t>Confirms iron deficiency; guides oral vs intravenous iron</w:t>
            </w:r>
          </w:p>
        </w:tc>
        <w:tc>
          <w:tcPr>
            <w:tcW w:type="dxa" w:w="1036"/>
            <w:vAlign w:val="top"/>
          </w:tcPr>
          <w:p>
            <w:pPr>
              <w:spacing w:after="40" w:before="0" w:line="259" w:lineRule="auto"/>
            </w:pPr>
            <w:r>
              <w:rPr>
                <w:rFonts w:ascii="Calibri" w:hAnsi="Calibri"/>
                <w:b w:val="0"/>
                <w:i w:val="0"/>
                <w:color w:val="212121"/>
                <w:sz w:val="16"/>
              </w:rPr>
              <w:t>Anaemic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Ferritin is falsely elevated by active inflammation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 B12, folate, vitamin D</w:t>
            </w:r>
          </w:p>
        </w:tc>
        <w:tc>
          <w:tcPr>
            <w:tcW w:type="dxa" w:w="892"/>
            <w:vAlign w:val="top"/>
          </w:tcPr>
          <w:p>
            <w:pPr>
              <w:spacing w:after="40" w:before="0" w:line="259" w:lineRule="auto"/>
            </w:pPr>
            <w:r>
              <w:rPr>
                <w:rFonts w:ascii="Calibri" w:hAnsi="Calibri"/>
                <w:b w:val="0"/>
                <w:i w:val="0"/>
                <w:color w:val="212121"/>
                <w:sz w:val="16"/>
              </w:rPr>
              <w:t>Nutritional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Low albumin/B12/folate/vitamin D</w:t>
            </w:r>
          </w:p>
        </w:tc>
        <w:tc>
          <w:tcPr>
            <w:tcW w:type="dxa" w:w="1036"/>
            <w:vAlign w:val="top"/>
          </w:tcPr>
          <w:p>
            <w:pPr>
              <w:spacing w:after="40" w:before="0" w:line="259" w:lineRule="auto"/>
            </w:pPr>
            <w:r>
              <w:rPr>
                <w:rFonts w:ascii="Calibri" w:hAnsi="Calibri"/>
                <w:b w:val="0"/>
                <w:i w:val="0"/>
                <w:color w:val="212121"/>
                <w:sz w:val="16"/>
              </w:rPr>
              <w:t>Assesses malnutrition, protein-losing enteropathy and malabsorption (B12 with ileal disease)</w:t>
            </w:r>
          </w:p>
        </w:tc>
        <w:tc>
          <w:tcPr>
            <w:tcW w:type="dxa" w:w="1036"/>
            <w:vAlign w:val="top"/>
          </w:tcPr>
          <w:p>
            <w:pPr>
              <w:spacing w:after="40" w:before="0" w:line="259" w:lineRule="auto"/>
            </w:pPr>
            <w:r>
              <w:rPr>
                <w:rFonts w:ascii="Calibri" w:hAnsi="Calibri"/>
                <w:b w:val="0"/>
                <w:i w:val="0"/>
                <w:color w:val="212121"/>
                <w:sz w:val="16"/>
              </w:rPr>
              <w:t>Weight loss, ileal/resected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deficiencies and screen bone health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 TB workup</w:t>
            </w:r>
          </w:p>
        </w:tc>
        <w:tc>
          <w:tcPr>
            <w:tcW w:type="dxa" w:w="1036"/>
            <w:vAlign w:val="top"/>
          </w:tcPr>
          <w:p>
            <w:pPr>
              <w:spacing w:after="40" w:before="0" w:line="259" w:lineRule="auto"/>
            </w:pPr>
            <w:r>
              <w:rPr>
                <w:rFonts w:ascii="Calibri" w:hAnsi="Calibri"/>
                <w:b w:val="0"/>
                <w:i w:val="0"/>
                <w:color w:val="212121"/>
                <w:sz w:val="16"/>
              </w:rPr>
              <w:t>AFB smear &amp; culture, GeneXpert MTB/RIF, IGRA, chest imaging</w:t>
            </w:r>
          </w:p>
        </w:tc>
        <w:tc>
          <w:tcPr>
            <w:tcW w:type="dxa" w:w="892"/>
            <w:vAlign w:val="top"/>
          </w:tcPr>
          <w:p>
            <w:pPr>
              <w:spacing w:after="40" w:before="0" w:line="259" w:lineRule="auto"/>
            </w:pPr>
            <w:r>
              <w:rPr>
                <w:rFonts w:ascii="Calibri" w:hAnsi="Calibri"/>
                <w:b w:val="0"/>
                <w:i w:val="0"/>
                <w:color w:val="212121"/>
                <w:sz w:val="16"/>
              </w:rPr>
              <w:t>Intestinal tuberculosis exclusion</w:t>
            </w:r>
          </w:p>
        </w:tc>
        <w:tc>
          <w:tcPr>
            <w:tcW w:type="dxa" w:w="950"/>
            <w:vAlign w:val="top"/>
          </w:tcPr>
          <w:p>
            <w:pPr>
              <w:spacing w:after="40" w:before="0" w:line="259" w:lineRule="auto"/>
            </w:pPr>
            <w:r>
              <w:rPr>
                <w:rFonts w:ascii="Calibri" w:hAnsi="Calibri"/>
                <w:b w:val="0"/>
                <w:i w:val="0"/>
                <w:color w:val="212121"/>
                <w:sz w:val="16"/>
              </w:rPr>
              <w:t>Negative for M. tuberculosis</w:t>
            </w:r>
          </w:p>
        </w:tc>
        <w:tc>
          <w:tcPr>
            <w:tcW w:type="dxa" w:w="950"/>
            <w:vAlign w:val="top"/>
          </w:tcPr>
          <w:p>
            <w:pPr>
              <w:spacing w:after="40" w:before="0" w:line="259" w:lineRule="auto"/>
            </w:pPr>
            <w:r>
              <w:rPr>
                <w:rFonts w:ascii="Calibri" w:hAnsi="Calibri"/>
                <w:b w:val="0"/>
                <w:i w:val="0"/>
                <w:color w:val="212121"/>
                <w:sz w:val="16"/>
              </w:rPr>
              <w:t>Caseating granuloma, AFB positive, positive GeneXpert/culture, necrotic nodes</w:t>
            </w:r>
          </w:p>
        </w:tc>
        <w:tc>
          <w:tcPr>
            <w:tcW w:type="dxa" w:w="1036"/>
            <w:vAlign w:val="top"/>
          </w:tcPr>
          <w:p>
            <w:pPr>
              <w:spacing w:after="40" w:before="0" w:line="259" w:lineRule="auto"/>
            </w:pPr>
            <w:r>
              <w:rPr>
                <w:rFonts w:ascii="Calibri" w:hAnsi="Calibri"/>
                <w:b w:val="0"/>
                <w:i w:val="0"/>
                <w:color w:val="212121"/>
                <w:sz w:val="16"/>
              </w:rPr>
              <w:t>Mandatory in India before immunosuppression; positive results indicate TB rather than (or with) Crohn's</w:t>
            </w:r>
          </w:p>
        </w:tc>
        <w:tc>
          <w:tcPr>
            <w:tcW w:type="dxa" w:w="1036"/>
            <w:vAlign w:val="top"/>
          </w:tcPr>
          <w:p>
            <w:pPr>
              <w:spacing w:after="40" w:before="0" w:line="259" w:lineRule="auto"/>
            </w:pPr>
            <w:r>
              <w:rPr>
                <w:rFonts w:ascii="Calibri" w:hAnsi="Calibri"/>
                <w:b w:val="0"/>
                <w:i w:val="0"/>
                <w:color w:val="212121"/>
                <w:sz w:val="16"/>
              </w:rPr>
              <w:t>All ileocaecal disease in TB-endemic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(India)</w:t>
            </w:r>
          </w:p>
        </w:tc>
        <w:tc>
          <w:tcPr>
            <w:tcW w:type="dxa" w:w="720"/>
            <w:vAlign w:val="top"/>
          </w:tcPr>
          <w:p>
            <w:pPr>
              <w:spacing w:after="40" w:before="0" w:line="259" w:lineRule="auto"/>
            </w:pPr>
            <w:r>
              <w:rPr>
                <w:rFonts w:ascii="Calibri" w:hAnsi="Calibri"/>
                <w:b w:val="0"/>
                <w:i w:val="0"/>
                <w:color w:val="212121"/>
                <w:sz w:val="16"/>
              </w:rPr>
              <w:t>If unresolved, an empirical anti-tubercular therapy trial with re-evaluation is often needed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CT / MR enterography</w:t>
            </w:r>
          </w:p>
        </w:tc>
        <w:tc>
          <w:tcPr>
            <w:tcW w:type="dxa" w:w="892"/>
            <w:vAlign w:val="top"/>
          </w:tcPr>
          <w:p>
            <w:pPr>
              <w:spacing w:after="40" w:before="0" w:line="259" w:lineRule="auto"/>
            </w:pPr>
            <w:r>
              <w:rPr>
                <w:rFonts w:ascii="Calibri" w:hAnsi="Calibri"/>
                <w:b w:val="0"/>
                <w:i w:val="0"/>
                <w:color w:val="212121"/>
                <w:sz w:val="16"/>
              </w:rPr>
              <w:t>Cross-sectional small-bowel imaging</w:t>
            </w:r>
          </w:p>
        </w:tc>
        <w:tc>
          <w:tcPr>
            <w:tcW w:type="dxa" w:w="950"/>
            <w:vAlign w:val="top"/>
          </w:tcPr>
          <w:p>
            <w:pPr>
              <w:spacing w:after="40" w:before="0" w:line="259" w:lineRule="auto"/>
            </w:pPr>
            <w:r>
              <w:rPr>
                <w:rFonts w:ascii="Calibri" w:hAnsi="Calibri"/>
                <w:b w:val="0"/>
                <w:i w:val="0"/>
                <w:color w:val="212121"/>
                <w:sz w:val="16"/>
              </w:rPr>
              <w:t>Normal bowel wall &amp; mesentery</w:t>
            </w:r>
          </w:p>
        </w:tc>
        <w:tc>
          <w:tcPr>
            <w:tcW w:type="dxa" w:w="950"/>
            <w:vAlign w:val="top"/>
          </w:tcPr>
          <w:p>
            <w:pPr>
              <w:spacing w:after="40" w:before="0" w:line="259" w:lineRule="auto"/>
            </w:pPr>
            <w:r>
              <w:rPr>
                <w:rFonts w:ascii="Calibri" w:hAnsi="Calibri"/>
                <w:b w:val="0"/>
                <w:i w:val="0"/>
                <w:color w:val="212121"/>
                <w:sz w:val="16"/>
              </w:rPr>
              <w:t>Mural thickening, skip lesions, strictures, fistulae, abscess, creeping fat</w:t>
            </w:r>
          </w:p>
        </w:tc>
        <w:tc>
          <w:tcPr>
            <w:tcW w:type="dxa" w:w="1036"/>
            <w:vAlign w:val="top"/>
          </w:tcPr>
          <w:p>
            <w:pPr>
              <w:spacing w:after="40" w:before="0" w:line="259" w:lineRule="auto"/>
            </w:pPr>
            <w:r>
              <w:rPr>
                <w:rFonts w:ascii="Calibri" w:hAnsi="Calibri"/>
                <w:b w:val="0"/>
                <w:i w:val="0"/>
                <w:color w:val="212121"/>
                <w:sz w:val="16"/>
              </w:rPr>
              <w:t>Maps small-bowel extent and complications not seen at colonoscopy</w:t>
            </w:r>
          </w:p>
        </w:tc>
        <w:tc>
          <w:tcPr>
            <w:tcW w:type="dxa" w:w="1036"/>
            <w:vAlign w:val="top"/>
          </w:tcPr>
          <w:p>
            <w:pPr>
              <w:spacing w:after="40" w:before="0" w:line="259" w:lineRule="auto"/>
            </w:pPr>
            <w:r>
              <w:rPr>
                <w:rFonts w:ascii="Calibri" w:hAnsi="Calibri"/>
                <w:b w:val="0"/>
                <w:i w:val="0"/>
                <w:color w:val="212121"/>
                <w:sz w:val="16"/>
              </w:rPr>
              <w:t>Suspected small-bowel or penetrating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MR enterography preferred in the young to avoid radiation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ASCA / pANCA</w:t>
            </w:r>
          </w:p>
        </w:tc>
        <w:tc>
          <w:tcPr>
            <w:tcW w:type="dxa" w:w="892"/>
            <w:vAlign w:val="top"/>
          </w:tcPr>
          <w:p>
            <w:pPr>
              <w:spacing w:after="40" w:before="0" w:line="259" w:lineRule="auto"/>
            </w:pPr>
            <w:r>
              <w:rPr>
                <w:rFonts w:ascii="Calibri" w:hAnsi="Calibri"/>
                <w:b w:val="0"/>
                <w:i w:val="0"/>
                <w:color w:val="212121"/>
                <w:sz w:val="16"/>
              </w:rPr>
              <w:t>IBD serologic markers</w:t>
            </w:r>
          </w:p>
        </w:tc>
        <w:tc>
          <w:tcPr>
            <w:tcW w:type="dxa" w:w="950"/>
            <w:vAlign w:val="top"/>
          </w:tcPr>
          <w:p>
            <w:pPr>
              <w:spacing w:after="40" w:before="0" w:line="259" w:lineRule="auto"/>
            </w:pPr>
            <w:r>
              <w:rPr>
                <w:rFonts w:ascii="Calibri" w:hAnsi="Calibri"/>
                <w:b w:val="0"/>
                <w:i w:val="0"/>
                <w:color w:val="212121"/>
                <w:sz w:val="16"/>
              </w:rPr>
              <w:t>ASCA negative</w:t>
            </w:r>
          </w:p>
        </w:tc>
        <w:tc>
          <w:tcPr>
            <w:tcW w:type="dxa" w:w="950"/>
            <w:vAlign w:val="top"/>
          </w:tcPr>
          <w:p>
            <w:pPr>
              <w:spacing w:after="40" w:before="0" w:line="259" w:lineRule="auto"/>
            </w:pPr>
            <w:r>
              <w:rPr>
                <w:rFonts w:ascii="Calibri" w:hAnsi="Calibri"/>
                <w:b w:val="0"/>
                <w:i w:val="0"/>
                <w:color w:val="212121"/>
                <w:sz w:val="16"/>
              </w:rPr>
              <w:t>ASCA positive with pANCA negative</w:t>
            </w:r>
          </w:p>
        </w:tc>
        <w:tc>
          <w:tcPr>
            <w:tcW w:type="dxa" w:w="1036"/>
            <w:vAlign w:val="top"/>
          </w:tcPr>
          <w:p>
            <w:pPr>
              <w:spacing w:after="40" w:before="0" w:line="259" w:lineRule="auto"/>
            </w:pPr>
            <w:r>
              <w:rPr>
                <w:rFonts w:ascii="Calibri" w:hAnsi="Calibri"/>
                <w:b w:val="0"/>
                <w:i w:val="0"/>
                <w:color w:val="212121"/>
                <w:sz w:val="16"/>
              </w:rPr>
              <w:t>Pattern favours Crohn's over ulcerative colitis; supportive only</w:t>
            </w:r>
          </w:p>
        </w:tc>
        <w:tc>
          <w:tcPr>
            <w:tcW w:type="dxa" w:w="1036"/>
            <w:vAlign w:val="top"/>
          </w:tcPr>
          <w:p>
            <w:pPr>
              <w:spacing w:after="40" w:before="0" w:line="259" w:lineRule="auto"/>
            </w:pPr>
            <w:r>
              <w:rPr>
                <w:rFonts w:ascii="Calibri" w:hAnsi="Calibri"/>
                <w:b w:val="0"/>
                <w:i w:val="0"/>
                <w:color w:val="212121"/>
                <w:sz w:val="16"/>
              </w:rPr>
              <w:t>IBD subtype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Not sensitive/specific enough to diagnose alone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Chronic diarrhoea, RLQ pain, weight loss, fatigue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persistent for weeks–months</w:t>
            </w:r>
          </w:p>
        </w:tc>
        <w:tc>
          <w:tcPr>
            <w:tcW w:type="dxa" w:w="1036"/>
            <w:vAlign w:val="top"/>
          </w:tcPr>
          <w:p>
            <w:pPr>
              <w:spacing w:after="40" w:before="0" w:line="259" w:lineRule="auto"/>
            </w:pPr>
            <w:r>
              <w:rPr>
                <w:rFonts w:ascii="Calibri" w:hAnsi="Calibri"/>
                <w:b w:val="0"/>
                <w:i w:val="0"/>
                <w:color w:val="212121"/>
                <w:sz w:val="16"/>
              </w:rPr>
              <w:t>Cardinal symptom cluster prompting evaluation for Crohn's disease</w:t>
            </w:r>
          </w:p>
        </w:tc>
        <w:tc>
          <w:tcPr>
            <w:tcW w:type="dxa" w:w="1036"/>
            <w:vAlign w:val="top"/>
          </w:tcPr>
          <w:p>
            <w:pPr>
              <w:spacing w:after="40" w:before="0" w:line="259" w:lineRule="auto"/>
            </w:pPr>
            <w:r>
              <w:rPr>
                <w:rFonts w:ascii="Calibri" w:hAnsi="Calibri"/>
                <w:b w:val="0"/>
                <w:i w:val="0"/>
                <w:color w:val="212121"/>
                <w:sz w:val="16"/>
              </w:rPr>
              <w:t>Patients with chronic GI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Nocturnal diarrhoea and weight loss are red flags against IBS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Perianal symptoms</w:t>
            </w:r>
          </w:p>
        </w:tc>
        <w:tc>
          <w:tcPr>
            <w:tcW w:type="dxa" w:w="979"/>
            <w:vAlign w:val="top"/>
          </w:tcPr>
          <w:p>
            <w:pPr>
              <w:spacing w:after="40" w:before="0" w:line="259" w:lineRule="auto"/>
            </w:pPr>
            <w:r>
              <w:rPr>
                <w:rFonts w:ascii="Calibri" w:hAnsi="Calibri"/>
                <w:b w:val="0"/>
                <w:i w:val="0"/>
                <w:color w:val="212121"/>
                <w:sz w:val="16"/>
              </w:rPr>
              <w:t>Perianal pain, discharge, recurrent abscess/fistula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Perianal fistulising disease strongly suggests Crohn's and denotes the “p” modifier</w:t>
            </w:r>
          </w:p>
        </w:tc>
        <w:tc>
          <w:tcPr>
            <w:tcW w:type="dxa" w:w="1036"/>
            <w:vAlign w:val="top"/>
          </w:tcPr>
          <w:p>
            <w:pPr>
              <w:spacing w:after="40" w:before="0" w:line="259" w:lineRule="auto"/>
            </w:pPr>
            <w:r>
              <w:rPr>
                <w:rFonts w:ascii="Calibri" w:hAnsi="Calibri"/>
                <w:b w:val="0"/>
                <w:i w:val="0"/>
                <w:color w:val="212121"/>
                <w:sz w:val="16"/>
              </w:rPr>
              <w:t>Patients with anorectal complaints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Perianal disease seen in ~1 in 10 Indian paediatric CD cases and more in adults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history</w:t>
            </w:r>
          </w:p>
        </w:tc>
        <w:tc>
          <w:tcPr>
            <w:tcW w:type="dxa" w:w="979"/>
            <w:vAlign w:val="top"/>
          </w:tcPr>
          <w:p>
            <w:pPr>
              <w:spacing w:after="40" w:before="0" w:line="259" w:lineRule="auto"/>
            </w:pPr>
            <w:r>
              <w:rPr>
                <w:rFonts w:ascii="Calibri" w:hAnsi="Calibri"/>
                <w:b w:val="0"/>
                <w:i w:val="0"/>
                <w:color w:val="212121"/>
                <w:sz w:val="16"/>
              </w:rPr>
              <w:t>Current/past cigarette use, pack-years</w:t>
            </w:r>
          </w:p>
        </w:tc>
        <w:tc>
          <w:tcPr>
            <w:tcW w:type="dxa" w:w="950"/>
            <w:vAlign w:val="top"/>
          </w:tcPr>
          <w:p>
            <w:pPr>
              <w:spacing w:after="40" w:before="0" w:line="259" w:lineRule="auto"/>
            </w:pPr>
            <w:r>
              <w:rPr>
                <w:rFonts w:ascii="Calibri" w:hAnsi="Calibri"/>
                <w:b w:val="0"/>
                <w:i w:val="0"/>
                <w:color w:val="212121"/>
                <w:sz w:val="16"/>
              </w:rPr>
              <w:t>Never smoker</w:t>
            </w:r>
          </w:p>
        </w:tc>
        <w:tc>
          <w:tcPr>
            <w:tcW w:type="dxa" w:w="950"/>
            <w:vAlign w:val="top"/>
          </w:tcPr>
          <w:p>
            <w:pPr>
              <w:spacing w:after="40" w:before="0" w:line="259" w:lineRule="auto"/>
            </w:pPr>
            <w:r>
              <w:rPr>
                <w:rFonts w:ascii="Calibri" w:hAnsi="Calibri"/>
                <w:b w:val="0"/>
                <w:i w:val="0"/>
                <w:color w:val="212121"/>
                <w:sz w:val="16"/>
              </w:rPr>
              <w:t>Current smoker</w:t>
            </w:r>
          </w:p>
        </w:tc>
        <w:tc>
          <w:tcPr>
            <w:tcW w:type="dxa" w:w="1036"/>
            <w:vAlign w:val="top"/>
          </w:tcPr>
          <w:p>
            <w:pPr>
              <w:spacing w:after="40" w:before="0" w:line="259" w:lineRule="auto"/>
            </w:pPr>
            <w:r>
              <w:rPr>
                <w:rFonts w:ascii="Calibri" w:hAnsi="Calibri"/>
                <w:b w:val="0"/>
                <w:i w:val="0"/>
                <w:color w:val="212121"/>
                <w:sz w:val="16"/>
              </w:rPr>
              <w:t>Smoking increases risk and worsens course; cessation is a treatment priority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cessation advice at every visit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Tuberculosis history &amp; exposure</w:t>
            </w:r>
          </w:p>
        </w:tc>
        <w:tc>
          <w:tcPr>
            <w:tcW w:type="dxa" w:w="979"/>
            <w:vAlign w:val="top"/>
          </w:tcPr>
          <w:p>
            <w:pPr>
              <w:spacing w:after="40" w:before="0" w:line="259" w:lineRule="auto"/>
            </w:pPr>
            <w:r>
              <w:rPr>
                <w:rFonts w:ascii="Calibri" w:hAnsi="Calibri"/>
                <w:b w:val="0"/>
                <w:i w:val="0"/>
                <w:color w:val="212121"/>
                <w:sz w:val="16"/>
              </w:rPr>
              <w:t>Prior TB, contact, endemic exposure, previous ATT</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history/contact</w:t>
            </w:r>
          </w:p>
        </w:tc>
        <w:tc>
          <w:tcPr>
            <w:tcW w:type="dxa" w:w="1036"/>
            <w:vAlign w:val="top"/>
          </w:tcPr>
          <w:p>
            <w:pPr>
              <w:spacing w:after="40" w:before="0" w:line="259" w:lineRule="auto"/>
            </w:pPr>
            <w:r>
              <w:rPr>
                <w:rFonts w:ascii="Calibri" w:hAnsi="Calibri"/>
                <w:b w:val="0"/>
                <w:i w:val="0"/>
                <w:color w:val="212121"/>
                <w:sz w:val="16"/>
              </w:rPr>
              <w:t>Essential in India to weigh intestinal tuberculosis as the key differential before immunosuppression</w:t>
            </w:r>
          </w:p>
        </w:tc>
        <w:tc>
          <w:tcPr>
            <w:tcW w:type="dxa" w:w="1036"/>
            <w:vAlign w:val="top"/>
          </w:tcPr>
          <w:p>
            <w:pPr>
              <w:spacing w:after="40" w:before="0" w:line="259" w:lineRule="auto"/>
            </w:pPr>
            <w:r>
              <w:rPr>
                <w:rFonts w:ascii="Calibri" w:hAnsi="Calibri"/>
                <w:b w:val="0"/>
                <w:i w:val="0"/>
                <w:color w:val="212121"/>
                <w:sz w:val="16"/>
              </w:rPr>
              <w:t>All patients in TB-endemic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(India)</w:t>
            </w:r>
          </w:p>
        </w:tc>
        <w:tc>
          <w:tcPr>
            <w:tcW w:type="dxa" w:w="720"/>
            <w:vAlign w:val="top"/>
          </w:tcPr>
          <w:p>
            <w:pPr>
              <w:spacing w:after="40" w:before="0" w:line="259" w:lineRule="auto"/>
            </w:pPr>
            <w:r>
              <w:rPr>
                <w:rFonts w:ascii="Calibri" w:hAnsi="Calibri"/>
                <w:b w:val="0"/>
                <w:i w:val="0"/>
                <w:color w:val="212121"/>
                <w:sz w:val="16"/>
              </w:rPr>
              <w:t>Ask about fever, night sweats and prior anti-tubercular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drug history</w:t>
            </w:r>
          </w:p>
        </w:tc>
        <w:tc>
          <w:tcPr>
            <w:tcW w:type="dxa" w:w="979"/>
            <w:vAlign w:val="top"/>
          </w:tcPr>
          <w:p>
            <w:pPr>
              <w:spacing w:after="40" w:before="0" w:line="259" w:lineRule="auto"/>
            </w:pPr>
            <w:r>
              <w:rPr>
                <w:rFonts w:ascii="Calibri" w:hAnsi="Calibri"/>
                <w:b w:val="0"/>
                <w:i w:val="0"/>
                <w:color w:val="212121"/>
                <w:sz w:val="16"/>
              </w:rPr>
              <w:t>First-degree relative with IBD; NSAID use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 history / regular NSAIDs</w:t>
            </w:r>
          </w:p>
        </w:tc>
        <w:tc>
          <w:tcPr>
            <w:tcW w:type="dxa" w:w="1036"/>
            <w:vAlign w:val="top"/>
          </w:tcPr>
          <w:p>
            <w:pPr>
              <w:spacing w:after="40" w:before="0" w:line="259" w:lineRule="auto"/>
            </w:pPr>
            <w:r>
              <w:rPr>
                <w:rFonts w:ascii="Calibri" w:hAnsi="Calibri"/>
                <w:b w:val="0"/>
                <w:i w:val="0"/>
                <w:color w:val="212121"/>
                <w:sz w:val="16"/>
              </w:rPr>
              <w:t>Family history is the strongest risk factor; NSAIDs can provoke flares</w:t>
            </w:r>
          </w:p>
        </w:tc>
        <w:tc>
          <w:tcPr>
            <w:tcW w:type="dxa" w:w="1036"/>
            <w:vAlign w:val="top"/>
          </w:tcPr>
          <w:p>
            <w:pPr>
              <w:spacing w:after="40" w:before="0" w:line="259" w:lineRule="auto"/>
            </w:pPr>
            <w:r>
              <w:rPr>
                <w:rFonts w:ascii="Calibri" w:hAnsi="Calibri"/>
                <w:b w:val="0"/>
                <w:i w:val="0"/>
                <w:color w:val="212121"/>
                <w:sz w:val="16"/>
              </w:rPr>
              <w:t>Relatives of IBD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Family history less common in Indian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RLQ tenderness or palpable mass</w:t>
            </w:r>
          </w:p>
        </w:tc>
        <w:tc>
          <w:tcPr>
            <w:tcW w:type="dxa" w:w="950"/>
            <w:vAlign w:val="top"/>
          </w:tcPr>
          <w:p>
            <w:pPr>
              <w:spacing w:after="40" w:before="0" w:line="259" w:lineRule="auto"/>
            </w:pPr>
            <w:r>
              <w:rPr>
                <w:rFonts w:ascii="Calibri" w:hAnsi="Calibri"/>
                <w:b w:val="0"/>
                <w:i w:val="0"/>
                <w:color w:val="212121"/>
                <w:sz w:val="16"/>
              </w:rPr>
              <w:t>Soft, non-tender</w:t>
            </w:r>
          </w:p>
        </w:tc>
        <w:tc>
          <w:tcPr>
            <w:tcW w:type="dxa" w:w="950"/>
            <w:vAlign w:val="top"/>
          </w:tcPr>
          <w:p>
            <w:pPr>
              <w:spacing w:after="40" w:before="0" w:line="259" w:lineRule="auto"/>
            </w:pPr>
            <w:r>
              <w:rPr>
                <w:rFonts w:ascii="Calibri" w:hAnsi="Calibri"/>
                <w:b w:val="0"/>
                <w:i w:val="0"/>
                <w:color w:val="212121"/>
                <w:sz w:val="16"/>
              </w:rPr>
              <w:t>Right iliac fossa tenderness/mass, distension</w:t>
            </w:r>
          </w:p>
        </w:tc>
        <w:tc>
          <w:tcPr>
            <w:tcW w:type="dxa" w:w="1036"/>
            <w:vAlign w:val="top"/>
          </w:tcPr>
          <w:p>
            <w:pPr>
              <w:spacing w:after="40" w:before="0" w:line="259" w:lineRule="auto"/>
            </w:pPr>
            <w:r>
              <w:rPr>
                <w:rFonts w:ascii="Calibri" w:hAnsi="Calibri"/>
                <w:b w:val="0"/>
                <w:i w:val="0"/>
                <w:color w:val="212121"/>
                <w:sz w:val="16"/>
              </w:rPr>
              <w:t>Suggests active ileocaecal disease, inflammatory mass or obstruction</w:t>
            </w:r>
          </w:p>
        </w:tc>
        <w:tc>
          <w:tcPr>
            <w:tcW w:type="dxa" w:w="1036"/>
            <w:vAlign w:val="top"/>
          </w:tcPr>
          <w:p>
            <w:pPr>
              <w:spacing w:after="40" w:before="0" w:line="259" w:lineRule="auto"/>
            </w:pPr>
            <w:r>
              <w:rPr>
                <w:rFonts w:ascii="Calibri" w:hAnsi="Calibri"/>
                <w:b w:val="0"/>
                <w:i w:val="0"/>
                <w:color w:val="212121"/>
                <w:sz w:val="16"/>
              </w:rPr>
              <w:t>Patients with pain/obstructive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mass may be phlegmon or abscess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Perianal inspection</w:t>
            </w:r>
          </w:p>
        </w:tc>
        <w:tc>
          <w:tcPr>
            <w:tcW w:type="dxa" w:w="979"/>
            <w:vAlign w:val="top"/>
          </w:tcPr>
          <w:p>
            <w:pPr>
              <w:spacing w:after="40" w:before="0" w:line="259" w:lineRule="auto"/>
            </w:pPr>
            <w:r>
              <w:rPr>
                <w:rFonts w:ascii="Calibri" w:hAnsi="Calibri"/>
                <w:b w:val="0"/>
                <w:i w:val="0"/>
                <w:color w:val="212121"/>
                <w:sz w:val="16"/>
              </w:rPr>
              <w:t>Skin tags, fissures, fistula openings, abscess</w:t>
            </w:r>
          </w:p>
        </w:tc>
        <w:tc>
          <w:tcPr>
            <w:tcW w:type="dxa" w:w="950"/>
            <w:vAlign w:val="top"/>
          </w:tcPr>
          <w:p>
            <w:pPr>
              <w:spacing w:after="40" w:before="0" w:line="259" w:lineRule="auto"/>
            </w:pPr>
            <w:r>
              <w:rPr>
                <w:rFonts w:ascii="Calibri" w:hAnsi="Calibri"/>
                <w:b w:val="0"/>
                <w:i w:val="0"/>
                <w:color w:val="212121"/>
                <w:sz w:val="16"/>
              </w:rPr>
              <w:t>Normal perineum</w:t>
            </w:r>
          </w:p>
        </w:tc>
        <w:tc>
          <w:tcPr>
            <w:tcW w:type="dxa" w:w="950"/>
            <w:vAlign w:val="top"/>
          </w:tcPr>
          <w:p>
            <w:pPr>
              <w:spacing w:after="40" w:before="0" w:line="259" w:lineRule="auto"/>
            </w:pPr>
            <w:r>
              <w:rPr>
                <w:rFonts w:ascii="Calibri" w:hAnsi="Calibri"/>
                <w:b w:val="0"/>
                <w:i w:val="0"/>
                <w:color w:val="212121"/>
                <w:sz w:val="16"/>
              </w:rPr>
              <w:t>Complex tags, fissures, fistulae or abscess</w:t>
            </w:r>
          </w:p>
        </w:tc>
        <w:tc>
          <w:tcPr>
            <w:tcW w:type="dxa" w:w="1036"/>
            <w:vAlign w:val="top"/>
          </w:tcPr>
          <w:p>
            <w:pPr>
              <w:spacing w:after="40" w:before="0" w:line="259" w:lineRule="auto"/>
            </w:pPr>
            <w:r>
              <w:rPr>
                <w:rFonts w:ascii="Calibri" w:hAnsi="Calibri"/>
                <w:b w:val="0"/>
                <w:i w:val="0"/>
                <w:color w:val="212121"/>
                <w:sz w:val="16"/>
              </w:rPr>
              <w:t>Perianal Crohn's disease; may need examination under anaesthesia and pelvic MRI</w:t>
            </w:r>
          </w:p>
        </w:tc>
        <w:tc>
          <w:tcPr>
            <w:tcW w:type="dxa" w:w="1036"/>
            <w:vAlign w:val="top"/>
          </w:tcPr>
          <w:p>
            <w:pPr>
              <w:spacing w:after="40" w:before="0" w:line="259" w:lineRule="auto"/>
            </w:pPr>
            <w:r>
              <w:rPr>
                <w:rFonts w:ascii="Calibri" w:hAnsi="Calibri"/>
                <w:b w:val="0"/>
                <w:i w:val="0"/>
                <w:color w:val="212121"/>
                <w:sz w:val="16"/>
              </w:rPr>
              <w:t>Patients with perianal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Broad, painless tags are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Extraintestinal signs</w:t>
            </w:r>
          </w:p>
        </w:tc>
        <w:tc>
          <w:tcPr>
            <w:tcW w:type="dxa" w:w="979"/>
            <w:vAlign w:val="top"/>
          </w:tcPr>
          <w:p>
            <w:pPr>
              <w:spacing w:after="40" w:before="0" w:line="259" w:lineRule="auto"/>
            </w:pPr>
            <w:r>
              <w:rPr>
                <w:rFonts w:ascii="Calibri" w:hAnsi="Calibri"/>
                <w:b w:val="0"/>
                <w:i w:val="0"/>
                <w:color w:val="212121"/>
                <w:sz w:val="16"/>
              </w:rPr>
              <w:t>Oral aphthae, erythema nodosum, pyoderma gangrenosum, uveitis/episcleritis, arthritis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Extraintestinal manifestations support IBD and may parallel or precede gut activity</w:t>
            </w:r>
          </w:p>
        </w:tc>
        <w:tc>
          <w:tcPr>
            <w:tcW w:type="dxa" w:w="1036"/>
            <w:vAlign w:val="top"/>
          </w:tcPr>
          <w:p>
            <w:pPr>
              <w:spacing w:after="40" w:before="0" w:line="259" w:lineRule="auto"/>
            </w:pPr>
            <w:r>
              <w:rPr>
                <w:rFonts w:ascii="Calibri" w:hAnsi="Calibri"/>
                <w:b w:val="0"/>
                <w:i w:val="0"/>
                <w:color w:val="212121"/>
                <w:sz w:val="16"/>
              </w:rPr>
              <w:t>Patients with skin/eye/joint complaints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At least one EIM occurs in about 35% of Crohn's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Nutrition &amp; growth assessment</w:t>
            </w:r>
          </w:p>
        </w:tc>
        <w:tc>
          <w:tcPr>
            <w:tcW w:type="dxa" w:w="979"/>
            <w:vAlign w:val="top"/>
          </w:tcPr>
          <w:p>
            <w:pPr>
              <w:spacing w:after="40" w:before="0" w:line="259" w:lineRule="auto"/>
            </w:pPr>
            <w:r>
              <w:rPr>
                <w:rFonts w:ascii="Calibri" w:hAnsi="Calibri"/>
                <w:b w:val="0"/>
                <w:i w:val="0"/>
                <w:color w:val="212121"/>
                <w:sz w:val="16"/>
              </w:rPr>
              <w:t>Pallor, BMI, muscle wasting; height/weight in children</w:t>
            </w:r>
          </w:p>
        </w:tc>
        <w:tc>
          <w:tcPr>
            <w:tcW w:type="dxa" w:w="950"/>
            <w:vAlign w:val="top"/>
          </w:tcPr>
          <w:p>
            <w:pPr>
              <w:spacing w:after="40" w:before="0" w:line="259" w:lineRule="auto"/>
            </w:pPr>
            <w:r>
              <w:rPr>
                <w:rFonts w:ascii="Calibri" w:hAnsi="Calibri"/>
                <w:b w:val="0"/>
                <w:i w:val="0"/>
                <w:color w:val="212121"/>
                <w:sz w:val="16"/>
              </w:rPr>
              <w:t>Well-nourished; normal growth</w:t>
            </w:r>
          </w:p>
        </w:tc>
        <w:tc>
          <w:tcPr>
            <w:tcW w:type="dxa" w:w="950"/>
            <w:vAlign w:val="top"/>
          </w:tcPr>
          <w:p>
            <w:pPr>
              <w:spacing w:after="40" w:before="0" w:line="259" w:lineRule="auto"/>
            </w:pPr>
            <w:r>
              <w:rPr>
                <w:rFonts w:ascii="Calibri" w:hAnsi="Calibri"/>
                <w:b w:val="0"/>
                <w:i w:val="0"/>
                <w:color w:val="212121"/>
                <w:sz w:val="16"/>
              </w:rPr>
              <w:t>Pallor, low BMI, wasting; faltering growth/delayed puberty</w:t>
            </w:r>
          </w:p>
        </w:tc>
        <w:tc>
          <w:tcPr>
            <w:tcW w:type="dxa" w:w="1036"/>
            <w:vAlign w:val="top"/>
          </w:tcPr>
          <w:p>
            <w:pPr>
              <w:spacing w:after="40" w:before="0" w:line="259" w:lineRule="auto"/>
            </w:pPr>
            <w:r>
              <w:rPr>
                <w:rFonts w:ascii="Calibri" w:hAnsi="Calibri"/>
                <w:b w:val="0"/>
                <w:i w:val="0"/>
                <w:color w:val="212121"/>
                <w:sz w:val="16"/>
              </w:rPr>
              <w:t>Reflects malnutrition and, in children, growth failure from chronic inflammation</w:t>
            </w:r>
          </w:p>
        </w:tc>
        <w:tc>
          <w:tcPr>
            <w:tcW w:type="dxa" w:w="1036"/>
            <w:vAlign w:val="top"/>
          </w:tcPr>
          <w:p>
            <w:pPr>
              <w:spacing w:after="40" w:before="0" w:line="259" w:lineRule="auto"/>
            </w:pPr>
            <w:r>
              <w:rPr>
                <w:rFonts w:ascii="Calibri" w:hAnsi="Calibri"/>
                <w:b w:val="0"/>
                <w:i w:val="0"/>
                <w:color w:val="212121"/>
                <w:sz w:val="16"/>
              </w:rPr>
              <w:t>Children and malnourished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Growth failure affects about 1 in 5 Indian children with Crohn's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or recurrent diarrhoea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for weeks to months; may be nocturnal, reflecting mucosal inflammation and malabsorption.</w:t>
            </w:r>
          </w:p>
        </w:tc>
      </w:tr>
      <w:tr>
        <w:trPr>
          <w:cantSplit/>
        </w:trPr>
        <w:tc>
          <w:tcPr>
            <w:tcW w:type="dxa" w:w="2304"/>
            <w:vAlign w:val="top"/>
          </w:tcPr>
          <w:p>
            <w:pPr>
              <w:spacing w:after="40" w:before="0" w:line="259" w:lineRule="auto"/>
            </w:pPr>
            <w:r>
              <w:rPr>
                <w:rFonts w:ascii="Calibri" w:hAnsi="Calibri"/>
                <w:b/>
                <w:i w:val="0"/>
                <w:color w:val="212121"/>
                <w:sz w:val="19"/>
              </w:rPr>
              <w:t>Abdominal pain &amp; cramping (often right lower quadrant)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Colicky peri-umbilical or right iliac fossa pain from ileocaecal inflammation or partial obstruction.</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Driven by inflammation, anaemia and poor nutrition; a major quality-of-life burden.</w:t>
            </w:r>
          </w:p>
        </w:tc>
      </w:tr>
      <w:tr>
        <w:trPr>
          <w:cantSplit/>
        </w:trPr>
        <w:tc>
          <w:tcPr>
            <w:tcW w:type="dxa" w:w="2304"/>
            <w:vAlign w:val="top"/>
          </w:tcPr>
          <w:p>
            <w:pPr>
              <w:spacing w:after="40" w:before="0" w:line="259" w:lineRule="auto"/>
            </w:pPr>
            <w:r>
              <w:rPr>
                <w:rFonts w:ascii="Calibri" w:hAnsi="Calibri"/>
                <w:b/>
                <w:i w:val="0"/>
                <w:color w:val="212121"/>
                <w:sz w:val="19"/>
              </w:rPr>
              <w:t>Unintended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reduced intake, malabsorption and the catabolic effect of chronic inflammation.</w:t>
            </w:r>
          </w:p>
        </w:tc>
      </w:tr>
      <w:tr>
        <w:trPr>
          <w:cantSplit/>
        </w:trPr>
        <w:tc>
          <w:tcPr>
            <w:tcW w:type="dxa" w:w="2304"/>
            <w:vAlign w:val="top"/>
          </w:tcPr>
          <w:p>
            <w:pPr>
              <w:spacing w:after="40" w:before="0" w:line="259" w:lineRule="auto"/>
            </w:pPr>
            <w:r>
              <w:rPr>
                <w:rFonts w:ascii="Calibri" w:hAnsi="Calibri"/>
                <w:b/>
                <w:i w:val="0"/>
                <w:color w:val="212121"/>
                <w:sz w:val="19"/>
              </w:rPr>
              <w:t>Reduced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Anorexia accompanies active disease and contributes to malnutrition.</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active inflammation; high spiking fever should raise concern for abscess or tuberculosis.</w:t>
            </w:r>
          </w:p>
        </w:tc>
      </w:tr>
      <w:tr>
        <w:trPr>
          <w:cantSplit/>
        </w:trPr>
        <w:tc>
          <w:tcPr>
            <w:tcW w:type="dxa" w:w="2304"/>
            <w:vAlign w:val="top"/>
          </w:tcPr>
          <w:p>
            <w:pPr>
              <w:spacing w:after="40" w:before="0" w:line="259" w:lineRule="auto"/>
            </w:pPr>
            <w:r>
              <w:rPr>
                <w:rFonts w:ascii="Calibri" w:hAnsi="Calibri"/>
                <w:b/>
                <w:i w:val="0"/>
                <w:color w:val="212121"/>
                <w:sz w:val="19"/>
              </w:rPr>
              <w:t>Blood or mucus in stool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Less prominent than in ulcerative colitis but frequent with colonic involvement.</w:t>
            </w:r>
          </w:p>
        </w:tc>
      </w:tr>
      <w:tr>
        <w:trPr>
          <w:cantSplit/>
        </w:trPr>
        <w:tc>
          <w:tcPr>
            <w:tcW w:type="dxa" w:w="2304"/>
            <w:vAlign w:val="top"/>
          </w:tcPr>
          <w:p>
            <w:pPr>
              <w:spacing w:after="40" w:before="0" w:line="259" w:lineRule="auto"/>
            </w:pPr>
            <w:r>
              <w:rPr>
                <w:rFonts w:ascii="Calibri" w:hAnsi="Calibri"/>
                <w:b/>
                <w:i w:val="0"/>
                <w:color w:val="212121"/>
                <w:sz w:val="19"/>
              </w:rPr>
              <w:t>Perianal pain or discharge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fissures, fistulae or abscesses; a hallmark of Crohn's disease.</w:t>
            </w:r>
          </w:p>
        </w:tc>
      </w:tr>
      <w:tr>
        <w:trPr>
          <w:cantSplit/>
        </w:trPr>
        <w:tc>
          <w:tcPr>
            <w:tcW w:type="dxa" w:w="2304"/>
            <w:vAlign w:val="top"/>
          </w:tcPr>
          <w:p>
            <w:pPr>
              <w:spacing w:after="40" w:before="0" w:line="259" w:lineRule="auto"/>
            </w:pPr>
            <w:r>
              <w:rPr>
                <w:rFonts w:ascii="Calibri" w:hAnsi="Calibri"/>
                <w:b/>
                <w:i w:val="0"/>
                <w:color w:val="212121"/>
                <w:sz w:val="19"/>
              </w:rPr>
              <w:t>Mouth (aphthous) ulcers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Recurrent oral ulceration is an extraintestinal or upper-GI manifestation.</w:t>
            </w:r>
          </w:p>
        </w:tc>
      </w:tr>
      <w:tr>
        <w:trPr>
          <w:cantSplit/>
        </w:trPr>
        <w:tc>
          <w:tcPr>
            <w:tcW w:type="dxa" w:w="2304"/>
            <w:vAlign w:val="top"/>
          </w:tcPr>
          <w:p>
            <w:pPr>
              <w:spacing w:after="40" w:before="0" w:line="259" w:lineRule="auto"/>
            </w:pPr>
            <w:r>
              <w:rPr>
                <w:rFonts w:ascii="Calibri" w:hAnsi="Calibri"/>
                <w:b/>
                <w:i w:val="0"/>
                <w:color w:val="212121"/>
                <w:sz w:val="19"/>
              </w:rPr>
              <w:t>Nausea &amp; vomiting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stricturing disease with intestinal obstruction or upper-GI (gastroduodenal) involvement.</w:t>
            </w:r>
          </w:p>
        </w:tc>
      </w:tr>
      <w:tr>
        <w:trPr>
          <w:cantSplit/>
        </w:trPr>
        <w:tc>
          <w:tcPr>
            <w:tcW w:type="dxa" w:w="2304"/>
            <w:vAlign w:val="top"/>
          </w:tcPr>
          <w:p>
            <w:pPr>
              <w:spacing w:after="40" w:before="0" w:line="259" w:lineRule="auto"/>
            </w:pPr>
            <w:r>
              <w:rPr>
                <w:rFonts w:ascii="Calibri" w:hAnsi="Calibri"/>
                <w:b/>
                <w:i w:val="0"/>
                <w:color w:val="212121"/>
                <w:sz w:val="19"/>
              </w:rPr>
              <w:t>Urgency &amp; tenesmus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With rectal or distal colonic disease.</w:t>
            </w:r>
          </w:p>
        </w:tc>
      </w:tr>
      <w:tr>
        <w:trPr>
          <w:cantSplit/>
        </w:trPr>
        <w:tc>
          <w:tcPr>
            <w:tcW w:type="dxa" w:w="2304"/>
            <w:vAlign w:val="top"/>
          </w:tcPr>
          <w:p>
            <w:pPr>
              <w:spacing w:after="40" w:before="0" w:line="259" w:lineRule="auto"/>
            </w:pPr>
            <w:r>
              <w:rPr>
                <w:rFonts w:ascii="Calibri" w:hAnsi="Calibri"/>
                <w:b/>
                <w:i w:val="0"/>
                <w:color w:val="212121"/>
                <w:sz w:val="19"/>
              </w:rPr>
              <w:t>Growth failure / delayed puberty (children)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inflammation and undernutrition impair growth; may be the presenting feature in paediatric disease.</w:t>
            </w:r>
          </w:p>
        </w:tc>
      </w:tr>
      <w:tr>
        <w:trPr>
          <w:cantSplit/>
        </w:trPr>
        <w:tc>
          <w:tcPr>
            <w:tcW w:type="dxa" w:w="2304"/>
            <w:vAlign w:val="top"/>
          </w:tcPr>
          <w:p>
            <w:pPr>
              <w:spacing w:after="40" w:before="0" w:line="259" w:lineRule="auto"/>
            </w:pPr>
            <w:r>
              <w:rPr>
                <w:rFonts w:ascii="Calibri" w:hAnsi="Calibri"/>
                <w:b/>
                <w:i w:val="0"/>
                <w:color w:val="212121"/>
                <w:sz w:val="19"/>
              </w:rPr>
              <w:t>Joint pain (arthralgia)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Peripheral or axial joint pain as an extraintestinal manifestation, sometimes preceding gut symptoms.</w:t>
            </w:r>
          </w:p>
        </w:tc>
      </w:tr>
      <w:tr>
        <w:trPr>
          <w:cantSplit/>
        </w:trPr>
        <w:tc>
          <w:tcPr>
            <w:tcW w:type="dxa" w:w="2304"/>
            <w:vAlign w:val="top"/>
          </w:tcPr>
          <w:p>
            <w:pPr>
              <w:spacing w:after="40" w:before="0" w:line="259" w:lineRule="auto"/>
            </w:pPr>
            <w:r>
              <w:rPr>
                <w:rFonts w:ascii="Calibri" w:hAnsi="Calibri"/>
                <w:b/>
                <w:i w:val="0"/>
                <w:color w:val="212121"/>
                <w:sz w:val="19"/>
              </w:rPr>
              <w:t>Massive lower-GI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Uncommon in Crohn's; more typical of ulcerative colitis, but deep ulcers can erode vessels.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Right lower quadrant tenderness or mass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inflammatory mass/phlegmon over the terminal ileum and caecum.</w:t>
            </w:r>
          </w:p>
        </w:tc>
      </w:tr>
      <w:tr>
        <w:trPr>
          <w:cantSplit/>
        </w:trPr>
        <w:tc>
          <w:tcPr>
            <w:tcW w:type="dxa" w:w="3456"/>
            <w:vAlign w:val="top"/>
          </w:tcPr>
          <w:p>
            <w:pPr>
              <w:spacing w:after="40" w:before="0" w:line="259" w:lineRule="auto"/>
            </w:pPr>
            <w:r>
              <w:rPr>
                <w:rFonts w:ascii="Calibri" w:hAnsi="Calibri"/>
                <w:b/>
                <w:i w:val="0"/>
                <w:color w:val="212121"/>
                <w:sz w:val="19"/>
              </w:rPr>
              <w:t>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iron-deficiency or chronic-disease anaemia.</w:t>
            </w:r>
          </w:p>
        </w:tc>
      </w:tr>
      <w:tr>
        <w:trPr>
          <w:cantSplit/>
        </w:trPr>
        <w:tc>
          <w:tcPr>
            <w:tcW w:type="dxa" w:w="3456"/>
            <w:vAlign w:val="top"/>
          </w:tcPr>
          <w:p>
            <w:pPr>
              <w:spacing w:after="40" w:before="0" w:line="259" w:lineRule="auto"/>
            </w:pPr>
            <w:r>
              <w:rPr>
                <w:rFonts w:ascii="Calibri" w:hAnsi="Calibri"/>
                <w:b/>
                <w:i w:val="0"/>
                <w:color w:val="212121"/>
                <w:sz w:val="19"/>
              </w:rPr>
              <w:t>Low BMI / weight loss / muscle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marker of malabsorption and disease activity.</w:t>
            </w:r>
          </w:p>
        </w:tc>
      </w:tr>
      <w:tr>
        <w:trPr>
          <w:cantSplit/>
        </w:trPr>
        <w:tc>
          <w:tcPr>
            <w:tcW w:type="dxa" w:w="3456"/>
            <w:vAlign w:val="top"/>
          </w:tcPr>
          <w:p>
            <w:pPr>
              <w:spacing w:after="40" w:before="0" w:line="259" w:lineRule="auto"/>
            </w:pPr>
            <w:r>
              <w:rPr>
                <w:rFonts w:ascii="Calibri" w:hAnsi="Calibri"/>
                <w:b/>
                <w:i w:val="0"/>
                <w:color w:val="212121"/>
                <w:sz w:val="19"/>
              </w:rPr>
              <w:t>Perianal disease (tags, fissures, fistulae, abscess)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Broad painless skin tags, complex fissures and fistulae are characteristic of Crohn's.</w:t>
            </w:r>
          </w:p>
        </w:tc>
      </w:tr>
      <w:tr>
        <w:trPr>
          <w:cantSplit/>
        </w:trPr>
        <w:tc>
          <w:tcPr>
            <w:tcW w:type="dxa" w:w="3456"/>
            <w:vAlign w:val="top"/>
          </w:tcPr>
          <w:p>
            <w:pPr>
              <w:spacing w:after="40" w:before="0" w:line="259" w:lineRule="auto"/>
            </w:pPr>
            <w:r>
              <w:rPr>
                <w:rFonts w:ascii="Calibri" w:hAnsi="Calibri"/>
                <w:b/>
                <w:i w:val="0"/>
                <w:color w:val="212121"/>
                <w:sz w:val="19"/>
              </w:rPr>
              <w:t>Aphthous oral ulcers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Mucosal ulceration, sometimes with cobblestoning of the buccal mucosa.</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Associated with chronic small-bowel Crohn's disease.</w:t>
            </w:r>
          </w:p>
        </w:tc>
      </w:tr>
      <w:tr>
        <w:trPr>
          <w:cantSplit/>
        </w:trPr>
        <w:tc>
          <w:tcPr>
            <w:tcW w:type="dxa" w:w="3456"/>
            <w:vAlign w:val="top"/>
          </w:tcPr>
          <w:p>
            <w:pPr>
              <w:spacing w:after="40" w:before="0" w:line="259" w:lineRule="auto"/>
            </w:pPr>
            <w:r>
              <w:rPr>
                <w:rFonts w:ascii="Calibri" w:hAnsi="Calibri"/>
                <w:b/>
                <w:i w:val="0"/>
                <w:color w:val="212121"/>
                <w:sz w:val="19"/>
              </w:rPr>
              <w:t>Erythema nodosum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 red nodules on the shins; a skin EIM that tracks disease activity.</w:t>
            </w:r>
          </w:p>
        </w:tc>
      </w:tr>
      <w:tr>
        <w:trPr>
          <w:cantSplit/>
        </w:trPr>
        <w:tc>
          <w:tcPr>
            <w:tcW w:type="dxa" w:w="3456"/>
            <w:vAlign w:val="top"/>
          </w:tcPr>
          <w:p>
            <w:pPr>
              <w:spacing w:after="40" w:before="0" w:line="259" w:lineRule="auto"/>
            </w:pPr>
            <w:r>
              <w:rPr>
                <w:rFonts w:ascii="Calibri" w:hAnsi="Calibri"/>
                <w:b/>
                <w:i w:val="0"/>
                <w:color w:val="212121"/>
                <w:sz w:val="19"/>
              </w:rPr>
              <w:t>Episcleritis / uveitis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 painful or photophobic eye; an ocular extraintestinal manifestation requiring ophthalmology review.</w:t>
            </w:r>
          </w:p>
        </w:tc>
      </w:tr>
      <w:tr>
        <w:trPr>
          <w:cantSplit/>
        </w:trPr>
        <w:tc>
          <w:tcPr>
            <w:tcW w:type="dxa" w:w="3456"/>
            <w:vAlign w:val="top"/>
          </w:tcPr>
          <w:p>
            <w:pPr>
              <w:spacing w:after="40" w:before="0" w:line="259" w:lineRule="auto"/>
            </w:pPr>
            <w:r>
              <w:rPr>
                <w:rFonts w:ascii="Calibri" w:hAnsi="Calibri"/>
                <w:b/>
                <w:i w:val="0"/>
                <w:color w:val="212121"/>
                <w:sz w:val="19"/>
              </w:rPr>
              <w:t>Abdominal distension with obstructive signs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Visible distension, tympany and high-pitched bowel sounds in stricturing disease.</w:t>
            </w:r>
          </w:p>
        </w:tc>
      </w:tr>
      <w:tr>
        <w:trPr>
          <w:cantSplit/>
        </w:trPr>
        <w:tc>
          <w:tcPr>
            <w:tcW w:type="dxa" w:w="3456"/>
            <w:vAlign w:val="top"/>
          </w:tcPr>
          <w:p>
            <w:pPr>
              <w:spacing w:after="40" w:before="0" w:line="259" w:lineRule="auto"/>
            </w:pPr>
            <w:r>
              <w:rPr>
                <w:rFonts w:ascii="Calibri" w:hAnsi="Calibri"/>
                <w:b/>
                <w:i w:val="0"/>
                <w:color w:val="212121"/>
                <w:sz w:val="19"/>
              </w:rPr>
              <w:t>Enterocutaneous fistula opening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Faeculent discharge through an abdominal-wall or perineal opening in penetrating disease.</w:t>
            </w:r>
          </w:p>
        </w:tc>
      </w:tr>
      <w:tr>
        <w:trPr>
          <w:cantSplit/>
        </w:trPr>
        <w:tc>
          <w:tcPr>
            <w:tcW w:type="dxa" w:w="3456"/>
            <w:vAlign w:val="top"/>
          </w:tcPr>
          <w:p>
            <w:pPr>
              <w:spacing w:after="40" w:before="0" w:line="259" w:lineRule="auto"/>
            </w:pPr>
            <w:r>
              <w:rPr>
                <w:rFonts w:ascii="Calibri" w:hAnsi="Calibri"/>
                <w:b/>
                <w:i w:val="0"/>
                <w:color w:val="212121"/>
                <w:sz w:val="19"/>
              </w:rPr>
              <w:t>Pyoderma gangrenosum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Rapidly enlarging painful ulcer with violaceous undermined edges; a severe cutaneous EIM.</w:t>
            </w:r>
          </w:p>
        </w:tc>
      </w:tr>
      <w:tr>
        <w:trPr>
          <w:cantSplit/>
        </w:trPr>
        <w:tc>
          <w:tcPr>
            <w:tcW w:type="dxa" w:w="3456"/>
            <w:vAlign w:val="top"/>
          </w:tcPr>
          <w:p>
            <w:pPr>
              <w:spacing w:after="40" w:before="0" w:line="259" w:lineRule="auto"/>
            </w:pPr>
            <w:r>
              <w:rPr>
                <w:rFonts w:ascii="Calibri" w:hAnsi="Calibri"/>
                <w:b/>
                <w:i w:val="0"/>
                <w:color w:val="212121"/>
                <w:sz w:val="19"/>
              </w:rPr>
              <w:t>Faltering growth on percentile charts (children)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Objective crossing of height/weight centiles in paediatric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Fibrostenotic strictures with small- or large-bowel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Fistulae (entero-enteric, enterocutaneous, enterovesical, entero-vaginal and perianal)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Intra-abdominal and perianal abscesses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 ulceration with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 and protein-losing enteropathy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Perianal fistulising disease</w:t>
            </w:r>
          </w:p>
        </w:tc>
        <w:tc>
          <w:tcPr>
            <w:tcW w:type="dxa" w:w="2980"/>
            <w:vAlign w:val="top"/>
          </w:tcPr>
          <w:p>
            <w:pPr>
              <w:spacing w:after="40" w:before="0" w:line="259" w:lineRule="auto"/>
            </w:pPr>
            <w:r>
              <w:rPr>
                <w:rFonts w:ascii="Calibri" w:hAnsi="Calibri"/>
                <w:b w:val="0"/>
                <w:i w:val="0"/>
                <w:color w:val="212121"/>
                <w:sz w:val="19"/>
              </w:rPr>
              <w:t>Direct consequences of transmural, penetrating and stricturing bowel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 B12- and folate-deficiency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Osteopenia and osteoporosis (malabsorption and corticosteroid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Extraintestinal disease — peripheral and axial arthropathy/ankylosing spondylitis, erythema nodosum, pyoderma gangrenosum, uveitis/episcleritis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 sclerosing cholangitis and gallstones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Calcium-oxalate kidney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failure and delayed puberty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 deficiency and malnutrition</w:t>
            </w:r>
          </w:p>
        </w:tc>
        <w:tc>
          <w:tcPr>
            <w:tcW w:type="dxa" w:w="2980"/>
            <w:vAlign w:val="top"/>
          </w:tcPr>
          <w:p>
            <w:pPr>
              <w:spacing w:after="40" w:before="0" w:line="259" w:lineRule="auto"/>
            </w:pPr>
            <w:r>
              <w:rPr>
                <w:rFonts w:ascii="Calibri" w:hAnsi="Calibri"/>
                <w:b w:val="0"/>
                <w:i w:val="0"/>
                <w:color w:val="212121"/>
                <w:sz w:val="19"/>
              </w:rPr>
              <w:t>Systemic, nutritional and immune-mediated sequelae of chronic inflammation and its treatment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Short-bowel syndrome and intestinal failure after repeated resections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Colorectal and small-bowel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Bowel perforation and intra-abdominal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stoma and long-term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(AA) amyloidosis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all-cause morbidity and reduced quality of life</w:t>
            </w:r>
          </w:p>
        </w:tc>
        <w:tc>
          <w:tcPr>
            <w:tcW w:type="dxa" w:w="2980"/>
            <w:vAlign w:val="top"/>
          </w:tcPr>
          <w:p>
            <w:pPr>
              <w:spacing w:after="40" w:before="0" w:line="259" w:lineRule="auto"/>
            </w:pPr>
            <w:r>
              <w:rPr>
                <w:rFonts w:ascii="Calibri" w:hAnsi="Calibri"/>
                <w:b w:val="0"/>
                <w:i w:val="0"/>
                <w:color w:val="212121"/>
                <w:sz w:val="19"/>
              </w:rPr>
              <w:t>Severe, irreversible or life-threatening outcomes of longstanding, uncontrolled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Iron-deficiency &amp; chronic-disease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systemic manifestation, from intestinal blood loss, poor iron absorption and inflammatory block; needs iron studies and often intravenous iron.</w:t>
            </w:r>
          </w:p>
          <w:p>
            <w:pPr>
              <w:spacing w:after="40" w:before="0" w:line="259" w:lineRule="auto"/>
            </w:pPr>
            <w:r>
              <w:rPr>
                <w:rFonts w:ascii="Calibri" w:hAnsi="Calibri"/>
                <w:b/>
                <w:i w:val="0"/>
                <w:color w:val="212121"/>
                <w:sz w:val="19"/>
              </w:rPr>
              <w:t>~30% (up to 90% in some series)</w:t>
            </w:r>
          </w:p>
        </w:tc>
      </w:tr>
      <w:tr>
        <w:trPr>
          <w:cantSplit/>
        </w:trPr>
        <w:tc>
          <w:tcPr>
            <w:tcW w:type="dxa" w:w="2232"/>
            <w:vAlign w:val="top"/>
          </w:tcPr>
          <w:p>
            <w:pPr>
              <w:spacing w:after="40" w:before="0" w:line="259" w:lineRule="auto"/>
            </w:pPr>
            <w:r>
              <w:rPr>
                <w:rFonts w:ascii="Calibri" w:hAnsi="Calibri"/>
                <w:b/>
                <w:i w:val="0"/>
                <w:color w:val="212121"/>
                <w:sz w:val="19"/>
              </w:rPr>
              <w:t>Intestinal tuberculosis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principal differential in India; overlapping ileocaecal, endoscopic and histological features make misdiagnosis common and dangerous, altering the entire management pathway.</w:t>
            </w:r>
          </w:p>
        </w:tc>
      </w:tr>
      <w:tr>
        <w:trPr>
          <w:cantSplit/>
        </w:trPr>
        <w:tc>
          <w:tcPr>
            <w:tcW w:type="dxa" w:w="2232"/>
            <w:vAlign w:val="top"/>
          </w:tcPr>
          <w:p>
            <w:pPr>
              <w:spacing w:after="40" w:before="0" w:line="259" w:lineRule="auto"/>
            </w:pPr>
            <w:r>
              <w:rPr>
                <w:rFonts w:ascii="Calibri" w:hAnsi="Calibri"/>
                <w:b/>
                <w:i w:val="0"/>
                <w:color w:val="212121"/>
                <w:sz w:val="19"/>
              </w:rPr>
              <w:t>Osteoporosis / low bone mineral density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Driven by malabsorption of calcium and vitamin D, chronic inflammation and corticosteroid therapy; warrants DEXA and bone protection.</w:t>
            </w:r>
          </w:p>
          <w:p>
            <w:pPr>
              <w:spacing w:after="40" w:before="0" w:line="259" w:lineRule="auto"/>
            </w:pPr>
            <w:r>
              <w:rPr>
                <w:rFonts w:ascii="Calibri" w:hAnsi="Calibri"/>
                <w:b/>
                <w:i w:val="0"/>
                <w:color w:val="212121"/>
                <w:sz w:val="19"/>
              </w:rPr>
              <w:t>5–80% reduced BMD</w:t>
            </w:r>
          </w:p>
        </w:tc>
      </w:tr>
      <w:tr>
        <w:trPr>
          <w:cantSplit/>
        </w:trPr>
        <w:tc>
          <w:tcPr>
            <w:tcW w:type="dxa" w:w="2232"/>
            <w:vAlign w:val="top"/>
          </w:tcPr>
          <w:p>
            <w:pPr>
              <w:spacing w:after="40" w:before="0" w:line="259" w:lineRule="auto"/>
            </w:pPr>
            <w:r>
              <w:rPr>
                <w:rFonts w:ascii="Calibri" w:hAnsi="Calibri"/>
                <w:b/>
                <w:i w:val="0"/>
                <w:color w:val="212121"/>
                <w:sz w:val="19"/>
              </w:rPr>
              <w:t>Spondyloarthropathy / ankylosing spondylitis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Peripheral and axial arthritis are the commonest extraintestinal manifestations, sharing HLA-linked immunopathology and sometimes preceding gut disease.</w:t>
            </w:r>
          </w:p>
          <w:p>
            <w:pPr>
              <w:spacing w:after="40" w:before="0" w:line="259" w:lineRule="auto"/>
            </w:pPr>
            <w:r>
              <w:rPr>
                <w:rFonts w:ascii="Calibri" w:hAnsi="Calibri"/>
                <w:b/>
                <w:i w:val="0"/>
                <w:color w:val="212121"/>
                <w:sz w:val="19"/>
              </w:rPr>
              <w:t>Part of ~35% with any EIM</w:t>
            </w:r>
          </w:p>
        </w:tc>
      </w:tr>
      <w:tr>
        <w:trPr>
          <w:cantSplit/>
        </w:trPr>
        <w:tc>
          <w:tcPr>
            <w:tcW w:type="dxa" w:w="2232"/>
            <w:vAlign w:val="top"/>
          </w:tcPr>
          <w:p>
            <w:pPr>
              <w:spacing w:after="40" w:before="0" w:line="259" w:lineRule="auto"/>
            </w:pPr>
            <w:r>
              <w:rPr>
                <w:rFonts w:ascii="Calibri" w:hAnsi="Calibri"/>
                <w:b/>
                <w:i w:val="0"/>
                <w:color w:val="212121"/>
                <w:sz w:val="19"/>
              </w:rPr>
              <w:t>Primary sclerosing cholangitis (PSC)</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immune-mediated biliary disease associated with IBD; notably less common in Indian than Western IBD, but important for cholangiocarcinoma and colorectal-cancer surveillance.</w:t>
            </w:r>
          </w:p>
        </w:tc>
      </w:tr>
      <w:tr>
        <w:trPr>
          <w:cantSplit/>
        </w:trPr>
        <w:tc>
          <w:tcPr>
            <w:tcW w:type="dxa" w:w="2232"/>
            <w:vAlign w:val="top"/>
          </w:tcPr>
          <w:p>
            <w:pPr>
              <w:spacing w:after="40" w:before="0" w:line="259" w:lineRule="auto"/>
            </w:pPr>
            <w:r>
              <w:rPr>
                <w:rFonts w:ascii="Calibri" w:hAnsi="Calibri"/>
                <w:b/>
                <w:i w:val="0"/>
                <w:color w:val="212121"/>
                <w:sz w:val="19"/>
              </w:rPr>
              <w:t>Erythema nodosum &amp; pyoderma gangrenosum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Cutaneous extraintestinal manifestations; erythema nodosum usually mirrors gut activity while pyoderma gangrenosum can run an independent, severe course.</w:t>
            </w:r>
          </w:p>
        </w:tc>
      </w:tr>
      <w:tr>
        <w:trPr>
          <w:cantSplit/>
        </w:trPr>
        <w:tc>
          <w:tcPr>
            <w:tcW w:type="dxa" w:w="2232"/>
            <w:vAlign w:val="top"/>
          </w:tcPr>
          <w:p>
            <w:pPr>
              <w:spacing w:after="40" w:before="0" w:line="259" w:lineRule="auto"/>
            </w:pPr>
            <w:r>
              <w:rPr>
                <w:rFonts w:ascii="Calibri" w:hAnsi="Calibri"/>
                <w:b/>
                <w:i w:val="0"/>
                <w:color w:val="212121"/>
                <w:sz w:val="19"/>
              </w:rPr>
              <w:t>Uveitis &amp; episcleritis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Ocular extraintestinal manifestations that can threaten vision and require prompt ophthalmology assessment.</w:t>
            </w:r>
          </w:p>
        </w:tc>
      </w:tr>
      <w:tr>
        <w:trPr>
          <w:cantSplit/>
        </w:trPr>
        <w:tc>
          <w:tcPr>
            <w:tcW w:type="dxa" w:w="2232"/>
            <w:vAlign w:val="top"/>
          </w:tcPr>
          <w:p>
            <w:pPr>
              <w:spacing w:after="40" w:before="0" w:line="259" w:lineRule="auto"/>
            </w:pPr>
            <w:r>
              <w:rPr>
                <w:rFonts w:ascii="Calibri" w:hAnsi="Calibri"/>
                <w:b/>
                <w:i w:val="0"/>
                <w:color w:val="212121"/>
                <w:sz w:val="19"/>
              </w:rPr>
              <w:t>Colorectal &amp; small-bowel cancer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Longstanding colonic Crohn's raises colorectal-cancer risk and small-bowel disease raises small-bowel-cancer risk, mandating surveillance colonoscopy.</w:t>
            </w:r>
          </w:p>
          <w:p>
            <w:pPr>
              <w:spacing w:after="40" w:before="0" w:line="259" w:lineRule="auto"/>
            </w:pPr>
            <w:r>
              <w:rPr>
                <w:rFonts w:ascii="Calibri" w:hAnsi="Calibri"/>
                <w:b/>
                <w:i w:val="0"/>
                <w:color w:val="212121"/>
                <w:sz w:val="19"/>
              </w:rPr>
              <w:t>CRC RR ~2.5; small-bowel cancer RR ~33</w:t>
            </w:r>
          </w:p>
        </w:tc>
      </w:tr>
      <w:tr>
        <w:trPr>
          <w:cantSplit/>
        </w:trPr>
        <w:tc>
          <w:tcPr>
            <w:tcW w:type="dxa" w:w="2232"/>
            <w:vAlign w:val="top"/>
          </w:tcPr>
          <w:p>
            <w:pPr>
              <w:spacing w:after="40" w:before="0" w:line="259" w:lineRule="auto"/>
            </w:pPr>
            <w:r>
              <w:rPr>
                <w:rFonts w:ascii="Calibri" w:hAnsi="Calibri"/>
                <w:b/>
                <w:i w:val="0"/>
                <w:color w:val="212121"/>
                <w:sz w:val="19"/>
              </w:rPr>
              <w:t>Venous thromboembolism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Active inflammation produces a prothrombotic state; hospitalised and flaring patients need thromboprophylaxis.</w:t>
            </w:r>
          </w:p>
          <w:p>
            <w:pPr>
              <w:spacing w:after="40" w:before="0" w:line="259" w:lineRule="auto"/>
            </w:pPr>
            <w:r>
              <w:rPr>
                <w:rFonts w:ascii="Calibri" w:hAnsi="Calibri"/>
                <w:b/>
                <w:i w:val="0"/>
                <w:color w:val="212121"/>
                <w:sz w:val="19"/>
              </w:rPr>
              <w:t>~1.5–3.6× higher risk</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through the gut–brain axis and the burden of chronic disease; mood disorders worsen adherence and outcomes in a bidirectional relationship.</w:t>
            </w:r>
          </w:p>
        </w:tc>
      </w:tr>
      <w:tr>
        <w:trPr>
          <w:cantSplit/>
        </w:trPr>
        <w:tc>
          <w:tcPr>
            <w:tcW w:type="dxa" w:w="2232"/>
            <w:vAlign w:val="top"/>
          </w:tcPr>
          <w:p>
            <w:pPr>
              <w:spacing w:after="40" w:before="0" w:line="259" w:lineRule="auto"/>
            </w:pPr>
            <w:r>
              <w:rPr>
                <w:rFonts w:ascii="Calibri" w:hAnsi="Calibri"/>
                <w:b/>
                <w:i w:val="0"/>
                <w:color w:val="212121"/>
                <w:sz w:val="19"/>
              </w:rPr>
              <w:t>Malnutrition &amp; micronutrient deficiency (B12, folate, vitamin 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From reduced intake, malabsorption and ileal disease/resection; requires nutritional support and replacement.</w:t>
            </w:r>
          </w:p>
        </w:tc>
      </w:tr>
      <w:tr>
        <w:trPr>
          <w:cantSplit/>
        </w:trPr>
        <w:tc>
          <w:tcPr>
            <w:tcW w:type="dxa" w:w="2232"/>
            <w:vAlign w:val="top"/>
          </w:tcPr>
          <w:p>
            <w:pPr>
              <w:spacing w:after="40" w:before="0" w:line="259" w:lineRule="auto"/>
            </w:pPr>
            <w:r>
              <w:rPr>
                <w:rFonts w:ascii="Calibri" w:hAnsi="Calibri"/>
                <w:b/>
                <w:i w:val="0"/>
                <w:color w:val="212121"/>
                <w:sz w:val="19"/>
              </w:rPr>
              <w:t>Gallstones &amp; calcium-oxalate kidney stones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Terminal-ileal disease/resection disturbs bile-salt and oxalate handling, promoting cholelithiasis and nephrolithiasis.</w:t>
            </w:r>
          </w:p>
        </w:tc>
      </w:tr>
      <w:tr>
        <w:trPr>
          <w:cantSplit/>
        </w:trPr>
        <w:tc>
          <w:tcPr>
            <w:tcW w:type="dxa" w:w="2232"/>
            <w:vAlign w:val="top"/>
          </w:tcPr>
          <w:p>
            <w:pPr>
              <w:spacing w:after="40" w:before="0" w:line="259" w:lineRule="auto"/>
            </w:pPr>
            <w:r>
              <w:rPr>
                <w:rFonts w:ascii="Calibri" w:hAnsi="Calibri"/>
                <w:b/>
                <w:i w:val="0"/>
                <w:color w:val="212121"/>
                <w:sz w:val="19"/>
              </w:rPr>
              <w:t>Perianal fistulising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distinctive complication and often the presenting feature; needs pelvic MRI, examination under anaesthesia and combined medical–surgical care.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evaluation for diarrhoea, abdominal pain or weight loss lasting more than 2–4 weeks rather than self-treating; nocturnal symptoms and blood in the stool are red flags.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India, insist on a proper work-up to distinguish Crohn's disease from intestinal tuberculosis before starting steroids or immunosuppressants, as treating the wrong condition can be harmful.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Crohn's disease is lifelong and relapsing–remitting; adhere to maintenance therapy even when well, and never stop medication abruptly.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recommended vaccinations before immunosuppression and undergo colonoscopic cancer surveillance as advised in longstanding colonic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of complications — obstruction (vomiting, distension), abscess (high fever, localised pain) and perianal disease — and seek care promptly.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TB-endemic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IBD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it is the single most important modifiable step, reducing flares, surgery and post-operative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behavioural counselling, quitlines and nicotine-replacement or pharmacotherapy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reinforce cessation advice at every clinic visit, as risk falls after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 Crohn's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flares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active flares use a low-residue/low-fibre diet and, in children, consider exclusive enteral nutrition, which can induce remission without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remission eat a balanced, varied diet and reintroduce fibre as tolerated; a Mediterranean-style pattern is reasonable.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limit individual trigger foods (often high-fat, spicy, very high-fibre or lactose-containing foods during flares) with a food diary and dietitian input.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deficiencies actively — iron (often intravenous), vitamin B12, folate, vitamin D and calcium — guided by blood tests.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calories to reverse weight loss, and address strictures with a texture-modified (low-residue) diet to reduce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with a dietitian for a personalised, nutritionally complete plan and periodic micronutrient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flare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growth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strictures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a fibre-rich diet with fruit, vegetables and whole grains, which is associated with lower IBD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ultra-processed foods, emulsifier-laden packaged snacks, sugary soft drinks and excess red/processed meat.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breastfeeding where possible, given its protective association with IBD.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Relatives of IBD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high-risk groups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regular moderate exercise during remission to improve fatigue, mood, muscle mass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weight-bearing and resistance exercise to protect against steroid- and malabsorption-related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Tailor intensity to disease activity and energy levels, scaling back during severe flares.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on/after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low bone density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which are common and worsen adherence and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cognitive-behavioural therapy or gut-directed psychological therapies, given the gut–brain link with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access to counselling, patient-support groups and peer networks to reduce the isolation of chronic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frequent flares or fistulising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sleep–wake timing and good sleep hygiene, as poor sleep is linked to higher inflammatory activity and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night-time diarrhoea and pain that fragment sleep, and review medications (e.g., steroids) that disturb 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sulphite-containing drinks (beer, wine) may aggravate diarrhoea and cramps.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when taking hepatotoxic or immunosuppressive drugs such as methotrexate and azathioprine.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especially with active diarrhoea, high-output stoma or fistulae.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who drink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methotrexate/azathioprine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high-output disease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ddk.nih.gov/health-information/digestive-diseases/crohns-disease/definition-facts" TargetMode="External"/><Relationship Id="rId10" Type="http://schemas.openxmlformats.org/officeDocument/2006/relationships/hyperlink" Target="https://www.mayoclinic.org/diseases-conditions/crohns-disease/symptoms-causes/syc-20353304" TargetMode="External"/><Relationship Id="rId11" Type="http://schemas.openxmlformats.org/officeDocument/2006/relationships/hyperlink" Target="https://pubmed.ncbi.nlm.nih.gov/34816017/" TargetMode="External"/><Relationship Id="rId12" Type="http://schemas.openxmlformats.org/officeDocument/2006/relationships/hyperlink" Target="https://pubmed.ncbi.nlm.nih.gov/30018961/" TargetMode="External"/><Relationship Id="rId13" Type="http://schemas.openxmlformats.org/officeDocument/2006/relationships/hyperlink" Target="https://pubmed.ncbi.nlm.nih.gov/30700939/" TargetMode="External"/><Relationship Id="rId14" Type="http://schemas.openxmlformats.org/officeDocument/2006/relationships/hyperlink" Target="https://pubmed.ncbi.nlm.nih.gov/26749371/" TargetMode="External"/><Relationship Id="rId15" Type="http://schemas.openxmlformats.org/officeDocument/2006/relationships/hyperlink" Target="https://pubmed.ncbi.nlm.nih.gov/38599319/" TargetMode="External"/><Relationship Id="rId16" Type="http://schemas.openxmlformats.org/officeDocument/2006/relationships/hyperlink" Target="https://pubmed.ncbi.nlm.nih.gov/31014995/" TargetMode="External"/><Relationship Id="rId17" Type="http://schemas.openxmlformats.org/officeDocument/2006/relationships/hyperlink" Target="https://pubmed.ncbi.nlm.nih.gov/37042969/" TargetMode="External"/><Relationship Id="rId18" Type="http://schemas.openxmlformats.org/officeDocument/2006/relationships/hyperlink" Target="https://pubmed.ncbi.nlm.nih.gov/32994694/" TargetMode="External"/><Relationship Id="rId19" Type="http://schemas.openxmlformats.org/officeDocument/2006/relationships/hyperlink" Target="https://pubmed.ncbi.nlm.nih.gov/33361549/" TargetMode="External"/><Relationship Id="rId20" Type="http://schemas.openxmlformats.org/officeDocument/2006/relationships/hyperlink" Target="https://pubmed.ncbi.nlm.nih.gov/19787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