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Barrett's Esophagus</w:t>
      </w:r>
    </w:p>
    <w:p>
      <w:pPr>
        <w:spacing w:before="0" w:after="160"/>
      </w:pPr>
      <w:r>
        <w:rPr>
          <w:rFonts w:ascii="Calibri" w:hAnsi="Calibri"/>
          <w:b/>
          <w:i w:val="0"/>
          <w:color w:val="212121"/>
          <w:sz w:val="22"/>
        </w:rPr>
        <w:t xml:space="preserve">AKA </w:t>
      </w:r>
      <w:r>
        <w:rPr>
          <w:rFonts w:ascii="Calibri" w:hAnsi="Calibri"/>
          <w:b w:val="0"/>
          <w:i w:val="0"/>
          <w:color w:val="212121"/>
          <w:sz w:val="22"/>
        </w:rPr>
        <w:t>i.e., Barrett's oesophagus, Columnar-lined esophagus (CLE), Barrett's metaplasia, Specialized intestinal metaplasia of the esophagus</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Barrett's esophagus (BE) is a pre-malignant condition in which the normal stratified squamous epithelium lining the distal esophagus is replaced by metaplastic columnar epithelium containing goblet cells (specialized intestinal metaplasia), as an adaptive response to chronic gastro-esophageal acid and bile reflux. It is diagnosed when salmon-coloured columnar mucosa extends at least 1 cm proximal to the gastro-esophageal junction and biopsy confirms intestinal metaplasia. BE is clinically important because it is the only known precursor of esophageal adenocarcinoma, carrying a 30-40 fold increase in that cancer risk over the general population.</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Barrett's esophagus is found in roughly 5-15% of Indian patients undergoing endoscopy for gastro-esophageal reflux disease (GERD); a large Indian endoscopy review reported columnar-lined mucosa in about 16.5% and biopsy-confirmed intestinal metaplasia in about 9% of GERD patients, and pooled Asian data place India among the countries with the highest frequency of BE. In the general (non-GERD) population it affects under 2%. GERD itself is common in India, with a pooled prevalence of about 15.6%, so the reservoir of at-risk patients is large and BE is thought to be substantially under-detected.</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Barrett's esophagus is a combined endoscopic and histological diagnosis; both criteria must be met before the label is applied: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Endoscopic criterion: salmon-coloured, columnar-appearing mucosa extending ≥ 1 cm proximal to the gastro-esophageal junction (the tops of the gastric folds), distinct from the pale squamous lining;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Histological criterion: biopsy showing columnar epithelium with goblet cells, i.e. specialized intestinal metaplasia (confirmed on H&amp;E, with Alcian-blue pH 2.5 staining where needed);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Extent documented with the Prague C&amp;M criteria — C = circumferential length (cm) and M = maximum tongue length (cm) of columnar mucosa above the junction;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Systematic Seattle-protocol sampling — four-quadrant biopsies every 2 cm (every 1 cm if dysplasia is suspected) plus targeted biopsy of any visible lesion, nodule or ulcer;</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Dysplasia graded by a pathologist (ideally confirmed by a second GI pathologist) as: no dysplasia, indefinite for dysplasia, low-grade dysplasia, or high-grade dysplasia;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Careful distinction from intestinal metaplasia of the gastric cardia and from a hiatal-hernia impression, which can mimic a short columnar segment.</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Barrett's esophagus is classified along two axes — by the length of the metaplastic segment and by the grade of dysplasia, both of which drive surveillance and treatment:</w:t>
      </w:r>
    </w:p>
    <w:p>
      <w:pPr>
        <w:spacing w:before="0" w:after="80"/>
      </w:pPr>
      <w:r>
        <w:rPr>
          <w:rFonts w:ascii="Calibri" w:hAnsi="Calibri"/>
          <w:b w:val="0"/>
          <w:i w:val="0"/>
          <w:color w:val="212121"/>
          <w:sz w:val="21"/>
        </w:rPr>
        <w:t>(1) By segment length (Prague C&amp;M): Short-segment BE (&lt; 3 cm) and Long-segment BE (≥ 3 cm). In Indian and other Asian series short-segment BE is 6-8 times more common than long-segment disease; longer segments carry a higher cancer risk.</w:t>
      </w:r>
    </w:p>
    <w:p>
      <w:pPr>
        <w:spacing w:before="0" w:after="80"/>
      </w:pPr>
      <w:r>
        <w:rPr>
          <w:rFonts w:ascii="Calibri" w:hAnsi="Calibri"/>
          <w:b w:val="0"/>
          <w:i w:val="0"/>
          <w:color w:val="212121"/>
          <w:sz w:val="21"/>
        </w:rPr>
        <w:t>(2) Non-dysplastic Barrett's esophagus (NDBE) — intestinal metaplasia without cytological atypia; the lowest-risk category but still under surveillance.</w:t>
      </w:r>
    </w:p>
    <w:p>
      <w:pPr>
        <w:spacing w:before="0" w:after="80"/>
      </w:pPr>
      <w:r>
        <w:rPr>
          <w:rFonts w:ascii="Calibri" w:hAnsi="Calibri"/>
          <w:b w:val="0"/>
          <w:i w:val="0"/>
          <w:color w:val="212121"/>
          <w:sz w:val="21"/>
        </w:rPr>
        <w:t>(3) Indefinite for dysplasia — changes that cannot be confidently separated from reactive atypia (often amid active inflammation); managed with intensified acid suppression and repeat endoscopy, and behaves similarly to low-grade dysplasia.</w:t>
      </w:r>
    </w:p>
    <w:p>
      <w:pPr>
        <w:spacing w:before="0" w:after="80"/>
      </w:pPr>
      <w:r>
        <w:rPr>
          <w:rFonts w:ascii="Calibri" w:hAnsi="Calibri"/>
          <w:b w:val="0"/>
          <w:i w:val="0"/>
          <w:color w:val="212121"/>
          <w:sz w:val="21"/>
        </w:rPr>
        <w:t>(4) Low-grade dysplasia (LGD) — nuclear enlargement and stratification confined to the basal half of the epithelium; a recognised inflection point toward cancer.</w:t>
      </w:r>
    </w:p>
    <w:p>
      <w:pPr>
        <w:spacing w:before="0" w:after="80"/>
      </w:pPr>
      <w:r>
        <w:rPr>
          <w:rFonts w:ascii="Calibri" w:hAnsi="Calibri"/>
          <w:b w:val="0"/>
          <w:i w:val="0"/>
          <w:color w:val="212121"/>
          <w:sz w:val="21"/>
        </w:rPr>
        <w:t>(5) High-grade dysplasia (HGD) — full-thickness nuclear atypia and architectural distortion without invasion; the immediate precursor of, and frequently harbouring, intramucosal adenocarcinoma, and an indication for endoscopic eradication therapy.</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Chronic gastro-esophageal reflux disease: Prolonged exposure of the distal esophagus to acid and bile is the central cause, driving columnar metaplasia via CDX2 and MUC2 up-regulation.</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Hiatal hernia: Displaces and weakens the lower esophageal sphincter and traps acid, markedly prolonging esophageal acid contact time (odds ratio ~3.9 for BE).</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Central (visceral) obesity: Raises intra-abdominal pressure promoting reflux and hiatal hernia, and supplies pro-inflammatory adipokines (leptin, IL-6) that favour metaplasia.</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Male sex and increasing age: Cumulative acid exposure and androgen/visceral-fat effects make middle-aged and older men the highest-risk group (male:female ratio about 2:1).</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Tobacco smoking: Relaxes the lower esophageal sphincter and causes direct mutagenic mucosal injury, roughly doubling BE risk.</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Genetic and familial predisposition: Familial clustering of BE and esophageal adenocarcinoma and susceptibility loci indicate an inherited component.</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Lower esophageal sphincter dysfunction / dysmotility: Reduced sphincter tone and impaired acid clearance (e.g. in scleroderma) increase reflux burden.</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(middle-aged, 40-60 years)</w:t>
            </w:r>
          </w:p>
        </w:tc>
        <w:tc>
          <w:tcPr>
            <w:tcW w:type="dxa" w:w="4276"/>
            <w:vAlign w:val="top"/>
          </w:tcPr>
          <w:p>
            <w:pPr>
              <w:spacing w:after="60" w:line="259" w:lineRule="auto"/>
            </w:pPr>
            <w:r>
              <w:rPr>
                <w:rFonts w:ascii="Calibri" w:hAnsi="Calibri"/>
                <w:b w:val="0"/>
                <w:i w:val="0"/>
                <w:color w:val="212121"/>
                <w:sz w:val="19"/>
              </w:rPr>
              <w:t>Barrett's typically emerges after years of accumulated reflux; risk rises steadily with each additional year of acid exposure as the metaplastic response consolidates. Indian patients most often present in the fifth to sixth decade.</w:t>
            </w:r>
          </w:p>
          <w:p>
            <w:pPr>
              <w:spacing w:after="40" w:before="60" w:line="259" w:lineRule="auto"/>
            </w:pPr>
            <w:r>
              <w:rPr>
                <w:rFonts w:ascii="Calibri" w:hAnsi="Calibri"/>
                <w:b w:val="0"/>
                <w:i w:val="0"/>
                <w:color w:val="212121"/>
                <w:sz w:val="19"/>
              </w:rPr>
              <w:t>Risk increases with age (odds ratio ~1.03 per year), and Indian BE patients characteristically present in the 5th-6th decade of life.</w:t>
            </w:r>
          </w:p>
          <w:p>
            <w:pPr>
              <w:spacing w:after="40" w:line="252" w:lineRule="auto"/>
            </w:pPr>
            <w:hyperlink r:id="rId9">
              <w:r>
                <w:rPr>
                  <w:rFonts w:ascii="Calibri" w:hAnsi="Calibri" w:cs="Calibri"/>
                  <w:sz w:val="18"/>
                  <w:color w:val="1155CC"/>
                  <w:u w:val="single"/>
                </w:rPr>
                <w:t xml:space="preserve">aafp.org — Barrett esophagus rapid evidence review</w:t>
              </w:r>
            </w:hyperlink>
          </w:p>
          <w:p>
            <w:pPr>
              <w:spacing w:before="60" w:after="40"/>
            </w:pPr>
            <w:r>
              <w:rPr>
                <w:rFonts w:ascii="Calibri" w:hAnsi="Calibri"/>
                <w:b w:val="0"/>
                <w:i w:val="0"/>
                <w:color w:val="5A5A5A"/>
                <w:sz w:val="18"/>
              </w:rPr>
              <w:t>#middleage  #chronicreflux  #acidexposure  #metaplasia  #GERD</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(&gt;60 years)</w:t>
            </w:r>
          </w:p>
        </w:tc>
        <w:tc>
          <w:tcPr>
            <w:tcW w:type="dxa" w:w="4276"/>
            <w:vAlign w:val="top"/>
          </w:tcPr>
          <w:p>
            <w:pPr>
              <w:spacing w:after="60" w:line="259" w:lineRule="auto"/>
            </w:pPr>
            <w:r>
              <w:rPr>
                <w:rFonts w:ascii="Calibri" w:hAnsi="Calibri"/>
                <w:b w:val="0"/>
                <w:i w:val="0"/>
                <w:color w:val="212121"/>
                <w:sz w:val="19"/>
              </w:rPr>
              <w:t>The longest cumulative reflux exposure plus age-related decline in esophageal clearance and sphincter tone make the elderly both more likely to harbour BE and more likely to have progressed to dysplasia or cancer by the time of diagnosis.</w:t>
            </w:r>
          </w:p>
          <w:p>
            <w:pPr>
              <w:spacing w:after="40" w:before="60" w:line="259" w:lineRule="auto"/>
            </w:pPr>
            <w:r>
              <w:rPr>
                <w:rFonts w:ascii="Calibri" w:hAnsi="Calibri"/>
                <w:b w:val="0"/>
                <w:i w:val="0"/>
                <w:color w:val="212121"/>
                <w:sz w:val="19"/>
              </w:rPr>
              <w:t>BE prevalence rises with age and esophageal adenocarcinoma risk climbs sharply in older men, in whom the cancer sex ratio reaches about 9:1.</w:t>
            </w:r>
          </w:p>
          <w:p>
            <w:pPr>
              <w:spacing w:after="40" w:line="252" w:lineRule="auto"/>
            </w:pPr>
            <w:hyperlink r:id="rId10">
              <w:r>
                <w:rPr>
                  <w:rFonts w:ascii="Calibri" w:hAnsi="Calibri" w:cs="Calibri"/>
                  <w:sz w:val="18"/>
                  <w:color w:val="1155CC"/>
                  <w:u w:val="single"/>
                </w:rPr>
                <w:t xml:space="preserve">ncbi.nlm.nih.gov — Barrett Esophagus (StatPearls)</w:t>
              </w:r>
            </w:hyperlink>
          </w:p>
          <w:p>
            <w:pPr>
              <w:spacing w:before="60" w:after="40"/>
            </w:pPr>
            <w:r>
              <w:rPr>
                <w:rFonts w:ascii="Calibri" w:hAnsi="Calibri"/>
                <w:b w:val="0"/>
                <w:i w:val="0"/>
                <w:color w:val="5A5A5A"/>
                <w:sz w:val="18"/>
              </w:rPr>
              <w:t>#elderly  #cumulativeexposure  #dysplasia  #cancerrisk  #surveillance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Men carry more visceral fat and have hormonal and reflux-pattern differences that favour metaplasia, so BE and esophageal adenocarcinoma are substantially commoner in males than females.</w:t>
            </w:r>
          </w:p>
          <w:p>
            <w:pPr>
              <w:spacing w:after="40" w:before="60" w:line="259" w:lineRule="auto"/>
            </w:pPr>
            <w:r>
              <w:rPr>
                <w:rFonts w:ascii="Calibri" w:hAnsi="Calibri"/>
                <w:b w:val="0"/>
                <w:i w:val="0"/>
                <w:color w:val="212121"/>
                <w:sz w:val="19"/>
              </w:rPr>
              <w:t>Male sex roughly doubles BE risk (odds ratio ~2.13); the male:female ratio is about 2:1 for Barrett's and 9:1 for adenocarcinoma.</w:t>
            </w:r>
          </w:p>
          <w:p>
            <w:pPr>
              <w:spacing w:after="40" w:line="252" w:lineRule="auto"/>
            </w:pPr>
            <w:hyperlink r:id="rId9">
              <w:r>
                <w:rPr>
                  <w:rFonts w:ascii="Calibri" w:hAnsi="Calibri" w:cs="Calibri"/>
                  <w:sz w:val="18"/>
                  <w:color w:val="1155CC"/>
                  <w:u w:val="single"/>
                </w:rPr>
                <w:t xml:space="preserve">aafp.org — Barrett esophagus risk factors (OR table)</w:t>
              </w:r>
            </w:hyperlink>
          </w:p>
          <w:p>
            <w:pPr>
              <w:spacing w:before="60" w:after="40"/>
            </w:pPr>
            <w:r>
              <w:rPr>
                <w:rFonts w:ascii="Calibri" w:hAnsi="Calibri"/>
                <w:b w:val="0"/>
                <w:i w:val="0"/>
                <w:color w:val="5A5A5A"/>
                <w:sz w:val="18"/>
              </w:rPr>
              <w:t>#malesex  #visceralfat  #androgens  #2to1ratio  #adenocarcinoma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Urban, affluent, sedentary populations</w:t>
            </w:r>
          </w:p>
        </w:tc>
        <w:tc>
          <w:tcPr>
            <w:tcW w:type="dxa" w:w="4276"/>
            <w:vAlign w:val="top"/>
          </w:tcPr>
          <w:p>
            <w:pPr>
              <w:spacing w:after="60" w:line="259" w:lineRule="auto"/>
            </w:pPr>
            <w:r>
              <w:rPr>
                <w:rFonts w:ascii="Calibri" w:hAnsi="Calibri"/>
                <w:b w:val="0"/>
                <w:i w:val="0"/>
                <w:color w:val="212121"/>
                <w:sz w:val="19"/>
              </w:rPr>
              <w:t>Urbanisation in India brings energy-dense diets, central obesity, higher GERD prevalence and better access to endoscopy, concentrating both the disease and its detection in urban middle- and upper-income groups.</w:t>
            </w:r>
          </w:p>
          <w:p>
            <w:pPr>
              <w:spacing w:after="40" w:before="60" w:line="259" w:lineRule="auto"/>
            </w:pPr>
            <w:r>
              <w:rPr>
                <w:rFonts w:ascii="Calibri" w:hAnsi="Calibri"/>
                <w:b w:val="0"/>
                <w:i w:val="0"/>
                <w:color w:val="212121"/>
                <w:sz w:val="19"/>
              </w:rPr>
              <w:t>GERD — the key upstream driver of BE — has a pooled prevalence of about 15.6% in India, higher in urban and obese subgroups.</w:t>
            </w:r>
          </w:p>
          <w:p>
            <w:pPr>
              <w:spacing w:after="40" w:line="252" w:lineRule="auto"/>
            </w:pPr>
            <w:hyperlink r:id="rId11">
              <w:r>
                <w:rPr>
                  <w:rFonts w:ascii="Calibri" w:hAnsi="Calibri" w:cs="Calibri"/>
                  <w:sz w:val="18"/>
                  <w:color w:val="1155CC"/>
                  <w:u w:val="single"/>
                </w:rPr>
                <w:t xml:space="preserve">link.springer.com — GERD prevalence in India (meta-analysis)</w:t>
              </w:r>
            </w:hyperlink>
          </w:p>
          <w:p>
            <w:pPr>
              <w:spacing w:before="60" w:after="40"/>
            </w:pPr>
            <w:r>
              <w:rPr>
                <w:rFonts w:ascii="Calibri" w:hAnsi="Calibri"/>
                <w:b w:val="0"/>
                <w:i w:val="0"/>
                <w:color w:val="5A5A5A"/>
                <w:sz w:val="18"/>
              </w:rPr>
              <w:t>#urbanisation  #westerndiet  #obesity  #GERD  #accesstocare</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w:t>
            </w:r>
          </w:p>
        </w:tc>
        <w:tc>
          <w:tcPr>
            <w:tcW w:type="dxa" w:w="2160"/>
            <w:vAlign w:val="top"/>
          </w:tcPr>
          <w:p>
            <w:pPr>
              <w:spacing w:after="40" w:before="0" w:line="259" w:lineRule="auto"/>
            </w:pPr>
            <w:r>
              <w:rPr>
                <w:rFonts w:ascii="Calibri" w:hAnsi="Calibri"/>
                <w:b w:val="0"/>
                <w:i w:val="0"/>
                <w:color w:val="212121"/>
                <w:sz w:val="19"/>
              </w:rPr>
              <w:t>White Caucasian ancestry (highest); Indians intermediate &amp; rising</w:t>
            </w:r>
          </w:p>
        </w:tc>
        <w:tc>
          <w:tcPr>
            <w:tcW w:type="dxa" w:w="4276"/>
            <w:vAlign w:val="top"/>
          </w:tcPr>
          <w:p>
            <w:pPr>
              <w:spacing w:after="60" w:line="259" w:lineRule="auto"/>
            </w:pPr>
            <w:r>
              <w:rPr>
                <w:rFonts w:ascii="Calibri" w:hAnsi="Calibri"/>
                <w:b w:val="0"/>
                <w:i w:val="0"/>
                <w:color w:val="212121"/>
                <w:sz w:val="19"/>
              </w:rPr>
              <w:t>BE and esophageal adenocarcinoma are classically most frequent in white Caucasian populations, but pooled Asian data show India already carries one of the highest BE frequencies in Asia, with rates rising alongside obesity and GERD.</w:t>
            </w:r>
          </w:p>
          <w:p>
            <w:pPr>
              <w:spacing w:after="40" w:before="60" w:line="259" w:lineRule="auto"/>
            </w:pPr>
            <w:r>
              <w:rPr>
                <w:rFonts w:ascii="Calibri" w:hAnsi="Calibri"/>
                <w:b w:val="0"/>
                <w:i w:val="0"/>
                <w:color w:val="212121"/>
                <w:sz w:val="19"/>
              </w:rPr>
              <w:t>White Caucasian ethnicity carries an odds ratio of about 6.0 for BE; India nonetheless ranks among the highest-frequency Asian countries.</w:t>
            </w:r>
          </w:p>
          <w:p>
            <w:pPr>
              <w:spacing w:after="40" w:line="252" w:lineRule="auto"/>
            </w:pPr>
            <w:hyperlink r:id="rId9">
              <w:r>
                <w:rPr>
                  <w:rFonts w:ascii="Calibri" w:hAnsi="Calibri" w:cs="Calibri"/>
                  <w:sz w:val="18"/>
                  <w:color w:val="1155CC"/>
                  <w:u w:val="single"/>
                </w:rPr>
                <w:t xml:space="preserve">aafp.org — ethnicity odds ratio for BE</w:t>
              </w:r>
            </w:hyperlink>
          </w:p>
          <w:p>
            <w:pPr>
              <w:spacing w:before="60" w:after="40"/>
            </w:pPr>
            <w:r>
              <w:rPr>
                <w:rFonts w:ascii="Calibri" w:hAnsi="Calibri"/>
                <w:b w:val="0"/>
                <w:i w:val="0"/>
                <w:color w:val="5A5A5A"/>
                <w:sz w:val="18"/>
              </w:rPr>
              <w:t>#ethnicity  #caucasian  #asiarising  #india  #adenocarcinoma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w:t>
            </w:r>
          </w:p>
        </w:tc>
        <w:tc>
          <w:tcPr>
            <w:tcW w:type="dxa" w:w="2160"/>
            <w:vAlign w:val="top"/>
          </w:tcPr>
          <w:p>
            <w:pPr>
              <w:spacing w:after="40" w:before="0" w:line="259" w:lineRule="auto"/>
            </w:pPr>
            <w:r>
              <w:rPr>
                <w:rFonts w:ascii="Calibri" w:hAnsi="Calibri"/>
                <w:b w:val="0"/>
                <w:i w:val="0"/>
                <w:color w:val="212121"/>
                <w:sz w:val="19"/>
              </w:rPr>
              <w:t>Northern &amp; urban India (endoscopy-referred GERD)</w:t>
            </w:r>
          </w:p>
        </w:tc>
        <w:tc>
          <w:tcPr>
            <w:tcW w:type="dxa" w:w="4276"/>
            <w:vAlign w:val="top"/>
          </w:tcPr>
          <w:p>
            <w:pPr>
              <w:spacing w:after="60" w:line="259" w:lineRule="auto"/>
            </w:pPr>
            <w:r>
              <w:rPr>
                <w:rFonts w:ascii="Calibri" w:hAnsi="Calibri"/>
                <w:b w:val="0"/>
                <w:i w:val="0"/>
                <w:color w:val="212121"/>
                <w:sz w:val="19"/>
              </w:rPr>
              <w:t>Northern Indian tertiary-centre studies of refractory-reflux patients detect BE at measurable rates, and dye-directed (methylene blue) biopsy improves yield, underlining regional and technique-dependent variation in detection.</w:t>
            </w:r>
          </w:p>
          <w:p>
            <w:pPr>
              <w:spacing w:after="40" w:before="60" w:line="259" w:lineRule="auto"/>
            </w:pPr>
            <w:r>
              <w:rPr>
                <w:rFonts w:ascii="Calibri" w:hAnsi="Calibri"/>
                <w:b w:val="0"/>
                <w:i w:val="0"/>
                <w:color w:val="212121"/>
                <w:sz w:val="19"/>
              </w:rPr>
              <w:t>Indian BE prevalence estimates span roughly 2.6% to 23.6% depending on the population studied and biopsy technique used.</w:t>
            </w:r>
          </w:p>
          <w:p>
            <w:pPr>
              <w:spacing w:after="40" w:line="252" w:lineRule="auto"/>
            </w:pPr>
            <w:hyperlink r:id="rId12">
              <w:r>
                <w:rPr>
                  <w:rFonts w:ascii="Calibri" w:hAnsi="Calibri" w:cs="Calibri"/>
                  <w:sz w:val="18"/>
                  <w:color w:val="1155CC"/>
                  <w:u w:val="single"/>
                </w:rPr>
                <w:t xml:space="preserve">pubmed.ncbi.nlm.nih.gov/25349686 — BE in GERD, Northern India</w:t>
              </w:r>
            </w:hyperlink>
          </w:p>
          <w:p>
            <w:pPr>
              <w:spacing w:before="60" w:after="40"/>
            </w:pPr>
            <w:r>
              <w:rPr>
                <w:rFonts w:ascii="Calibri" w:hAnsi="Calibri"/>
                <w:b w:val="0"/>
                <w:i w:val="0"/>
                <w:color w:val="5A5A5A"/>
                <w:sz w:val="18"/>
              </w:rPr>
              <w:t>#northindia  #tertiarycentre  #methyleneblue  #detection  #GERD</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 / central obesity</w:t>
            </w:r>
          </w:p>
        </w:tc>
        <w:tc>
          <w:tcPr>
            <w:tcW w:type="dxa" w:w="2160"/>
            <w:vAlign w:val="top"/>
          </w:tcPr>
          <w:p>
            <w:pPr>
              <w:spacing w:after="40" w:before="0" w:line="259" w:lineRule="auto"/>
            </w:pPr>
            <w:r>
              <w:rPr>
                <w:rFonts w:ascii="Calibri" w:hAnsi="Calibri"/>
                <w:b w:val="0"/>
                <w:i w:val="0"/>
                <w:color w:val="212121"/>
                <w:sz w:val="19"/>
              </w:rPr>
              <w:t>Office workers, homemakers, adults with abdominal obesity</w:t>
            </w:r>
          </w:p>
        </w:tc>
        <w:tc>
          <w:tcPr>
            <w:tcW w:type="dxa" w:w="4276"/>
            <w:vAlign w:val="top"/>
          </w:tcPr>
          <w:p>
            <w:pPr>
              <w:spacing w:after="60" w:line="259" w:lineRule="auto"/>
            </w:pPr>
            <w:r>
              <w:rPr>
                <w:rFonts w:ascii="Calibri" w:hAnsi="Calibri"/>
                <w:b w:val="0"/>
                <w:i w:val="0"/>
                <w:color w:val="212121"/>
                <w:sz w:val="19"/>
              </w:rPr>
              <w:t>Prolonged sitting and low activity promote central fat deposition, which raises intra-abdominal pressure and reflux and supplies pro-inflammatory adipokines; abdominal fat distribution matters more than overall BMI.</w:t>
            </w:r>
          </w:p>
          <w:p>
            <w:pPr>
              <w:spacing w:after="40" w:before="60" w:line="259" w:lineRule="auto"/>
            </w:pPr>
            <w:r>
              <w:rPr>
                <w:rFonts w:ascii="Calibri" w:hAnsi="Calibri"/>
                <w:b w:val="0"/>
                <w:i w:val="0"/>
                <w:color w:val="212121"/>
                <w:sz w:val="19"/>
              </w:rPr>
              <w:t>Higher waist circumference (central obesity) carried an adjusted odds ratio of about 2.79 for BE in an Asian population, independent of BMI.</w:t>
            </w:r>
          </w:p>
          <w:p>
            <w:pPr>
              <w:spacing w:after="40" w:line="252" w:lineRule="auto"/>
            </w:pPr>
            <w:hyperlink r:id="rId13">
              <w:r>
                <w:rPr>
                  <w:rFonts w:ascii="Calibri" w:hAnsi="Calibri" w:cs="Calibri"/>
                  <w:sz w:val="18"/>
                  <w:color w:val="1155CC"/>
                  <w:u w:val="single"/>
                </w:rPr>
                <w:t xml:space="preserve">journals.plos.org — central obesity &amp; BE in Asians</w:t>
              </w:r>
            </w:hyperlink>
          </w:p>
          <w:p>
            <w:pPr>
              <w:spacing w:before="60" w:after="40"/>
            </w:pPr>
            <w:r>
              <w:rPr>
                <w:rFonts w:ascii="Calibri" w:hAnsi="Calibri"/>
                <w:b w:val="0"/>
                <w:i w:val="0"/>
                <w:color w:val="5A5A5A"/>
                <w:sz w:val="18"/>
              </w:rPr>
              <w:t>#centralobesity  #waistcircumference  #visceralfat  #sedentary  #intraabdominalpressure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Current and long-term tobacco users</w:t>
            </w:r>
          </w:p>
        </w:tc>
        <w:tc>
          <w:tcPr>
            <w:tcW w:type="dxa" w:w="4276"/>
            <w:vAlign w:val="top"/>
          </w:tcPr>
          <w:p>
            <w:pPr>
              <w:spacing w:after="60" w:line="259" w:lineRule="auto"/>
            </w:pPr>
            <w:r>
              <w:rPr>
                <w:rFonts w:ascii="Calibri" w:hAnsi="Calibri"/>
                <w:b w:val="0"/>
                <w:i w:val="0"/>
                <w:color w:val="212121"/>
                <w:sz w:val="19"/>
              </w:rPr>
              <w:t>Tobacco smoke relaxes the lower esophageal sphincter, reduces salivary bicarbonate and delivers direct mutagens, promoting both metaplasia and its progression to dysplasia and cancer.</w:t>
            </w:r>
          </w:p>
          <w:p>
            <w:pPr>
              <w:spacing w:after="40" w:before="60" w:line="259" w:lineRule="auto"/>
            </w:pPr>
            <w:r>
              <w:rPr>
                <w:rFonts w:ascii="Calibri" w:hAnsi="Calibri"/>
                <w:b w:val="0"/>
                <w:i w:val="0"/>
                <w:color w:val="212121"/>
                <w:sz w:val="19"/>
              </w:rPr>
              <w:t>Tobacco use is associated with an odds ratio of about 1.42 for BE and nearly doubles risk in Indian series.</w:t>
            </w:r>
          </w:p>
          <w:p>
            <w:pPr>
              <w:spacing w:after="40" w:line="252" w:lineRule="auto"/>
            </w:pPr>
            <w:hyperlink r:id="rId9">
              <w:r>
                <w:rPr>
                  <w:rFonts w:ascii="Calibri" w:hAnsi="Calibri" w:cs="Calibri"/>
                  <w:sz w:val="18"/>
                  <w:color w:val="1155CC"/>
                  <w:u w:val="single"/>
                </w:rPr>
                <w:t xml:space="preserve">aafp.org — tobacco odds ratio for BE</w:t>
              </w:r>
            </w:hyperlink>
          </w:p>
          <w:p>
            <w:pPr>
              <w:spacing w:before="60" w:after="40"/>
            </w:pPr>
            <w:r>
              <w:rPr>
                <w:rFonts w:ascii="Calibri" w:hAnsi="Calibri"/>
                <w:b w:val="0"/>
                <w:i w:val="0"/>
                <w:color w:val="5A5A5A"/>
                <w:sz w:val="18"/>
              </w:rPr>
              <w:t>#smoking  #tobacco  #LESrelaxation  #mutagen  #progression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spirit / beer drinkers</w:t>
            </w:r>
          </w:p>
        </w:tc>
        <w:tc>
          <w:tcPr>
            <w:tcW w:type="dxa" w:w="4276"/>
            <w:vAlign w:val="top"/>
          </w:tcPr>
          <w:p>
            <w:pPr>
              <w:spacing w:after="60" w:line="259" w:lineRule="auto"/>
            </w:pPr>
            <w:r>
              <w:rPr>
                <w:rFonts w:ascii="Calibri" w:hAnsi="Calibri"/>
                <w:b w:val="0"/>
                <w:i w:val="0"/>
                <w:color w:val="212121"/>
                <w:sz w:val="19"/>
              </w:rPr>
              <w:t>Alcohol lowers sphincter tone and impairs esophageal clearance, worsening the reflux that drives metaplasia; the association is inconsistent across studies (wine sometimes appears neutral or inverse) but heavy spirit and beer intake aggravate reflux.</w:t>
            </w:r>
          </w:p>
          <w:p>
            <w:pPr>
              <w:spacing w:after="40" w:before="60" w:line="259" w:lineRule="auto"/>
            </w:pPr>
            <w:r>
              <w:rPr>
                <w:rFonts w:ascii="Calibri" w:hAnsi="Calibri"/>
                <w:b w:val="0"/>
                <w:i w:val="0"/>
                <w:color w:val="212121"/>
                <w:sz w:val="19"/>
              </w:rPr>
              <w:t>Alcohol is an established risk factor for GERD in Indian population studies, the principal upstream condition for BE.</w:t>
            </w:r>
          </w:p>
          <w:p>
            <w:pPr>
              <w:spacing w:after="40" w:line="252" w:lineRule="auto"/>
            </w:pPr>
            <w:hyperlink r:id="rId11">
              <w:r>
                <w:rPr>
                  <w:rFonts w:ascii="Calibri" w:hAnsi="Calibri" w:cs="Calibri"/>
                  <w:sz w:val="18"/>
                  <w:color w:val="1155CC"/>
                  <w:u w:val="single"/>
                </w:rPr>
                <w:t xml:space="preserve">link.springer.com — alcohol &amp; GERD in India</w:t>
              </w:r>
            </w:hyperlink>
          </w:p>
          <w:p>
            <w:pPr>
              <w:spacing w:before="60" w:after="40"/>
            </w:pPr>
            <w:r>
              <w:rPr>
                <w:rFonts w:ascii="Calibri" w:hAnsi="Calibri"/>
                <w:b w:val="0"/>
                <w:i w:val="0"/>
                <w:color w:val="5A5A5A"/>
                <w:sz w:val="18"/>
              </w:rPr>
              <w:t>#alcohol  #spirits  #refluxtrigger  #LEStone  #GERD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Overweight / Obese</w:t>
            </w:r>
          </w:p>
        </w:tc>
        <w:tc>
          <w:tcPr>
            <w:tcW w:type="dxa" w:w="2160"/>
            <w:vAlign w:val="top"/>
          </w:tcPr>
          <w:p>
            <w:pPr>
              <w:spacing w:after="40" w:before="0" w:line="259" w:lineRule="auto"/>
            </w:pPr>
            <w:r>
              <w:rPr>
                <w:rFonts w:ascii="Calibri" w:hAnsi="Calibri"/>
                <w:b w:val="0"/>
                <w:i w:val="0"/>
                <w:color w:val="212121"/>
                <w:sz w:val="19"/>
              </w:rPr>
              <w:t>High-BMI adults, especially with a large waist</w:t>
            </w:r>
          </w:p>
        </w:tc>
        <w:tc>
          <w:tcPr>
            <w:tcW w:type="dxa" w:w="4276"/>
            <w:vAlign w:val="top"/>
          </w:tcPr>
          <w:p>
            <w:pPr>
              <w:spacing w:after="60" w:line="259" w:lineRule="auto"/>
            </w:pPr>
            <w:r>
              <w:rPr>
                <w:rFonts w:ascii="Calibri" w:hAnsi="Calibri"/>
                <w:b w:val="0"/>
                <w:i w:val="0"/>
                <w:color w:val="212121"/>
                <w:sz w:val="19"/>
              </w:rPr>
              <w:t>Excess weight, particularly visceral adiposity, is one of the strongest modifiable drivers of BE through mechanical reflux and a metabolic, pro-inflammatory milieu.</w:t>
            </w:r>
          </w:p>
          <w:p>
            <w:pPr>
              <w:spacing w:after="40" w:before="60" w:line="259" w:lineRule="auto"/>
            </w:pPr>
            <w:r>
              <w:rPr>
                <w:rFonts w:ascii="Calibri" w:hAnsi="Calibri"/>
                <w:b w:val="0"/>
                <w:i w:val="0"/>
                <w:color w:val="212121"/>
                <w:sz w:val="19"/>
              </w:rPr>
              <w:t>Obesity carries an odds ratio of about 2.04 for BE, and metabolic syndrome about 1.35 (roughly 35% higher odds).</w:t>
            </w:r>
          </w:p>
          <w:p>
            <w:pPr>
              <w:spacing w:after="40" w:line="252" w:lineRule="auto"/>
            </w:pPr>
            <w:hyperlink r:id="rId14">
              <w:r>
                <w:rPr>
                  <w:rFonts w:ascii="Calibri" w:hAnsi="Calibri" w:cs="Calibri"/>
                  <w:sz w:val="18"/>
                  <w:color w:val="1155CC"/>
                  <w:u w:val="single"/>
                </w:rPr>
                <w:t xml:space="preserve">link.springer.com — metabolic syndrome &amp; BE meta-analysis</w:t>
              </w:r>
            </w:hyperlink>
          </w:p>
          <w:p>
            <w:pPr>
              <w:spacing w:before="60" w:after="40"/>
            </w:pPr>
            <w:r>
              <w:rPr>
                <w:rFonts w:ascii="Calibri" w:hAnsi="Calibri"/>
                <w:b w:val="0"/>
                <w:i w:val="0"/>
                <w:color w:val="5A5A5A"/>
                <w:sz w:val="18"/>
              </w:rPr>
              <w:t>#obesity  #BMI  #metabolicsyndrome  #adipokines  #reflux</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High-fat, low-fibre, low fruit/vegetable eaters</w:t>
            </w:r>
          </w:p>
        </w:tc>
        <w:tc>
          <w:tcPr>
            <w:tcW w:type="dxa" w:w="4276"/>
            <w:vAlign w:val="top"/>
          </w:tcPr>
          <w:p>
            <w:pPr>
              <w:spacing w:after="60" w:line="259" w:lineRule="auto"/>
            </w:pPr>
            <w:r>
              <w:rPr>
                <w:rFonts w:ascii="Calibri" w:hAnsi="Calibri"/>
                <w:b w:val="0"/>
                <w:i w:val="0"/>
                <w:color w:val="212121"/>
                <w:sz w:val="19"/>
              </w:rPr>
              <w:t>Fatty, energy-dense meals delay gastric emptying and relax the sphincter, while low intake of fruit, vegetables and fibre removes a protective, antioxidant-rich influence, raising BE risk.</w:t>
            </w:r>
          </w:p>
          <w:p>
            <w:pPr>
              <w:spacing w:after="40" w:before="60" w:line="259" w:lineRule="auto"/>
            </w:pPr>
            <w:r>
              <w:rPr>
                <w:rFonts w:ascii="Calibri" w:hAnsi="Calibri"/>
                <w:b w:val="0"/>
                <w:i w:val="0"/>
                <w:color w:val="212121"/>
                <w:sz w:val="19"/>
              </w:rPr>
              <w:t>Higher fruit and leafy-vegetable intake was associated with roughly 40% lower BE risk (fruit OR ~0.58, leafy vegetables OR ~0.59), while higher total fat intake raised risk.</w:t>
            </w:r>
          </w:p>
          <w:p>
            <w:pPr>
              <w:spacing w:after="40" w:line="252" w:lineRule="auto"/>
            </w:pPr>
            <w:hyperlink r:id="rId15">
              <w:r>
                <w:rPr>
                  <w:rFonts w:ascii="Calibri" w:hAnsi="Calibri" w:cs="Calibri"/>
                  <w:sz w:val="18"/>
                  <w:color w:val="1155CC"/>
                  <w:u w:val="single"/>
                </w:rPr>
                <w:t xml:space="preserve">esocan.org — diet &amp; risk of Barrett's (Melbourne cohort)</w:t>
              </w:r>
            </w:hyperlink>
          </w:p>
          <w:p>
            <w:pPr>
              <w:spacing w:before="60" w:after="40"/>
            </w:pPr>
            <w:r>
              <w:rPr>
                <w:rFonts w:ascii="Calibri" w:hAnsi="Calibri"/>
                <w:b w:val="0"/>
                <w:i w:val="0"/>
                <w:color w:val="5A5A5A"/>
                <w:sz w:val="18"/>
              </w:rPr>
              <w:t>#highfat  #lowfibre  #fruitandveg  #antioxidants  #dietpattern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Provoking foods</w:t>
            </w:r>
          </w:p>
        </w:tc>
        <w:tc>
          <w:tcPr>
            <w:tcW w:type="dxa" w:w="2160"/>
            <w:vAlign w:val="top"/>
          </w:tcPr>
          <w:p>
            <w:pPr>
              <w:spacing w:after="40" w:before="0" w:line="259" w:lineRule="auto"/>
            </w:pPr>
            <w:r>
              <w:rPr>
                <w:rFonts w:ascii="Calibri" w:hAnsi="Calibri"/>
                <w:b w:val="0"/>
                <w:i w:val="0"/>
                <w:color w:val="212121"/>
                <w:sz w:val="19"/>
              </w:rPr>
              <w:t>Frequent spicy, fried, citrus, chocolate, mint &amp; carbonated-drink consumers</w:t>
            </w:r>
          </w:p>
        </w:tc>
        <w:tc>
          <w:tcPr>
            <w:tcW w:type="dxa" w:w="4276"/>
            <w:vAlign w:val="top"/>
          </w:tcPr>
          <w:p>
            <w:pPr>
              <w:spacing w:after="60" w:line="259" w:lineRule="auto"/>
            </w:pPr>
            <w:r>
              <w:rPr>
                <w:rFonts w:ascii="Calibri" w:hAnsi="Calibri"/>
                <w:b w:val="0"/>
                <w:i w:val="0"/>
                <w:color w:val="212121"/>
                <w:sz w:val="19"/>
              </w:rPr>
              <w:t>Traditional Indian fried and heavily spiced foods, along with chocolate, peppermint, citrus, coffee/tea and carbonated drinks, lower sphincter pressure or increase acidity, provoking the reflux episodes that sustain metaplasia.</w:t>
            </w:r>
          </w:p>
          <w:p>
            <w:pPr>
              <w:spacing w:after="40" w:before="60" w:line="259" w:lineRule="auto"/>
            </w:pPr>
            <w:r>
              <w:rPr>
                <w:rFonts w:ascii="Calibri" w:hAnsi="Calibri"/>
                <w:b w:val="0"/>
                <w:i w:val="0"/>
                <w:color w:val="212121"/>
                <w:sz w:val="19"/>
              </w:rPr>
              <w:t>Tea/coffee intake and a non-vegetarian, spicy dietary pattern are identified GERD risk factors in Indian meta-regression analysis.</w:t>
            </w:r>
          </w:p>
          <w:p>
            <w:pPr>
              <w:spacing w:after="40" w:line="252" w:lineRule="auto"/>
            </w:pPr>
            <w:hyperlink r:id="rId11">
              <w:r>
                <w:rPr>
                  <w:rFonts w:ascii="Calibri" w:hAnsi="Calibri" w:cs="Calibri"/>
                  <w:sz w:val="18"/>
                  <w:color w:val="1155CC"/>
                  <w:u w:val="single"/>
                </w:rPr>
                <w:t xml:space="preserve">link.springer.com — dietary GERD triggers in India</w:t>
              </w:r>
            </w:hyperlink>
          </w:p>
          <w:p>
            <w:pPr>
              <w:spacing w:before="60" w:after="40"/>
            </w:pPr>
            <w:r>
              <w:rPr>
                <w:rFonts w:ascii="Calibri" w:hAnsi="Calibri"/>
                <w:b w:val="0"/>
                <w:i w:val="0"/>
                <w:color w:val="5A5A5A"/>
                <w:sz w:val="18"/>
              </w:rPr>
              <w:t>#spicyfood  #friedfood  #caffeine  #carbonated  #refluxtrigger</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relatives of BE / esophageal adenocarcinoma patients</w:t>
            </w:r>
          </w:p>
        </w:tc>
        <w:tc>
          <w:tcPr>
            <w:tcW w:type="dxa" w:w="4276"/>
            <w:vAlign w:val="top"/>
          </w:tcPr>
          <w:p>
            <w:pPr>
              <w:spacing w:after="60" w:line="259" w:lineRule="auto"/>
            </w:pPr>
            <w:r>
              <w:rPr>
                <w:rFonts w:ascii="Calibri" w:hAnsi="Calibri"/>
                <w:b w:val="0"/>
                <w:i w:val="0"/>
                <w:color w:val="212121"/>
                <w:sz w:val="19"/>
              </w:rPr>
              <w:t>Familial aggregation of Barrett's and esophageal adenocarcinoma, together with identified susceptibility loci, indicates inherited risk beyond shared lifestyle; familial BE warrants a lower threshold for screening.</w:t>
            </w:r>
          </w:p>
          <w:p>
            <w:pPr>
              <w:spacing w:after="40" w:before="60" w:line="259" w:lineRule="auto"/>
            </w:pPr>
            <w:r>
              <w:rPr>
                <w:rFonts w:ascii="Calibri" w:hAnsi="Calibri"/>
                <w:b w:val="0"/>
                <w:i w:val="0"/>
                <w:color w:val="212121"/>
                <w:sz w:val="19"/>
              </w:rPr>
              <w:t>A family history of BE or esophageal adenocarcinoma is an accepted additional risk factor that lowers the screening threshold in guidelines.</w:t>
            </w:r>
          </w:p>
          <w:p>
            <w:pPr>
              <w:spacing w:after="40" w:line="252" w:lineRule="auto"/>
            </w:pPr>
            <w:hyperlink r:id="rId9">
              <w:r>
                <w:rPr>
                  <w:rFonts w:ascii="Calibri" w:hAnsi="Calibri" w:cs="Calibri"/>
                  <w:sz w:val="18"/>
                  <w:color w:val="1155CC"/>
                  <w:u w:val="single"/>
                </w:rPr>
                <w:t xml:space="preserve">aafp.org — family history &amp; BE screening</w:t>
              </w:r>
            </w:hyperlink>
          </w:p>
          <w:p>
            <w:pPr>
              <w:spacing w:before="60" w:after="40"/>
            </w:pPr>
            <w:r>
              <w:rPr>
                <w:rFonts w:ascii="Calibri" w:hAnsi="Calibri"/>
                <w:b w:val="0"/>
                <w:i w:val="0"/>
                <w:color w:val="5A5A5A"/>
                <w:sz w:val="18"/>
              </w:rPr>
              <w:t>#familyhistory  #genetic  #susceptibility  #screening  #adenocarcinoma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Early-onset GERD</w:t>
            </w:r>
          </w:p>
        </w:tc>
        <w:tc>
          <w:tcPr>
            <w:tcW w:type="dxa" w:w="2160"/>
            <w:vAlign w:val="top"/>
          </w:tcPr>
          <w:p>
            <w:pPr>
              <w:spacing w:after="40" w:before="0" w:line="259" w:lineRule="auto"/>
            </w:pPr>
            <w:r>
              <w:rPr>
                <w:rFonts w:ascii="Calibri" w:hAnsi="Calibri"/>
                <w:b w:val="0"/>
                <w:i w:val="0"/>
                <w:color w:val="212121"/>
                <w:sz w:val="19"/>
              </w:rPr>
              <w:t>Patients with reflux beginning before age 30</w:t>
            </w:r>
          </w:p>
        </w:tc>
        <w:tc>
          <w:tcPr>
            <w:tcW w:type="dxa" w:w="4276"/>
            <w:vAlign w:val="top"/>
          </w:tcPr>
          <w:p>
            <w:pPr>
              <w:spacing w:after="60" w:line="259" w:lineRule="auto"/>
            </w:pPr>
            <w:r>
              <w:rPr>
                <w:rFonts w:ascii="Calibri" w:hAnsi="Calibri"/>
                <w:b w:val="0"/>
                <w:i w:val="0"/>
                <w:color w:val="212121"/>
                <w:sz w:val="19"/>
              </w:rPr>
              <w:t>A long duration of reflux from an early age gives the esophageal mucosa the greatest cumulative exposure and the strongest single predictor of BE, reflecting both duration and possibly constitutional susceptibility.</w:t>
            </w:r>
          </w:p>
          <w:p>
            <w:pPr>
              <w:spacing w:after="40" w:before="60" w:line="259" w:lineRule="auto"/>
            </w:pPr>
            <w:r>
              <w:rPr>
                <w:rFonts w:ascii="Calibri" w:hAnsi="Calibri"/>
                <w:b w:val="0"/>
                <w:i w:val="0"/>
                <w:color w:val="212121"/>
                <w:sz w:val="19"/>
              </w:rPr>
              <w:t>Onset of GERD before age 30 carries an odds ratio of about 15.1 for Barrett's esophagus.</w:t>
            </w:r>
          </w:p>
          <w:p>
            <w:pPr>
              <w:spacing w:after="40" w:line="252" w:lineRule="auto"/>
            </w:pPr>
            <w:hyperlink r:id="rId9">
              <w:r>
                <w:rPr>
                  <w:rFonts w:ascii="Calibri" w:hAnsi="Calibri" w:cs="Calibri"/>
                  <w:sz w:val="18"/>
                  <w:color w:val="1155CC"/>
                  <w:u w:val="single"/>
                </w:rPr>
                <w:t xml:space="preserve">aafp.org — early-onset GERD odds ratio</w:t>
              </w:r>
            </w:hyperlink>
          </w:p>
          <w:p>
            <w:pPr>
              <w:spacing w:before="60" w:after="40"/>
            </w:pPr>
            <w:r>
              <w:rPr>
                <w:rFonts w:ascii="Calibri" w:hAnsi="Calibri"/>
                <w:b w:val="0"/>
                <w:i w:val="0"/>
                <w:color w:val="5A5A5A"/>
                <w:sz w:val="18"/>
              </w:rPr>
              <w:t>#earlyonset  #longduration  #GERD  #highrisk  #cumulativeexposure</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Chronic GERD</w:t>
            </w:r>
          </w:p>
        </w:tc>
        <w:tc>
          <w:tcPr>
            <w:tcW w:type="dxa" w:w="2160"/>
            <w:vAlign w:val="top"/>
          </w:tcPr>
          <w:p>
            <w:pPr>
              <w:spacing w:after="40" w:before="0" w:line="259" w:lineRule="auto"/>
            </w:pPr>
            <w:r>
              <w:rPr>
                <w:rFonts w:ascii="Calibri" w:hAnsi="Calibri"/>
                <w:b w:val="0"/>
                <w:i w:val="0"/>
                <w:color w:val="212121"/>
                <w:sz w:val="19"/>
              </w:rPr>
              <w:t>Patients with long-standing / weekly reflux symptoms</w:t>
            </w:r>
          </w:p>
        </w:tc>
        <w:tc>
          <w:tcPr>
            <w:tcW w:type="dxa" w:w="4276"/>
            <w:vAlign w:val="top"/>
          </w:tcPr>
          <w:p>
            <w:pPr>
              <w:spacing w:after="60" w:line="259" w:lineRule="auto"/>
            </w:pPr>
            <w:r>
              <w:rPr>
                <w:rFonts w:ascii="Calibri" w:hAnsi="Calibri"/>
                <w:b w:val="0"/>
                <w:i w:val="0"/>
                <w:color w:val="212121"/>
                <w:sz w:val="19"/>
              </w:rPr>
              <w:t>Chronic acid and bile reflux is the direct antecedent of Barrett's; the longer and more frequent the symptoms, the higher the probability that squamous mucosa has undergone intestinal metaplasia.</w:t>
            </w:r>
          </w:p>
          <w:p>
            <w:pPr>
              <w:spacing w:after="40" w:before="60" w:line="259" w:lineRule="auto"/>
            </w:pPr>
            <w:r>
              <w:rPr>
                <w:rFonts w:ascii="Calibri" w:hAnsi="Calibri"/>
                <w:b w:val="0"/>
                <w:i w:val="0"/>
                <w:color w:val="212121"/>
                <w:sz w:val="19"/>
              </w:rPr>
              <w:t>GERD carries an odds ratio of about 2.9 for BE, and BE is found in roughly 5-15% of Indian GERD patients undergoing endoscopy.</w:t>
            </w:r>
          </w:p>
          <w:p>
            <w:pPr>
              <w:spacing w:after="40" w:line="252" w:lineRule="auto"/>
            </w:pPr>
            <w:hyperlink r:id="rId16">
              <w:r>
                <w:rPr>
                  <w:rFonts w:ascii="Calibri" w:hAnsi="Calibri" w:cs="Calibri"/>
                  <w:sz w:val="18"/>
                  <w:color w:val="1155CC"/>
                  <w:u w:val="single"/>
                </w:rPr>
                <w:t xml:space="preserve">thieme-connect.com — BE in Indian endoscopy/GERD populations</w:t>
              </w:r>
            </w:hyperlink>
          </w:p>
          <w:p>
            <w:pPr>
              <w:spacing w:before="60" w:after="40"/>
            </w:pPr>
            <w:r>
              <w:rPr>
                <w:rFonts w:ascii="Calibri" w:hAnsi="Calibri"/>
                <w:b w:val="0"/>
                <w:i w:val="0"/>
                <w:color w:val="5A5A5A"/>
                <w:sz w:val="18"/>
              </w:rPr>
              <w:t>#GERD  #chronicreflux  #acidexposure  #metaplasia  #precursor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Hiatal hernia</w:t>
            </w:r>
          </w:p>
        </w:tc>
        <w:tc>
          <w:tcPr>
            <w:tcW w:type="dxa" w:w="2160"/>
            <w:vAlign w:val="top"/>
          </w:tcPr>
          <w:p>
            <w:pPr>
              <w:spacing w:after="40" w:before="0" w:line="259" w:lineRule="auto"/>
            </w:pPr>
            <w:r>
              <w:rPr>
                <w:rFonts w:ascii="Calibri" w:hAnsi="Calibri"/>
                <w:b w:val="0"/>
                <w:i w:val="0"/>
                <w:color w:val="212121"/>
                <w:sz w:val="19"/>
              </w:rPr>
              <w:t>Patients with a hiatal hernia (especially large)</w:t>
            </w:r>
          </w:p>
        </w:tc>
        <w:tc>
          <w:tcPr>
            <w:tcW w:type="dxa" w:w="4276"/>
            <w:vAlign w:val="top"/>
          </w:tcPr>
          <w:p>
            <w:pPr>
              <w:spacing w:after="60" w:line="259" w:lineRule="auto"/>
            </w:pPr>
            <w:r>
              <w:rPr>
                <w:rFonts w:ascii="Calibri" w:hAnsi="Calibri"/>
                <w:b w:val="0"/>
                <w:i w:val="0"/>
                <w:color w:val="212121"/>
                <w:sz w:val="19"/>
              </w:rPr>
              <w:t>A hiatal hernia disrupts the anti-reflux barrier and creates an acid reservoir, greatly prolonging esophageal acid contact and strongly predisposing to Barrett's, particularly long-segment disease.</w:t>
            </w:r>
          </w:p>
          <w:p>
            <w:pPr>
              <w:spacing w:after="40" w:before="60" w:line="259" w:lineRule="auto"/>
            </w:pPr>
            <w:r>
              <w:rPr>
                <w:rFonts w:ascii="Calibri" w:hAnsi="Calibri"/>
                <w:b w:val="0"/>
                <w:i w:val="0"/>
                <w:color w:val="212121"/>
                <w:sz w:val="19"/>
              </w:rPr>
              <w:t>Hiatal hernia is associated with an odds ratio of about 3.94 for BE.</w:t>
            </w:r>
          </w:p>
          <w:p>
            <w:pPr>
              <w:spacing w:after="40" w:line="252" w:lineRule="auto"/>
            </w:pPr>
            <w:hyperlink r:id="rId9">
              <w:r>
                <w:rPr>
                  <w:rFonts w:ascii="Calibri" w:hAnsi="Calibri" w:cs="Calibri"/>
                  <w:sz w:val="18"/>
                  <w:color w:val="1155CC"/>
                  <w:u w:val="single"/>
                </w:rPr>
                <w:t xml:space="preserve">aafp.org — hiatal hernia odds ratio for BE</w:t>
              </w:r>
            </w:hyperlink>
          </w:p>
          <w:p>
            <w:pPr>
              <w:spacing w:before="60" w:after="40"/>
            </w:pPr>
            <w:r>
              <w:rPr>
                <w:rFonts w:ascii="Calibri" w:hAnsi="Calibri"/>
                <w:b w:val="0"/>
                <w:i w:val="0"/>
                <w:color w:val="5A5A5A"/>
                <w:sz w:val="18"/>
              </w:rPr>
              <w:t>#hiatalhernia  #antirefluxbarrier  #acidreservoir  #longsegment  #GERD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Metabolic syndrome / central adiposity</w:t>
            </w:r>
          </w:p>
        </w:tc>
        <w:tc>
          <w:tcPr>
            <w:tcW w:type="dxa" w:w="2160"/>
            <w:vAlign w:val="top"/>
          </w:tcPr>
          <w:p>
            <w:pPr>
              <w:spacing w:after="40" w:before="0" w:line="259" w:lineRule="auto"/>
            </w:pPr>
            <w:r>
              <w:rPr>
                <w:rFonts w:ascii="Calibri" w:hAnsi="Calibri"/>
                <w:b w:val="0"/>
                <w:i w:val="0"/>
                <w:color w:val="212121"/>
                <w:sz w:val="19"/>
              </w:rPr>
              <w:t>Adults with metabolic syndrome</w:t>
            </w:r>
          </w:p>
        </w:tc>
        <w:tc>
          <w:tcPr>
            <w:tcW w:type="dxa" w:w="4276"/>
            <w:vAlign w:val="top"/>
          </w:tcPr>
          <w:p>
            <w:pPr>
              <w:spacing w:after="60" w:line="259" w:lineRule="auto"/>
            </w:pPr>
            <w:r>
              <w:rPr>
                <w:rFonts w:ascii="Calibri" w:hAnsi="Calibri"/>
                <w:b w:val="0"/>
                <w:i w:val="0"/>
                <w:color w:val="212121"/>
                <w:sz w:val="19"/>
              </w:rPr>
              <w:t>Clustered insulin resistance, central obesity, dyslipidaemia and a pro-inflammatory state promote reflux and directly favour metaplastic and neoplastic change in the esophagus.</w:t>
            </w:r>
          </w:p>
          <w:p>
            <w:pPr>
              <w:spacing w:after="40" w:before="60" w:line="259" w:lineRule="auto"/>
            </w:pPr>
            <w:r>
              <w:rPr>
                <w:rFonts w:ascii="Calibri" w:hAnsi="Calibri"/>
                <w:b w:val="0"/>
                <w:i w:val="0"/>
                <w:color w:val="212121"/>
                <w:sz w:val="19"/>
              </w:rPr>
              <w:t>Metabolic syndrome is associated with an odds ratio of about 1.35 for Barrett's esophagus (pooled meta-analysis).</w:t>
            </w:r>
          </w:p>
          <w:p>
            <w:pPr>
              <w:spacing w:after="40" w:line="252" w:lineRule="auto"/>
            </w:pPr>
            <w:hyperlink r:id="rId14">
              <w:r>
                <w:rPr>
                  <w:rFonts w:ascii="Calibri" w:hAnsi="Calibri" w:cs="Calibri"/>
                  <w:sz w:val="18"/>
                  <w:color w:val="1155CC"/>
                  <w:u w:val="single"/>
                </w:rPr>
                <w:t xml:space="preserve">link.springer.com — metabolic syndrome &amp; BE</w:t>
              </w:r>
            </w:hyperlink>
          </w:p>
          <w:p>
            <w:pPr>
              <w:spacing w:before="60" w:after="40"/>
            </w:pPr>
            <w:r>
              <w:rPr>
                <w:rFonts w:ascii="Calibri" w:hAnsi="Calibri"/>
                <w:b w:val="0"/>
                <w:i w:val="0"/>
                <w:color w:val="5A5A5A"/>
                <w:sz w:val="18"/>
              </w:rPr>
              <w:t>#metabolicsyndrome  #insulinresistance  #centraladiposity  #inflammation  #reflux</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Helicobacter pylori status</w:t>
            </w:r>
          </w:p>
        </w:tc>
        <w:tc>
          <w:tcPr>
            <w:tcW w:type="dxa" w:w="2160"/>
            <w:vAlign w:val="top"/>
          </w:tcPr>
          <w:p>
            <w:pPr>
              <w:spacing w:after="40" w:before="0" w:line="259" w:lineRule="auto"/>
            </w:pPr>
            <w:r>
              <w:rPr>
                <w:rFonts w:ascii="Calibri" w:hAnsi="Calibri"/>
                <w:b w:val="0"/>
                <w:i w:val="0"/>
                <w:color w:val="212121"/>
                <w:sz w:val="19"/>
              </w:rPr>
              <w:t>H. pylori-negative individuals (inverse association)</w:t>
            </w:r>
          </w:p>
        </w:tc>
        <w:tc>
          <w:tcPr>
            <w:tcW w:type="dxa" w:w="4276"/>
            <w:vAlign w:val="top"/>
          </w:tcPr>
          <w:p>
            <w:pPr>
              <w:spacing w:after="60" w:line="259" w:lineRule="auto"/>
            </w:pPr>
            <w:r>
              <w:rPr>
                <w:rFonts w:ascii="Calibri" w:hAnsi="Calibri"/>
                <w:b w:val="0"/>
                <w:i w:val="0"/>
                <w:color w:val="212121"/>
                <w:sz w:val="19"/>
              </w:rPr>
              <w:t>Gastric H. pylori infection — especially atrophic, acid-lowering strains — reduces gastric acidity and appears protective against BE; its absence (as in increasingly hygienic urban India) leaves the esophagus more exposed.</w:t>
            </w:r>
          </w:p>
          <w:p>
            <w:pPr>
              <w:spacing w:after="40" w:before="60" w:line="259" w:lineRule="auto"/>
            </w:pPr>
            <w:r>
              <w:rPr>
                <w:rFonts w:ascii="Calibri" w:hAnsi="Calibri"/>
                <w:b w:val="0"/>
                <w:i w:val="0"/>
                <w:color w:val="212121"/>
                <w:sz w:val="19"/>
              </w:rPr>
              <w:t>Negative H. pylori status carried an adjusted odds ratio of about 0.46 for BE, i.e. infection was protective, in an Asian population.</w:t>
            </w:r>
          </w:p>
          <w:p>
            <w:pPr>
              <w:spacing w:after="40" w:line="252" w:lineRule="auto"/>
            </w:pPr>
            <w:hyperlink r:id="rId13">
              <w:r>
                <w:rPr>
                  <w:rFonts w:ascii="Calibri" w:hAnsi="Calibri" w:cs="Calibri"/>
                  <w:sz w:val="18"/>
                  <w:color w:val="1155CC"/>
                  <w:u w:val="single"/>
                </w:rPr>
                <w:t xml:space="preserve">journals.plos.org — H. pylori inverse association with BE</w:t>
              </w:r>
            </w:hyperlink>
          </w:p>
          <w:p>
            <w:pPr>
              <w:spacing w:before="60" w:after="40"/>
            </w:pPr>
            <w:r>
              <w:rPr>
                <w:rFonts w:ascii="Calibri" w:hAnsi="Calibri"/>
                <w:b w:val="0"/>
                <w:i w:val="0"/>
                <w:color w:val="5A5A5A"/>
                <w:sz w:val="18"/>
              </w:rPr>
              <w:t>#hpylori  #inverseassociation  #gastricacid  #hygienehypothesis  #protective</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Physical activity acts mainly indirectly — by reducing central obesity, the strongest modifiable driver of reflux and BE. Direct studies of recent exercise show no clear independent effect on BE (OR ~1.19, not significant), so the benefit is via weight and visceral-fat reduction rather than exercise per se.</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High-fat, energy-dense, low-fibre diets promote reflux and BE, whereas high fruit and leafy-vegetable intake is associated with roughly 40% lower risk (OR ~0.58-0.59). Fibre and dietary antioxidants appear protective.</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Supine posture and nocturnal reflux markedly increase distal esophageal acid contact time; late meals, short sleep and coexisting obstructive sleep apnoea worsen night-time acid exposure that sustains metaplasia.</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Tobacco relaxes the lower esophageal sphincter, cuts salivary bicarbonate and delivers direct mutagens; it is associated with an odds ratio of about 1.42 for BE and accelerates progression toward adenocarcinoma.</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Alcohol lowers sphincter tone and impairs esophageal clearance, aggravating reflux; epidemiological associations with BE are inconsistent (wine sometimes neutral or inverse), but heavy spirit and beer intake worsen the underlying GERD.</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Psychological stress heightens visceral sensitivity and symptom perception and can worsen reflux behaviours (eating patterns, smoking, alcohol), but there is no strong direct link to metaplasia itself.</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hydration and water after meals may transiently clear and dilute esophageal acid, but there is little direct evidence that it prevents or reverses BE.</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Coffee and tea can relax the lower esophageal sphincter and provoke reflux, and tea/coffee intake is an identified GERD risk factor in Indian data; a direct effect on BE itself is less certain.</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Improved sanitation lowers Helicobacter pylori carriage; because H. pylori is inversely associated with BE (OR ~0.46 for negativity), better hygiene may paradoxically leave more people exposed to reflux-driven metaplasia.</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Large or fatty meals, spicy and fried foods, chocolate, peppermint, citrus, carbonated drinks, tight garments and eating close to bedtime all provoke discrete reflux episodes that drive and maintain columnar metaplasia.</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Recumbent and stooping postures and raised intra-abdominal pressure promote reflux; conversely, staying upright after meals and elevating the head of the bed reduce nocturnal acid exposure and are standard anti-reflux measures.</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(kg/m², Asian cut-offs)</w:t>
            </w:r>
          </w:p>
        </w:tc>
        <w:tc>
          <w:tcPr>
            <w:tcW w:type="dxa" w:w="1655"/>
            <w:vAlign w:val="top"/>
          </w:tcPr>
          <w:p>
            <w:pPr>
              <w:spacing w:after="40" w:before="0" w:line="259" w:lineRule="auto"/>
            </w:pPr>
            <w:r>
              <w:rPr>
                <w:rFonts w:ascii="Calibri" w:hAnsi="Calibri"/>
                <w:b w:val="0"/>
                <w:i w:val="0"/>
                <w:color w:val="212121"/>
                <w:sz w:val="19"/>
              </w:rPr>
              <w:t>Indian adults</w:t>
            </w:r>
          </w:p>
        </w:tc>
        <w:tc>
          <w:tcPr>
            <w:tcW w:type="dxa" w:w="1512"/>
            <w:vAlign w:val="top"/>
          </w:tcPr>
          <w:p>
            <w:pPr>
              <w:spacing w:after="40" w:before="0" w:line="259" w:lineRule="auto"/>
            </w:pPr>
            <w:r>
              <w:rPr>
                <w:rFonts w:ascii="Calibri" w:hAnsi="Calibri"/>
                <w:b w:val="0"/>
                <w:i w:val="0"/>
                <w:color w:val="212121"/>
                <w:sz w:val="19"/>
              </w:rPr>
              <w:t>18.5-22.9 kg/m²</w:t>
            </w:r>
          </w:p>
        </w:tc>
        <w:tc>
          <w:tcPr>
            <w:tcW w:type="dxa" w:w="1512"/>
            <w:vAlign w:val="top"/>
          </w:tcPr>
          <w:p>
            <w:pPr>
              <w:spacing w:after="40" w:before="0" w:line="259" w:lineRule="auto"/>
            </w:pPr>
            <w:r>
              <w:rPr>
                <w:rFonts w:ascii="Calibri" w:hAnsi="Calibri"/>
                <w:b w:val="0"/>
                <w:i w:val="0"/>
                <w:color w:val="212121"/>
                <w:sz w:val="19"/>
              </w:rPr>
              <w:t>≥ 23 (overweight); ≥ 25 (obese)</w:t>
            </w:r>
          </w:p>
        </w:tc>
        <w:tc>
          <w:tcPr>
            <w:tcW w:type="dxa" w:w="1468"/>
            <w:vAlign w:val="top"/>
          </w:tcPr>
          <w:p>
            <w:pPr>
              <w:spacing w:after="60" w:line="259" w:lineRule="auto"/>
            </w:pPr>
            <w:r>
              <w:rPr>
                <w:rFonts w:ascii="Calibri" w:hAnsi="Calibri"/>
                <w:b w:val="0"/>
                <w:i w:val="0"/>
                <w:color w:val="212121"/>
                <w:sz w:val="19"/>
              </w:rPr>
              <w:t>Higher BMI raises reflux and BE risk; Asian thresholds are lower than Western ones</w:t>
            </w:r>
          </w:p>
          <w:p>
            <w:pPr>
              <w:spacing w:after="40" w:line="252" w:lineRule="auto"/>
            </w:pPr>
            <w:hyperlink r:id="rId14">
              <w:r>
                <w:rPr>
                  <w:rFonts w:ascii="Calibri" w:hAnsi="Calibri" w:cs="Calibri"/>
                  <w:sz w:val="18"/>
                  <w:color w:val="1155CC"/>
                  <w:u w:val="single"/>
                </w:rPr>
                <w:t xml:space="preserve">https://link.springer.com/article/10.1186/s12876-020-01267-2</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Waist circumference (central obesity)</w:t>
            </w:r>
          </w:p>
        </w:tc>
        <w:tc>
          <w:tcPr>
            <w:tcW w:type="dxa" w:w="1655"/>
            <w:vAlign w:val="top"/>
          </w:tcPr>
          <w:p>
            <w:pPr>
              <w:spacing w:after="40" w:before="0" w:line="259" w:lineRule="auto"/>
            </w:pPr>
            <w:r>
              <w:rPr>
                <w:rFonts w:ascii="Calibri" w:hAnsi="Calibri"/>
                <w:b w:val="0"/>
                <w:i w:val="0"/>
                <w:color w:val="212121"/>
                <w:sz w:val="19"/>
              </w:rPr>
              <w:t>Indian adults</w:t>
            </w:r>
          </w:p>
        </w:tc>
        <w:tc>
          <w:tcPr>
            <w:tcW w:type="dxa" w:w="1512"/>
            <w:vAlign w:val="top"/>
          </w:tcPr>
          <w:p>
            <w:pPr>
              <w:spacing w:after="40" w:before="0" w:line="259" w:lineRule="auto"/>
            </w:pPr>
            <w:r>
              <w:rPr>
                <w:rFonts w:ascii="Calibri" w:hAnsi="Calibri"/>
                <w:b w:val="0"/>
                <w:i w:val="0"/>
                <w:color w:val="212121"/>
                <w:sz w:val="19"/>
              </w:rPr>
              <w:t>M &lt; 90 cm; F &lt; 80 cm</w:t>
            </w:r>
          </w:p>
        </w:tc>
        <w:tc>
          <w:tcPr>
            <w:tcW w:type="dxa" w:w="1512"/>
            <w:vAlign w:val="top"/>
          </w:tcPr>
          <w:p>
            <w:pPr>
              <w:spacing w:after="40" w:before="0" w:line="259" w:lineRule="auto"/>
            </w:pPr>
            <w:r>
              <w:rPr>
                <w:rFonts w:ascii="Calibri" w:hAnsi="Calibri"/>
                <w:b w:val="0"/>
                <w:i w:val="0"/>
                <w:color w:val="212121"/>
                <w:sz w:val="19"/>
              </w:rPr>
              <w:t>M ≥ 90 cm; F ≥ 80 cm</w:t>
            </w:r>
          </w:p>
        </w:tc>
        <w:tc>
          <w:tcPr>
            <w:tcW w:type="dxa" w:w="1468"/>
            <w:vAlign w:val="top"/>
          </w:tcPr>
          <w:p>
            <w:pPr>
              <w:spacing w:after="60" w:line="259" w:lineRule="auto"/>
            </w:pPr>
            <w:r>
              <w:rPr>
                <w:rFonts w:ascii="Calibri" w:hAnsi="Calibri"/>
                <w:b w:val="0"/>
                <w:i w:val="0"/>
                <w:color w:val="212121"/>
                <w:sz w:val="19"/>
              </w:rPr>
              <w:t>Central obesity independently raises BE risk (adjusted OR ~2.79)</w:t>
            </w:r>
          </w:p>
          <w:p>
            <w:pPr>
              <w:spacing w:after="40" w:line="252" w:lineRule="auto"/>
            </w:pPr>
            <w:hyperlink r:id="rId13">
              <w:r>
                <w:rPr>
                  <w:rFonts w:ascii="Calibri" w:hAnsi="Calibri" w:cs="Calibri"/>
                  <w:sz w:val="18"/>
                  <w:color w:val="1155CC"/>
                  <w:u w:val="single"/>
                </w:rPr>
                <w:t xml:space="preserve">https://journals.plos.org/plosone/article?id=10.1371/journal.pone.0167815</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Waist-hip ratio</w:t>
            </w:r>
          </w:p>
        </w:tc>
        <w:tc>
          <w:tcPr>
            <w:tcW w:type="dxa" w:w="1655"/>
            <w:vAlign w:val="top"/>
          </w:tcPr>
          <w:p>
            <w:pPr>
              <w:spacing w:after="40" w:before="0" w:line="259" w:lineRule="auto"/>
            </w:pPr>
            <w:r>
              <w:rPr>
                <w:rFonts w:ascii="Calibri" w:hAnsi="Calibri"/>
                <w:b w:val="0"/>
                <w:i w:val="0"/>
                <w:color w:val="212121"/>
                <w:sz w:val="19"/>
              </w:rPr>
              <w:t>Adults with abdominal obesity</w:t>
            </w:r>
          </w:p>
        </w:tc>
        <w:tc>
          <w:tcPr>
            <w:tcW w:type="dxa" w:w="1512"/>
            <w:vAlign w:val="top"/>
          </w:tcPr>
          <w:p>
            <w:pPr>
              <w:spacing w:after="40" w:before="0" w:line="259" w:lineRule="auto"/>
            </w:pPr>
            <w:r>
              <w:rPr>
                <w:rFonts w:ascii="Calibri" w:hAnsi="Calibri"/>
                <w:b w:val="0"/>
                <w:i w:val="0"/>
                <w:color w:val="212121"/>
                <w:sz w:val="19"/>
              </w:rPr>
              <w:t>M &lt; 0.90; F &lt; 0.85</w:t>
            </w:r>
          </w:p>
        </w:tc>
        <w:tc>
          <w:tcPr>
            <w:tcW w:type="dxa" w:w="1512"/>
            <w:vAlign w:val="top"/>
          </w:tcPr>
          <w:p>
            <w:pPr>
              <w:spacing w:after="40" w:before="0" w:line="259" w:lineRule="auto"/>
            </w:pPr>
            <w:r>
              <w:rPr>
                <w:rFonts w:ascii="Calibri" w:hAnsi="Calibri"/>
                <w:b w:val="0"/>
                <w:i w:val="0"/>
                <w:color w:val="212121"/>
                <w:sz w:val="19"/>
              </w:rPr>
              <w:t>M ≥ 0.90; F ≥ 0.85</w:t>
            </w:r>
          </w:p>
        </w:tc>
        <w:tc>
          <w:tcPr>
            <w:tcW w:type="dxa" w:w="1468"/>
            <w:vAlign w:val="top"/>
          </w:tcPr>
          <w:p>
            <w:pPr>
              <w:spacing w:after="40" w:before="0" w:line="259" w:lineRule="auto"/>
            </w:pPr>
            <w:r>
              <w:rPr>
                <w:rFonts w:ascii="Calibri" w:hAnsi="Calibri"/>
                <w:b w:val="0"/>
                <w:i w:val="0"/>
                <w:color w:val="212121"/>
                <w:sz w:val="19"/>
              </w:rPr>
              <w:t>Visceral fat distribution matters more than overall weight for reflux</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Dietary fibre (g/day)</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25-35 g/day</w:t>
            </w:r>
          </w:p>
        </w:tc>
        <w:tc>
          <w:tcPr>
            <w:tcW w:type="dxa" w:w="1512"/>
            <w:vAlign w:val="top"/>
          </w:tcPr>
          <w:p>
            <w:pPr>
              <w:spacing w:after="40" w:before="0" w:line="259" w:lineRule="auto"/>
            </w:pPr>
            <w:r>
              <w:rPr>
                <w:rFonts w:ascii="Calibri" w:hAnsi="Calibri"/>
                <w:b w:val="0"/>
                <w:i w:val="0"/>
                <w:color w:val="212121"/>
                <w:sz w:val="19"/>
              </w:rPr>
              <w:t>&lt; 20 g/day</w:t>
            </w:r>
          </w:p>
        </w:tc>
        <w:tc>
          <w:tcPr>
            <w:tcW w:type="dxa" w:w="1468"/>
            <w:vAlign w:val="top"/>
          </w:tcPr>
          <w:p>
            <w:pPr>
              <w:spacing w:after="60" w:line="259" w:lineRule="auto"/>
            </w:pPr>
            <w:r>
              <w:rPr>
                <w:rFonts w:ascii="Calibri" w:hAnsi="Calibri"/>
                <w:b w:val="0"/>
                <w:i w:val="0"/>
                <w:color w:val="212121"/>
                <w:sz w:val="19"/>
              </w:rPr>
              <w:t>Higher fibre and fruit/vegetable intake is associated with lower BE risk</w:t>
            </w:r>
          </w:p>
          <w:p>
            <w:pPr>
              <w:spacing w:after="40" w:line="252" w:lineRule="auto"/>
            </w:pPr>
            <w:hyperlink r:id="rId15">
              <w:r>
                <w:rPr>
                  <w:rFonts w:ascii="Calibri" w:hAnsi="Calibri" w:cs="Calibri"/>
                  <w:sz w:val="18"/>
                  <w:color w:val="1155CC"/>
                  <w:u w:val="single"/>
                </w:rPr>
                <w:t xml:space="preserve">https://www.esocan.org/diet-and-risk-of-barretts/</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Fruit &amp; vegetable servings/day</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 5 servings/day</w:t>
            </w:r>
          </w:p>
        </w:tc>
        <w:tc>
          <w:tcPr>
            <w:tcW w:type="dxa" w:w="1512"/>
            <w:vAlign w:val="top"/>
          </w:tcPr>
          <w:p>
            <w:pPr>
              <w:spacing w:after="40" w:before="0" w:line="259" w:lineRule="auto"/>
            </w:pPr>
            <w:r>
              <w:rPr>
                <w:rFonts w:ascii="Calibri" w:hAnsi="Calibri"/>
                <w:b w:val="0"/>
                <w:i w:val="0"/>
                <w:color w:val="212121"/>
                <w:sz w:val="19"/>
              </w:rPr>
              <w:t>&lt; 2 servings/day</w:t>
            </w:r>
          </w:p>
        </w:tc>
        <w:tc>
          <w:tcPr>
            <w:tcW w:type="dxa" w:w="1468"/>
            <w:vAlign w:val="top"/>
          </w:tcPr>
          <w:p>
            <w:pPr>
              <w:spacing w:after="60" w:line="259" w:lineRule="auto"/>
            </w:pPr>
            <w:r>
              <w:rPr>
                <w:rFonts w:ascii="Calibri" w:hAnsi="Calibri"/>
                <w:b w:val="0"/>
                <w:i w:val="0"/>
                <w:color w:val="212121"/>
                <w:sz w:val="19"/>
              </w:rPr>
              <w:t>Fruit and leafy vegetables associated with ~40% lower BE risk</w:t>
            </w:r>
          </w:p>
          <w:p>
            <w:pPr>
              <w:spacing w:after="40" w:line="252" w:lineRule="auto"/>
            </w:pPr>
            <w:hyperlink r:id="rId15">
              <w:r>
                <w:rPr>
                  <w:rFonts w:ascii="Calibri" w:hAnsi="Calibri" w:cs="Calibri"/>
                  <w:sz w:val="18"/>
                  <w:color w:val="1155CC"/>
                  <w:u w:val="single"/>
                </w:rPr>
                <w:t xml:space="preserve">https://www.esocan.org/diet-and-risk-of-barretts/</w:t>
              </w:r>
            </w:hyperlink>
          </w:p>
        </w:tc>
      </w:tr>
      <w:tr>
        <w:trPr>
          <w:cantSplit/>
        </w:trPr>
        <w:tc>
          <w:tcPr>
            <w:tcW w:type="dxa" w:w="1512"/>
            <w:vMerge w:val="restart"/>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Dinner-to-bed interval (hours)</w:t>
            </w:r>
          </w:p>
        </w:tc>
        <w:tc>
          <w:tcPr>
            <w:tcW w:type="dxa" w:w="1655"/>
            <w:vAlign w:val="top"/>
          </w:tcPr>
          <w:p>
            <w:pPr>
              <w:spacing w:after="40" w:before="0" w:line="259" w:lineRule="auto"/>
            </w:pPr>
            <w:r>
              <w:rPr>
                <w:rFonts w:ascii="Calibri" w:hAnsi="Calibri"/>
                <w:b w:val="0"/>
                <w:i w:val="0"/>
                <w:color w:val="212121"/>
                <w:sz w:val="19"/>
              </w:rPr>
              <w:t>GERD/BE patients</w:t>
            </w:r>
          </w:p>
        </w:tc>
        <w:tc>
          <w:tcPr>
            <w:tcW w:type="dxa" w:w="1512"/>
            <w:vAlign w:val="top"/>
          </w:tcPr>
          <w:p>
            <w:pPr>
              <w:spacing w:after="40" w:before="0" w:line="259" w:lineRule="auto"/>
            </w:pPr>
            <w:r>
              <w:rPr>
                <w:rFonts w:ascii="Calibri" w:hAnsi="Calibri"/>
                <w:b w:val="0"/>
                <w:i w:val="0"/>
                <w:color w:val="212121"/>
                <w:sz w:val="19"/>
              </w:rPr>
              <w:t>≥ 3 hours before lying down</w:t>
            </w:r>
          </w:p>
        </w:tc>
        <w:tc>
          <w:tcPr>
            <w:tcW w:type="dxa" w:w="1512"/>
            <w:vAlign w:val="top"/>
          </w:tcPr>
          <w:p>
            <w:pPr>
              <w:spacing w:after="40" w:before="0" w:line="259" w:lineRule="auto"/>
            </w:pPr>
            <w:r>
              <w:rPr>
                <w:rFonts w:ascii="Calibri" w:hAnsi="Calibri"/>
                <w:b w:val="0"/>
                <w:i w:val="0"/>
                <w:color w:val="212121"/>
                <w:sz w:val="19"/>
              </w:rPr>
              <w:t>&lt; 2 hours (late-night eating)</w:t>
            </w:r>
          </w:p>
        </w:tc>
        <w:tc>
          <w:tcPr>
            <w:tcW w:type="dxa" w:w="1468"/>
            <w:vAlign w:val="top"/>
          </w:tcPr>
          <w:p>
            <w:pPr>
              <w:spacing w:after="40" w:before="0" w:line="259" w:lineRule="auto"/>
            </w:pPr>
            <w:r>
              <w:rPr>
                <w:rFonts w:ascii="Calibri" w:hAnsi="Calibri"/>
                <w:b w:val="0"/>
                <w:i w:val="0"/>
                <w:color w:val="212121"/>
                <w:sz w:val="19"/>
              </w:rPr>
              <w:t>Short intervals increase nocturnal acid exposure</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Head-of-bed elevation</w:t>
            </w:r>
          </w:p>
        </w:tc>
        <w:tc>
          <w:tcPr>
            <w:tcW w:type="dxa" w:w="1655"/>
            <w:vAlign w:val="top"/>
          </w:tcPr>
          <w:p>
            <w:pPr>
              <w:spacing w:after="40" w:before="0" w:line="259" w:lineRule="auto"/>
            </w:pPr>
            <w:r>
              <w:rPr>
                <w:rFonts w:ascii="Calibri" w:hAnsi="Calibri"/>
                <w:b w:val="0"/>
                <w:i w:val="0"/>
                <w:color w:val="212121"/>
                <w:sz w:val="19"/>
              </w:rPr>
              <w:t>Nocturnal-reflux patients</w:t>
            </w:r>
          </w:p>
        </w:tc>
        <w:tc>
          <w:tcPr>
            <w:tcW w:type="dxa" w:w="1512"/>
            <w:vAlign w:val="top"/>
          </w:tcPr>
          <w:p>
            <w:pPr>
              <w:spacing w:after="40" w:before="0" w:line="259" w:lineRule="auto"/>
            </w:pPr>
            <w:r>
              <w:rPr>
                <w:rFonts w:ascii="Calibri" w:hAnsi="Calibri"/>
                <w:b w:val="0"/>
                <w:i w:val="0"/>
                <w:color w:val="212121"/>
                <w:sz w:val="19"/>
              </w:rPr>
              <w:t>Elevated 15-20 cm (6-8 inches)</w:t>
            </w:r>
          </w:p>
        </w:tc>
        <w:tc>
          <w:tcPr>
            <w:tcW w:type="dxa" w:w="1512"/>
            <w:vAlign w:val="top"/>
          </w:tcPr>
          <w:p>
            <w:pPr>
              <w:spacing w:after="40" w:before="0" w:line="259" w:lineRule="auto"/>
            </w:pPr>
            <w:r>
              <w:rPr>
                <w:rFonts w:ascii="Calibri" w:hAnsi="Calibri"/>
                <w:b w:val="0"/>
                <w:i w:val="0"/>
                <w:color w:val="212121"/>
                <w:sz w:val="19"/>
              </w:rPr>
              <w:t>Flat / no elevation</w:t>
            </w:r>
          </w:p>
        </w:tc>
        <w:tc>
          <w:tcPr>
            <w:tcW w:type="dxa" w:w="1468"/>
            <w:vAlign w:val="top"/>
          </w:tcPr>
          <w:p>
            <w:pPr>
              <w:spacing w:after="40" w:before="0" w:line="259" w:lineRule="auto"/>
            </w:pPr>
            <w:r>
              <w:rPr>
                <w:rFonts w:ascii="Calibri" w:hAnsi="Calibri"/>
                <w:b w:val="0"/>
                <w:i w:val="0"/>
                <w:color w:val="212121"/>
                <w:sz w:val="19"/>
              </w:rPr>
              <w:t>Elevation reduces supine acid contact time</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Cigarettes/bidis per day</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0 per day</w:t>
            </w:r>
          </w:p>
        </w:tc>
        <w:tc>
          <w:tcPr>
            <w:tcW w:type="dxa" w:w="1512"/>
            <w:vAlign w:val="top"/>
          </w:tcPr>
          <w:p>
            <w:pPr>
              <w:spacing w:after="40" w:before="0" w:line="259" w:lineRule="auto"/>
            </w:pPr>
            <w:r>
              <w:rPr>
                <w:rFonts w:ascii="Calibri" w:hAnsi="Calibri"/>
                <w:b w:val="0"/>
                <w:i w:val="0"/>
                <w:color w:val="212121"/>
                <w:sz w:val="19"/>
              </w:rPr>
              <w:t>≥ 1 per day</w:t>
            </w:r>
          </w:p>
        </w:tc>
        <w:tc>
          <w:tcPr>
            <w:tcW w:type="dxa" w:w="1468"/>
            <w:vAlign w:val="top"/>
          </w:tcPr>
          <w:p>
            <w:pPr>
              <w:spacing w:after="60" w:line="259" w:lineRule="auto"/>
            </w:pPr>
            <w:r>
              <w:rPr>
                <w:rFonts w:ascii="Calibri" w:hAnsi="Calibri"/>
                <w:b w:val="0"/>
                <w:i w:val="0"/>
                <w:color w:val="212121"/>
                <w:sz w:val="19"/>
              </w:rPr>
              <w:t>Any tobacco use raises BE risk (OR ~1.42) and speeds progression</w:t>
            </w:r>
          </w:p>
          <w:p>
            <w:pPr>
              <w:spacing w:after="40" w:line="252" w:lineRule="auto"/>
            </w:pPr>
            <w:hyperlink r:id="rId9">
              <w:r>
                <w:rPr>
                  <w:rFonts w:ascii="Calibri" w:hAnsi="Calibri" w:cs="Calibri"/>
                  <w:sz w:val="18"/>
                  <w:color w:val="1155CC"/>
                  <w:u w:val="single"/>
                </w:rPr>
                <w:t xml:space="preserve">https://www.aafp.org/pubs/afp/issues/2022/1000/barrett-esophagus.html</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 (drinks/week)</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 7 drinks/week (ideally none)</w:t>
            </w:r>
          </w:p>
        </w:tc>
        <w:tc>
          <w:tcPr>
            <w:tcW w:type="dxa" w:w="1512"/>
            <w:vAlign w:val="top"/>
          </w:tcPr>
          <w:p>
            <w:pPr>
              <w:spacing w:after="40" w:before="0" w:line="259" w:lineRule="auto"/>
            </w:pPr>
            <w:r>
              <w:rPr>
                <w:rFonts w:ascii="Calibri" w:hAnsi="Calibri"/>
                <w:b w:val="0"/>
                <w:i w:val="0"/>
                <w:color w:val="212121"/>
                <w:sz w:val="19"/>
              </w:rPr>
              <w:t>Heavy spirit/beer use</w:t>
            </w:r>
          </w:p>
        </w:tc>
        <w:tc>
          <w:tcPr>
            <w:tcW w:type="dxa" w:w="1468"/>
            <w:vAlign w:val="top"/>
          </w:tcPr>
          <w:p>
            <w:pPr>
              <w:spacing w:after="40" w:before="0" w:line="259" w:lineRule="auto"/>
            </w:pPr>
            <w:r>
              <w:rPr>
                <w:rFonts w:ascii="Calibri" w:hAnsi="Calibri"/>
                <w:b w:val="0"/>
                <w:i w:val="0"/>
                <w:color w:val="212121"/>
                <w:sz w:val="19"/>
              </w:rPr>
              <w:t>Excess alcohol lowers sphincter tone and worsens reflux</w:t>
            </w:r>
          </w:p>
        </w:tc>
      </w:tr>
      <w:tr>
        <w:trPr>
          <w:cantSplit/>
        </w:trPr>
        <w:tc>
          <w:tcPr>
            <w:tcW w:type="dxa" w:w="1512"/>
            <w:vAlign w:val="center"/>
          </w:tcPr>
          <w:p>
            <w:pPr>
              <w:spacing w:after="40"/>
            </w:pPr>
            <w:r>
              <w:rPr>
                <w:rFonts w:ascii="Calibri" w:hAnsi="Calibri"/>
                <w:b w:val="0"/>
                <w:i w:val="0"/>
                <w:color w:val="212121"/>
                <w:sz w:val="19"/>
              </w:rPr>
              <w:t>Caffeine</w:t>
            </w:r>
          </w:p>
        </w:tc>
        <w:tc>
          <w:tcPr>
            <w:tcW w:type="dxa" w:w="1944"/>
            <w:vAlign w:val="top"/>
          </w:tcPr>
          <w:p>
            <w:pPr>
              <w:spacing w:after="40" w:before="0" w:line="259" w:lineRule="auto"/>
            </w:pPr>
            <w:r>
              <w:rPr>
                <w:rFonts w:ascii="Calibri" w:hAnsi="Calibri"/>
                <w:b w:val="0"/>
                <w:i w:val="0"/>
                <w:color w:val="212121"/>
                <w:sz w:val="19"/>
              </w:rPr>
              <w:t>Coffee/tea intake (cups/day)</w:t>
            </w:r>
          </w:p>
        </w:tc>
        <w:tc>
          <w:tcPr>
            <w:tcW w:type="dxa" w:w="1655"/>
            <w:vAlign w:val="top"/>
          </w:tcPr>
          <w:p>
            <w:pPr>
              <w:spacing w:after="40" w:before="0" w:line="259" w:lineRule="auto"/>
            </w:pPr>
            <w:r>
              <w:rPr>
                <w:rFonts w:ascii="Calibri" w:hAnsi="Calibri"/>
                <w:b w:val="0"/>
                <w:i w:val="0"/>
                <w:color w:val="212121"/>
                <w:sz w:val="19"/>
              </w:rPr>
              <w:t>Adults with reflux</w:t>
            </w:r>
          </w:p>
        </w:tc>
        <w:tc>
          <w:tcPr>
            <w:tcW w:type="dxa" w:w="1512"/>
            <w:vAlign w:val="top"/>
          </w:tcPr>
          <w:p>
            <w:pPr>
              <w:spacing w:after="40" w:before="0" w:line="259" w:lineRule="auto"/>
            </w:pPr>
            <w:r>
              <w:rPr>
                <w:rFonts w:ascii="Calibri" w:hAnsi="Calibri"/>
                <w:b w:val="0"/>
                <w:i w:val="0"/>
                <w:color w:val="212121"/>
                <w:sz w:val="19"/>
              </w:rPr>
              <w:t>≤ 2 cups/day</w:t>
            </w:r>
          </w:p>
        </w:tc>
        <w:tc>
          <w:tcPr>
            <w:tcW w:type="dxa" w:w="1512"/>
            <w:vAlign w:val="top"/>
          </w:tcPr>
          <w:p>
            <w:pPr>
              <w:spacing w:after="40" w:before="0" w:line="259" w:lineRule="auto"/>
            </w:pPr>
            <w:r>
              <w:rPr>
                <w:rFonts w:ascii="Calibri" w:hAnsi="Calibri"/>
                <w:b w:val="0"/>
                <w:i w:val="0"/>
                <w:color w:val="212121"/>
                <w:sz w:val="19"/>
              </w:rPr>
              <w:t>&gt; 3-4 cups/day</w:t>
            </w:r>
          </w:p>
        </w:tc>
        <w:tc>
          <w:tcPr>
            <w:tcW w:type="dxa" w:w="1468"/>
            <w:vAlign w:val="top"/>
          </w:tcPr>
          <w:p>
            <w:pPr>
              <w:spacing w:after="60" w:line="259" w:lineRule="auto"/>
            </w:pPr>
            <w:r>
              <w:rPr>
                <w:rFonts w:ascii="Calibri" w:hAnsi="Calibri"/>
                <w:b w:val="0"/>
                <w:i w:val="0"/>
                <w:color w:val="212121"/>
                <w:sz w:val="19"/>
              </w:rPr>
              <w:t>Caffeine can relax the sphincter and provoke reflux</w:t>
            </w:r>
          </w:p>
          <w:p>
            <w:pPr>
              <w:spacing w:after="40" w:line="252" w:lineRule="auto"/>
            </w:pPr>
            <w:hyperlink r:id="rId11">
              <w:r>
                <w:rPr>
                  <w:rFonts w:ascii="Calibri" w:hAnsi="Calibri" w:cs="Calibri"/>
                  <w:sz w:val="18"/>
                  <w:color w:val="1155CC"/>
                  <w:u w:val="single"/>
                </w:rPr>
                <w:t xml:space="preserve">https://link.springer.com/article/10.1007/s12664-020-01104-0</w:t>
              </w:r>
            </w:hyperlink>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Ambulatory acid exposure time (24-h pH)</w:t>
            </w:r>
          </w:p>
        </w:tc>
        <w:tc>
          <w:tcPr>
            <w:tcW w:type="dxa" w:w="1655"/>
            <w:vAlign w:val="top"/>
          </w:tcPr>
          <w:p>
            <w:pPr>
              <w:spacing w:after="40" w:before="0" w:line="259" w:lineRule="auto"/>
            </w:pPr>
            <w:r>
              <w:rPr>
                <w:rFonts w:ascii="Calibri" w:hAnsi="Calibri"/>
                <w:b w:val="0"/>
                <w:i w:val="0"/>
                <w:color w:val="212121"/>
                <w:sz w:val="19"/>
              </w:rPr>
              <w:t>GERD/BE patients</w:t>
            </w:r>
          </w:p>
        </w:tc>
        <w:tc>
          <w:tcPr>
            <w:tcW w:type="dxa" w:w="1512"/>
            <w:vAlign w:val="top"/>
          </w:tcPr>
          <w:p>
            <w:pPr>
              <w:spacing w:after="40" w:before="0" w:line="259" w:lineRule="auto"/>
            </w:pPr>
            <w:r>
              <w:rPr>
                <w:rFonts w:ascii="Calibri" w:hAnsi="Calibri"/>
                <w:b w:val="0"/>
                <w:i w:val="0"/>
                <w:color w:val="212121"/>
                <w:sz w:val="19"/>
              </w:rPr>
              <w:t>&lt; 4% of 24 h with pH &lt; 4</w:t>
            </w:r>
          </w:p>
        </w:tc>
        <w:tc>
          <w:tcPr>
            <w:tcW w:type="dxa" w:w="1512"/>
            <w:vAlign w:val="top"/>
          </w:tcPr>
          <w:p>
            <w:pPr>
              <w:spacing w:after="40" w:before="0" w:line="259" w:lineRule="auto"/>
            </w:pPr>
            <w:r>
              <w:rPr>
                <w:rFonts w:ascii="Calibri" w:hAnsi="Calibri"/>
                <w:b w:val="0"/>
                <w:i w:val="0"/>
                <w:color w:val="212121"/>
                <w:sz w:val="19"/>
              </w:rPr>
              <w:t>&gt; 6% of 24 h with pH &lt; 4</w:t>
            </w:r>
          </w:p>
        </w:tc>
        <w:tc>
          <w:tcPr>
            <w:tcW w:type="dxa" w:w="1468"/>
            <w:vAlign w:val="top"/>
          </w:tcPr>
          <w:p>
            <w:pPr>
              <w:spacing w:after="40" w:before="0" w:line="259" w:lineRule="auto"/>
            </w:pPr>
            <w:r>
              <w:rPr>
                <w:rFonts w:ascii="Calibri" w:hAnsi="Calibri"/>
                <w:b w:val="0"/>
                <w:i w:val="0"/>
                <w:color w:val="212121"/>
                <w:sz w:val="19"/>
              </w:rPr>
              <w:t>Objective reflux burden; also reported as DeMeester score (&lt; 14.7 normal)</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Endoscopy</w:t>
            </w:r>
          </w:p>
        </w:tc>
        <w:tc>
          <w:tcPr>
            <w:tcW w:type="dxa" w:w="1036"/>
            <w:vAlign w:val="top"/>
          </w:tcPr>
          <w:p>
            <w:pPr>
              <w:spacing w:after="40" w:before="0" w:line="259" w:lineRule="auto"/>
            </w:pPr>
            <w:r>
              <w:rPr>
                <w:rFonts w:ascii="Calibri" w:hAnsi="Calibri"/>
                <w:b w:val="0"/>
                <w:i w:val="0"/>
                <w:color w:val="212121"/>
                <w:sz w:val="16"/>
              </w:rPr>
              <w:t>Length of columnar mucosa above GEJ (Prague C&amp;M)</w:t>
            </w:r>
          </w:p>
        </w:tc>
        <w:tc>
          <w:tcPr>
            <w:tcW w:type="dxa" w:w="892"/>
            <w:vAlign w:val="top"/>
          </w:tcPr>
          <w:p>
            <w:pPr>
              <w:spacing w:after="40" w:before="0" w:line="259" w:lineRule="auto"/>
            </w:pPr>
            <w:r>
              <w:rPr>
                <w:rFonts w:ascii="Calibri" w:hAnsi="Calibri"/>
                <w:b w:val="0"/>
                <w:i w:val="0"/>
                <w:color w:val="212121"/>
                <w:sz w:val="16"/>
              </w:rPr>
              <w:t>Upper GI endoscopy (EGD)</w:t>
            </w:r>
          </w:p>
        </w:tc>
        <w:tc>
          <w:tcPr>
            <w:tcW w:type="dxa" w:w="950"/>
            <w:vAlign w:val="top"/>
          </w:tcPr>
          <w:p>
            <w:pPr>
              <w:spacing w:after="40" w:before="0" w:line="259" w:lineRule="auto"/>
            </w:pPr>
            <w:r>
              <w:rPr>
                <w:rFonts w:ascii="Calibri" w:hAnsi="Calibri"/>
                <w:b w:val="0"/>
                <w:i w:val="0"/>
                <w:color w:val="212121"/>
                <w:sz w:val="16"/>
              </w:rPr>
              <w:t>Squamocolumnar junction at GEJ; &lt; 1 cm columnar</w:t>
            </w:r>
          </w:p>
        </w:tc>
        <w:tc>
          <w:tcPr>
            <w:tcW w:type="dxa" w:w="950"/>
            <w:vAlign w:val="top"/>
          </w:tcPr>
          <w:p>
            <w:pPr>
              <w:spacing w:after="40" w:before="0" w:line="259" w:lineRule="auto"/>
            </w:pPr>
            <w:r>
              <w:rPr>
                <w:rFonts w:ascii="Calibri" w:hAnsi="Calibri"/>
                <w:b w:val="0"/>
                <w:i w:val="0"/>
                <w:color w:val="212121"/>
                <w:sz w:val="16"/>
              </w:rPr>
              <w:t>Salmon-coloured columnar mucosa ≥ 1 cm above GEJ</w:t>
            </w:r>
          </w:p>
        </w:tc>
        <w:tc>
          <w:tcPr>
            <w:tcW w:type="dxa" w:w="1036"/>
            <w:vAlign w:val="top"/>
          </w:tcPr>
          <w:p>
            <w:pPr>
              <w:spacing w:after="40" w:before="0" w:line="259" w:lineRule="auto"/>
            </w:pPr>
            <w:r>
              <w:rPr>
                <w:rFonts w:ascii="Calibri" w:hAnsi="Calibri"/>
                <w:b w:val="0"/>
                <w:i w:val="0"/>
                <w:color w:val="212121"/>
                <w:sz w:val="16"/>
              </w:rPr>
              <w:t>Identifies and measures the Barrett's segment; guides biopsy and surveillance</w:t>
            </w:r>
          </w:p>
        </w:tc>
        <w:tc>
          <w:tcPr>
            <w:tcW w:type="dxa" w:w="1036"/>
            <w:vAlign w:val="top"/>
          </w:tcPr>
          <w:p>
            <w:pPr>
              <w:spacing w:after="40" w:before="0" w:line="259" w:lineRule="auto"/>
            </w:pPr>
            <w:r>
              <w:rPr>
                <w:rFonts w:ascii="Calibri" w:hAnsi="Calibri"/>
                <w:b w:val="0"/>
                <w:i w:val="0"/>
                <w:color w:val="212121"/>
                <w:sz w:val="16"/>
              </w:rPr>
              <w:t>Chronic GERD, males &gt;50, central obesity, family history</w:t>
            </w:r>
          </w:p>
        </w:tc>
        <w:tc>
          <w:tcPr>
            <w:tcW w:type="dxa" w:w="720"/>
            <w:vAlign w:val="top"/>
          </w:tcPr>
          <w:p>
            <w:pPr>
              <w:spacing w:after="40" w:before="0" w:line="259" w:lineRule="auto"/>
            </w:pPr>
            <w:r>
              <w:rPr>
                <w:rFonts w:ascii="Calibri" w:hAnsi="Calibri"/>
                <w:b w:val="0"/>
                <w:i w:val="0"/>
                <w:color w:val="212121"/>
                <w:sz w:val="16"/>
              </w:rPr>
              <w:t>Food; 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Use Prague C&amp;M; high-definition/white-light ± chromoendoscopy improves detection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Histopathology</w:t>
            </w:r>
          </w:p>
        </w:tc>
        <w:tc>
          <w:tcPr>
            <w:tcW w:type="dxa" w:w="1036"/>
            <w:vAlign w:val="top"/>
          </w:tcPr>
          <w:p>
            <w:pPr>
              <w:spacing w:after="40" w:before="0" w:line="259" w:lineRule="auto"/>
            </w:pPr>
            <w:r>
              <w:rPr>
                <w:rFonts w:ascii="Calibri" w:hAnsi="Calibri"/>
                <w:b w:val="0"/>
                <w:i w:val="0"/>
                <w:color w:val="212121"/>
                <w:sz w:val="16"/>
              </w:rPr>
              <w:t>Intestinal metaplasia (goblet cells) &amp; dysplasia grade</w:t>
            </w:r>
          </w:p>
        </w:tc>
        <w:tc>
          <w:tcPr>
            <w:tcW w:type="dxa" w:w="892"/>
            <w:vAlign w:val="top"/>
          </w:tcPr>
          <w:p>
            <w:pPr>
              <w:spacing w:after="40" w:before="0" w:line="259" w:lineRule="auto"/>
            </w:pPr>
            <w:r>
              <w:rPr>
                <w:rFonts w:ascii="Calibri" w:hAnsi="Calibri"/>
                <w:b w:val="0"/>
                <w:i w:val="0"/>
                <w:color w:val="212121"/>
                <w:sz w:val="16"/>
              </w:rPr>
              <w:t>Targeted + Seattle-protocol biopsies</w:t>
            </w:r>
          </w:p>
        </w:tc>
        <w:tc>
          <w:tcPr>
            <w:tcW w:type="dxa" w:w="950"/>
            <w:vAlign w:val="top"/>
          </w:tcPr>
          <w:p>
            <w:pPr>
              <w:spacing w:after="40" w:before="0" w:line="259" w:lineRule="auto"/>
            </w:pPr>
            <w:r>
              <w:rPr>
                <w:rFonts w:ascii="Calibri" w:hAnsi="Calibri"/>
                <w:b w:val="0"/>
                <w:i w:val="0"/>
                <w:color w:val="212121"/>
                <w:sz w:val="16"/>
              </w:rPr>
              <w:t>Squamous epithelium; no goblet cells</w:t>
            </w:r>
          </w:p>
        </w:tc>
        <w:tc>
          <w:tcPr>
            <w:tcW w:type="dxa" w:w="950"/>
            <w:vAlign w:val="top"/>
          </w:tcPr>
          <w:p>
            <w:pPr>
              <w:spacing w:after="40" w:before="0" w:line="259" w:lineRule="auto"/>
            </w:pPr>
            <w:r>
              <w:rPr>
                <w:rFonts w:ascii="Calibri" w:hAnsi="Calibri"/>
                <w:b w:val="0"/>
                <w:i w:val="0"/>
                <w:color w:val="212121"/>
                <w:sz w:val="16"/>
              </w:rPr>
              <w:t>Goblet cells present (intestinal metaplasia) ± dysplasia</w:t>
            </w:r>
          </w:p>
        </w:tc>
        <w:tc>
          <w:tcPr>
            <w:tcW w:type="dxa" w:w="1036"/>
            <w:vAlign w:val="top"/>
          </w:tcPr>
          <w:p>
            <w:pPr>
              <w:spacing w:after="40" w:before="0" w:line="259" w:lineRule="auto"/>
            </w:pPr>
            <w:r>
              <w:rPr>
                <w:rFonts w:ascii="Calibri" w:hAnsi="Calibri"/>
                <w:b w:val="0"/>
                <w:i w:val="0"/>
                <w:color w:val="212121"/>
                <w:sz w:val="16"/>
              </w:rPr>
              <w:t>Confirms diagnosis and grades dysplasia (none/indefinite/low/high) driving management</w:t>
            </w:r>
          </w:p>
        </w:tc>
        <w:tc>
          <w:tcPr>
            <w:tcW w:type="dxa" w:w="1036"/>
            <w:vAlign w:val="top"/>
          </w:tcPr>
          <w:p>
            <w:pPr>
              <w:spacing w:after="40" w:before="0" w:line="259" w:lineRule="auto"/>
            </w:pPr>
            <w:r>
              <w:rPr>
                <w:rFonts w:ascii="Calibri" w:hAnsi="Calibri"/>
                <w:b w:val="0"/>
                <w:i w:val="0"/>
                <w:color w:val="212121"/>
                <w:sz w:val="16"/>
              </w:rPr>
              <w:t>All endoscopic BE, dysplasia surveillance</w:t>
            </w:r>
          </w:p>
        </w:tc>
        <w:tc>
          <w:tcPr>
            <w:tcW w:type="dxa" w:w="720"/>
            <w:vAlign w:val="top"/>
          </w:tcPr>
          <w:p>
            <w:pPr>
              <w:spacing w:after="40" w:before="0" w:line="259" w:lineRule="auto"/>
            </w:pPr>
            <w:r>
              <w:rPr>
                <w:rFonts w:ascii="Calibri" w:hAnsi="Calibri"/>
                <w:b w:val="0"/>
                <w:i w:val="0"/>
                <w:color w:val="212121"/>
                <w:sz w:val="16"/>
              </w:rPr>
              <w:t>Provoking factors; Smoking</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4-quadrant biopsies every 2 cm (every 1 cm if dysplasia); confirm HGD/LGD with second pathologist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Functional</w:t>
            </w:r>
          </w:p>
        </w:tc>
        <w:tc>
          <w:tcPr>
            <w:tcW w:type="dxa" w:w="1036"/>
            <w:vAlign w:val="top"/>
          </w:tcPr>
          <w:p>
            <w:pPr>
              <w:spacing w:after="40" w:before="0" w:line="259" w:lineRule="auto"/>
            </w:pPr>
            <w:r>
              <w:rPr>
                <w:rFonts w:ascii="Calibri" w:hAnsi="Calibri"/>
                <w:b w:val="0"/>
                <w:i w:val="0"/>
                <w:color w:val="212121"/>
                <w:sz w:val="16"/>
              </w:rPr>
              <w:t>Esophageal acid exposure time / DeMeester score</w:t>
            </w:r>
          </w:p>
        </w:tc>
        <w:tc>
          <w:tcPr>
            <w:tcW w:type="dxa" w:w="892"/>
            <w:vAlign w:val="top"/>
          </w:tcPr>
          <w:p>
            <w:pPr>
              <w:spacing w:after="40" w:before="0" w:line="259" w:lineRule="auto"/>
            </w:pPr>
            <w:r>
              <w:rPr>
                <w:rFonts w:ascii="Calibri" w:hAnsi="Calibri"/>
                <w:b w:val="0"/>
                <w:i w:val="0"/>
                <w:color w:val="212121"/>
                <w:sz w:val="16"/>
              </w:rPr>
              <w:t>24-h ambulatory pH-impedance monitoring</w:t>
            </w:r>
          </w:p>
        </w:tc>
        <w:tc>
          <w:tcPr>
            <w:tcW w:type="dxa" w:w="950"/>
            <w:vAlign w:val="top"/>
          </w:tcPr>
          <w:p>
            <w:pPr>
              <w:spacing w:after="40" w:before="0" w:line="259" w:lineRule="auto"/>
            </w:pPr>
            <w:r>
              <w:rPr>
                <w:rFonts w:ascii="Calibri" w:hAnsi="Calibri"/>
                <w:b w:val="0"/>
                <w:i w:val="0"/>
                <w:color w:val="212121"/>
                <w:sz w:val="16"/>
              </w:rPr>
              <w:t>Acid exposure time &lt; 4%; DeMeester &lt; 14.7</w:t>
            </w:r>
          </w:p>
        </w:tc>
        <w:tc>
          <w:tcPr>
            <w:tcW w:type="dxa" w:w="950"/>
            <w:vAlign w:val="top"/>
          </w:tcPr>
          <w:p>
            <w:pPr>
              <w:spacing w:after="40" w:before="0" w:line="259" w:lineRule="auto"/>
            </w:pPr>
            <w:r>
              <w:rPr>
                <w:rFonts w:ascii="Calibri" w:hAnsi="Calibri"/>
                <w:b w:val="0"/>
                <w:i w:val="0"/>
                <w:color w:val="212121"/>
                <w:sz w:val="16"/>
              </w:rPr>
              <w:t>Acid exposure time &gt; 6%; DeMeester &gt; 14.7</w:t>
            </w:r>
          </w:p>
        </w:tc>
        <w:tc>
          <w:tcPr>
            <w:tcW w:type="dxa" w:w="1036"/>
            <w:vAlign w:val="top"/>
          </w:tcPr>
          <w:p>
            <w:pPr>
              <w:spacing w:after="40" w:before="0" w:line="259" w:lineRule="auto"/>
            </w:pPr>
            <w:r>
              <w:rPr>
                <w:rFonts w:ascii="Calibri" w:hAnsi="Calibri"/>
                <w:b w:val="0"/>
                <w:i w:val="0"/>
                <w:color w:val="212121"/>
                <w:sz w:val="16"/>
              </w:rPr>
              <w:t>Quantifies the reflux burden driving metaplasia; useful in refractory/atypical cases</w:t>
            </w:r>
          </w:p>
        </w:tc>
        <w:tc>
          <w:tcPr>
            <w:tcW w:type="dxa" w:w="1036"/>
            <w:vAlign w:val="top"/>
          </w:tcPr>
          <w:p>
            <w:pPr>
              <w:spacing w:after="40" w:before="0" w:line="259" w:lineRule="auto"/>
            </w:pPr>
            <w:r>
              <w:rPr>
                <w:rFonts w:ascii="Calibri" w:hAnsi="Calibri"/>
                <w:b w:val="0"/>
                <w:i w:val="0"/>
                <w:color w:val="212121"/>
                <w:sz w:val="16"/>
              </w:rPr>
              <w:t>Refractory GERD, pre-surgical evaluation</w:t>
            </w:r>
          </w:p>
        </w:tc>
        <w:tc>
          <w:tcPr>
            <w:tcW w:type="dxa" w:w="720"/>
            <w:vAlign w:val="top"/>
          </w:tcPr>
          <w:p>
            <w:pPr>
              <w:spacing w:after="40" w:before="0" w:line="259" w:lineRule="auto"/>
            </w:pPr>
            <w:r>
              <w:rPr>
                <w:rFonts w:ascii="Calibri" w:hAnsi="Calibri"/>
                <w:b w:val="0"/>
                <w:i w:val="0"/>
                <w:color w:val="212121"/>
                <w:sz w:val="16"/>
              </w:rPr>
              <w:t>Provoking factors; Posture</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Performed off PPI to confirm pathological reflux</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Functional</w:t>
            </w:r>
          </w:p>
        </w:tc>
        <w:tc>
          <w:tcPr>
            <w:tcW w:type="dxa" w:w="1036"/>
            <w:vAlign w:val="top"/>
          </w:tcPr>
          <w:p>
            <w:pPr>
              <w:spacing w:after="40" w:before="0" w:line="259" w:lineRule="auto"/>
            </w:pPr>
            <w:r>
              <w:rPr>
                <w:rFonts w:ascii="Calibri" w:hAnsi="Calibri"/>
                <w:b w:val="0"/>
                <w:i w:val="0"/>
                <w:color w:val="212121"/>
                <w:sz w:val="16"/>
              </w:rPr>
              <w:t>Lower esophageal sphincter pressure &amp; motility</w:t>
            </w:r>
          </w:p>
        </w:tc>
        <w:tc>
          <w:tcPr>
            <w:tcW w:type="dxa" w:w="892"/>
            <w:vAlign w:val="top"/>
          </w:tcPr>
          <w:p>
            <w:pPr>
              <w:spacing w:after="40" w:before="0" w:line="259" w:lineRule="auto"/>
            </w:pPr>
            <w:r>
              <w:rPr>
                <w:rFonts w:ascii="Calibri" w:hAnsi="Calibri"/>
                <w:b w:val="0"/>
                <w:i w:val="0"/>
                <w:color w:val="212121"/>
                <w:sz w:val="16"/>
              </w:rPr>
              <w:t>High-resolution esophageal manometry</w:t>
            </w:r>
          </w:p>
        </w:tc>
        <w:tc>
          <w:tcPr>
            <w:tcW w:type="dxa" w:w="950"/>
            <w:vAlign w:val="top"/>
          </w:tcPr>
          <w:p>
            <w:pPr>
              <w:spacing w:after="40" w:before="0" w:line="259" w:lineRule="auto"/>
            </w:pPr>
            <w:r>
              <w:rPr>
                <w:rFonts w:ascii="Calibri" w:hAnsi="Calibri"/>
                <w:b w:val="0"/>
                <w:i w:val="0"/>
                <w:color w:val="212121"/>
                <w:sz w:val="16"/>
              </w:rPr>
              <w:t>LES resting pressure ~10-45 mmHg; normal peristalsis</w:t>
            </w:r>
          </w:p>
        </w:tc>
        <w:tc>
          <w:tcPr>
            <w:tcW w:type="dxa" w:w="950"/>
            <w:vAlign w:val="top"/>
          </w:tcPr>
          <w:p>
            <w:pPr>
              <w:spacing w:after="40" w:before="0" w:line="259" w:lineRule="auto"/>
            </w:pPr>
            <w:r>
              <w:rPr>
                <w:rFonts w:ascii="Calibri" w:hAnsi="Calibri"/>
                <w:b w:val="0"/>
                <w:i w:val="0"/>
                <w:color w:val="212121"/>
                <w:sz w:val="16"/>
              </w:rPr>
              <w:t>Hypotensive LES &lt; 10 mmHg; ineffective motility</w:t>
            </w:r>
          </w:p>
        </w:tc>
        <w:tc>
          <w:tcPr>
            <w:tcW w:type="dxa" w:w="1036"/>
            <w:vAlign w:val="top"/>
          </w:tcPr>
          <w:p>
            <w:pPr>
              <w:spacing w:after="40" w:before="0" w:line="259" w:lineRule="auto"/>
            </w:pPr>
            <w:r>
              <w:rPr>
                <w:rFonts w:ascii="Calibri" w:hAnsi="Calibri"/>
                <w:b w:val="0"/>
                <w:i w:val="0"/>
                <w:color w:val="212121"/>
                <w:sz w:val="16"/>
              </w:rPr>
              <w:t>Assesses the anti-reflux barrier and excludes major motility disorders before therapy</w:t>
            </w:r>
          </w:p>
        </w:tc>
        <w:tc>
          <w:tcPr>
            <w:tcW w:type="dxa" w:w="1036"/>
            <w:vAlign w:val="top"/>
          </w:tcPr>
          <w:p>
            <w:pPr>
              <w:spacing w:after="40" w:before="0" w:line="259" w:lineRule="auto"/>
            </w:pPr>
            <w:r>
              <w:rPr>
                <w:rFonts w:ascii="Calibri" w:hAnsi="Calibri"/>
                <w:b w:val="0"/>
                <w:i w:val="0"/>
                <w:color w:val="212121"/>
                <w:sz w:val="16"/>
              </w:rPr>
              <w:t>Pre-fundoplication work-up, dysmotility (e.g. scleroderma)</w:t>
            </w:r>
          </w:p>
        </w:tc>
        <w:tc>
          <w:tcPr>
            <w:tcW w:type="dxa" w:w="720"/>
            <w:vAlign w:val="top"/>
          </w:tcPr>
          <w:p>
            <w:pPr>
              <w:spacing w:after="40" w:before="0" w:line="259" w:lineRule="auto"/>
            </w:pPr>
            <w:r>
              <w:rPr>
                <w:rFonts w:ascii="Calibri" w:hAnsi="Calibri"/>
                <w:b w:val="0"/>
                <w:i w:val="0"/>
                <w:color w:val="212121"/>
                <w:sz w:val="16"/>
              </w:rPr>
              <w:t>Posture; Provoking factors</w:t>
            </w:r>
          </w:p>
        </w:tc>
        <w:tc>
          <w:tcPr>
            <w:tcW w:type="dxa" w:w="720"/>
            <w:vAlign w:val="top"/>
          </w:tcPr>
          <w:p>
            <w:pPr>
              <w:spacing w:after="40" w:before="0" w:line="259" w:lineRule="auto"/>
            </w:pPr>
            <w:r>
              <w:rPr>
                <w:rFonts w:ascii="Calibri" w:hAnsi="Calibri"/>
                <w:b w:val="0"/>
                <w:i w:val="0"/>
                <w:color w:val="212121"/>
                <w:sz w:val="16"/>
              </w:rPr>
              <w:t>Adjunct</w:t>
            </w:r>
          </w:p>
        </w:tc>
        <w:tc>
          <w:tcPr>
            <w:tcW w:type="dxa" w:w="720"/>
            <w:vAlign w:val="top"/>
          </w:tcPr>
          <w:p>
            <w:pPr>
              <w:spacing w:after="40" w:before="0" w:line="259" w:lineRule="auto"/>
            </w:pPr>
            <w:r>
              <w:rPr>
                <w:rFonts w:ascii="Calibri" w:hAnsi="Calibri"/>
                <w:b w:val="0"/>
                <w:i w:val="0"/>
                <w:color w:val="212121"/>
                <w:sz w:val="16"/>
              </w:rPr>
              <w:t>Also localises the LES for accurate pH probe placement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Haemoglobin / ferritin</w:t>
            </w:r>
          </w:p>
        </w:tc>
        <w:tc>
          <w:tcPr>
            <w:tcW w:type="dxa" w:w="892"/>
            <w:vAlign w:val="top"/>
          </w:tcPr>
          <w:p>
            <w:pPr>
              <w:spacing w:after="40" w:before="0" w:line="259" w:lineRule="auto"/>
            </w:pPr>
            <w:r>
              <w:rPr>
                <w:rFonts w:ascii="Calibri" w:hAnsi="Calibri"/>
                <w:b w:val="0"/>
                <w:i w:val="0"/>
                <w:color w:val="212121"/>
                <w:sz w:val="16"/>
              </w:rPr>
              <w:t>Complete blood count ± iron studies</w:t>
            </w:r>
          </w:p>
        </w:tc>
        <w:tc>
          <w:tcPr>
            <w:tcW w:type="dxa" w:w="950"/>
            <w:vAlign w:val="top"/>
          </w:tcPr>
          <w:p>
            <w:pPr>
              <w:spacing w:after="40" w:before="0" w:line="259" w:lineRule="auto"/>
            </w:pPr>
            <w:r>
              <w:rPr>
                <w:rFonts w:ascii="Calibri" w:hAnsi="Calibri"/>
                <w:b w:val="0"/>
                <w:i w:val="0"/>
                <w:color w:val="212121"/>
                <w:sz w:val="16"/>
              </w:rPr>
              <w:t>Hb: M 13-17, F 12-15 g/dL</w:t>
            </w:r>
          </w:p>
        </w:tc>
        <w:tc>
          <w:tcPr>
            <w:tcW w:type="dxa" w:w="950"/>
            <w:vAlign w:val="top"/>
          </w:tcPr>
          <w:p>
            <w:pPr>
              <w:spacing w:after="40" w:before="0" w:line="259" w:lineRule="auto"/>
            </w:pPr>
            <w:r>
              <w:rPr>
                <w:rFonts w:ascii="Calibri" w:hAnsi="Calibri"/>
                <w:b w:val="0"/>
                <w:i w:val="0"/>
                <w:color w:val="212121"/>
                <w:sz w:val="16"/>
              </w:rPr>
              <w:t>Low Hb / low ferritin (iron-deficiency anaemia)</w:t>
            </w:r>
          </w:p>
        </w:tc>
        <w:tc>
          <w:tcPr>
            <w:tcW w:type="dxa" w:w="1036"/>
            <w:vAlign w:val="top"/>
          </w:tcPr>
          <w:p>
            <w:pPr>
              <w:spacing w:after="40" w:before="0" w:line="259" w:lineRule="auto"/>
            </w:pPr>
            <w:r>
              <w:rPr>
                <w:rFonts w:ascii="Calibri" w:hAnsi="Calibri"/>
                <w:b w:val="0"/>
                <w:i w:val="0"/>
                <w:color w:val="212121"/>
                <w:sz w:val="16"/>
              </w:rPr>
              <w:t>Detects chronic occult blood loss from erosions, Barrett's ulcer or malignancy</w:t>
            </w:r>
          </w:p>
        </w:tc>
        <w:tc>
          <w:tcPr>
            <w:tcW w:type="dxa" w:w="1036"/>
            <w:vAlign w:val="top"/>
          </w:tcPr>
          <w:p>
            <w:pPr>
              <w:spacing w:after="40" w:before="0" w:line="259" w:lineRule="auto"/>
            </w:pPr>
            <w:r>
              <w:rPr>
                <w:rFonts w:ascii="Calibri" w:hAnsi="Calibri"/>
                <w:b w:val="0"/>
                <w:i w:val="0"/>
                <w:color w:val="212121"/>
                <w:sz w:val="16"/>
              </w:rPr>
              <w:t>BE with esophagitis/ulcer, alarm features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Unexplained iron-deficiency anaemia is an alarm feature warranting endoscopy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Helicobacter pylori status</w:t>
            </w:r>
          </w:p>
        </w:tc>
        <w:tc>
          <w:tcPr>
            <w:tcW w:type="dxa" w:w="892"/>
            <w:vAlign w:val="top"/>
          </w:tcPr>
          <w:p>
            <w:pPr>
              <w:spacing w:after="40" w:before="0" w:line="259" w:lineRule="auto"/>
            </w:pPr>
            <w:r>
              <w:rPr>
                <w:rFonts w:ascii="Calibri" w:hAnsi="Calibri"/>
                <w:b w:val="0"/>
                <w:i w:val="0"/>
                <w:color w:val="212121"/>
                <w:sz w:val="16"/>
              </w:rPr>
              <w:t>Rapid urease / stool antigen / urea breath test</w:t>
            </w:r>
          </w:p>
        </w:tc>
        <w:tc>
          <w:tcPr>
            <w:tcW w:type="dxa" w:w="950"/>
            <w:vAlign w:val="top"/>
          </w:tcPr>
          <w:p>
            <w:pPr>
              <w:spacing w:after="40" w:before="0" w:line="259" w:lineRule="auto"/>
            </w:pPr>
            <w:r>
              <w:rPr>
                <w:rFonts w:ascii="Calibri" w:hAnsi="Calibri"/>
                <w:b w:val="0"/>
                <w:i w:val="0"/>
                <w:color w:val="212121"/>
                <w:sz w:val="16"/>
              </w:rPr>
              <w:t>Interpreted in clinical context</w:t>
            </w:r>
          </w:p>
        </w:tc>
        <w:tc>
          <w:tcPr>
            <w:tcW w:type="dxa" w:w="950"/>
            <w:vAlign w:val="top"/>
          </w:tcPr>
          <w:p>
            <w:pPr>
              <w:spacing w:after="40" w:before="0" w:line="259" w:lineRule="auto"/>
            </w:pPr>
            <w:r>
              <w:rPr>
                <w:rFonts w:ascii="Calibri" w:hAnsi="Calibri"/>
                <w:b w:val="0"/>
                <w:i w:val="0"/>
                <w:color w:val="212121"/>
                <w:sz w:val="16"/>
              </w:rPr>
              <w:t>Positive or negative (note inverse association with BE)</w:t>
            </w:r>
          </w:p>
        </w:tc>
        <w:tc>
          <w:tcPr>
            <w:tcW w:type="dxa" w:w="1036"/>
            <w:vAlign w:val="top"/>
          </w:tcPr>
          <w:p>
            <w:pPr>
              <w:spacing w:after="40" w:before="0" w:line="259" w:lineRule="auto"/>
            </w:pPr>
            <w:r>
              <w:rPr>
                <w:rFonts w:ascii="Calibri" w:hAnsi="Calibri"/>
                <w:b w:val="0"/>
                <w:i w:val="0"/>
                <w:color w:val="212121"/>
                <w:sz w:val="16"/>
              </w:rPr>
              <w:t>H. pylori is inversely associated with BE; status informs gastric assessment and PPI planning</w:t>
            </w:r>
          </w:p>
        </w:tc>
        <w:tc>
          <w:tcPr>
            <w:tcW w:type="dxa" w:w="1036"/>
            <w:vAlign w:val="top"/>
          </w:tcPr>
          <w:p>
            <w:pPr>
              <w:spacing w:after="40" w:before="0" w:line="259" w:lineRule="auto"/>
            </w:pPr>
            <w:r>
              <w:rPr>
                <w:rFonts w:ascii="Calibri" w:hAnsi="Calibri"/>
                <w:b w:val="0"/>
                <w:i w:val="0"/>
                <w:color w:val="212121"/>
                <w:sz w:val="16"/>
              </w:rPr>
              <w:t>Dyspepsia, gastric IM, pre-PPI</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Adjunct</w:t>
            </w:r>
          </w:p>
        </w:tc>
        <w:tc>
          <w:tcPr>
            <w:tcW w:type="dxa" w:w="720"/>
            <w:vAlign w:val="top"/>
          </w:tcPr>
          <w:p>
            <w:pPr>
              <w:spacing w:after="40" w:before="0" w:line="259" w:lineRule="auto"/>
            </w:pPr>
            <w:r>
              <w:rPr>
                <w:rFonts w:ascii="Calibri" w:hAnsi="Calibri"/>
                <w:b w:val="0"/>
                <w:i w:val="0"/>
                <w:color w:val="212121"/>
                <w:sz w:val="16"/>
              </w:rPr>
              <w:t>Negative status associated with higher BE risk (OR ~0.46 for negativity)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Molecular / IHC</w:t>
            </w:r>
          </w:p>
        </w:tc>
        <w:tc>
          <w:tcPr>
            <w:tcW w:type="dxa" w:w="1036"/>
            <w:vAlign w:val="top"/>
          </w:tcPr>
          <w:p>
            <w:pPr>
              <w:spacing w:after="40" w:before="0" w:line="259" w:lineRule="auto"/>
            </w:pPr>
            <w:r>
              <w:rPr>
                <w:rFonts w:ascii="Calibri" w:hAnsi="Calibri"/>
                <w:b w:val="0"/>
                <w:i w:val="0"/>
                <w:color w:val="212121"/>
                <w:sz w:val="16"/>
              </w:rPr>
              <w:t>Aberrant p53 expression</w:t>
            </w:r>
          </w:p>
        </w:tc>
        <w:tc>
          <w:tcPr>
            <w:tcW w:type="dxa" w:w="892"/>
            <w:vAlign w:val="top"/>
          </w:tcPr>
          <w:p>
            <w:pPr>
              <w:spacing w:after="40" w:before="0" w:line="259" w:lineRule="auto"/>
            </w:pPr>
            <w:r>
              <w:rPr>
                <w:rFonts w:ascii="Calibri" w:hAnsi="Calibri"/>
                <w:b w:val="0"/>
                <w:i w:val="0"/>
                <w:color w:val="212121"/>
                <w:sz w:val="16"/>
              </w:rPr>
              <w:t>p53 immunohistochemistry on biopsy</w:t>
            </w:r>
          </w:p>
        </w:tc>
        <w:tc>
          <w:tcPr>
            <w:tcW w:type="dxa" w:w="950"/>
            <w:vAlign w:val="top"/>
          </w:tcPr>
          <w:p>
            <w:pPr>
              <w:spacing w:after="40" w:before="0" w:line="259" w:lineRule="auto"/>
            </w:pPr>
            <w:r>
              <w:rPr>
                <w:rFonts w:ascii="Calibri" w:hAnsi="Calibri"/>
                <w:b w:val="0"/>
                <w:i w:val="0"/>
                <w:color w:val="212121"/>
                <w:sz w:val="16"/>
              </w:rPr>
              <w:t>Wild-type (patchy) staining</w:t>
            </w:r>
          </w:p>
        </w:tc>
        <w:tc>
          <w:tcPr>
            <w:tcW w:type="dxa" w:w="950"/>
            <w:vAlign w:val="top"/>
          </w:tcPr>
          <w:p>
            <w:pPr>
              <w:spacing w:after="40" w:before="0" w:line="259" w:lineRule="auto"/>
            </w:pPr>
            <w:r>
              <w:rPr>
                <w:rFonts w:ascii="Calibri" w:hAnsi="Calibri"/>
                <w:b w:val="0"/>
                <w:i w:val="0"/>
                <w:color w:val="212121"/>
                <w:sz w:val="16"/>
              </w:rPr>
              <w:t>Overexpression or null pattern</w:t>
            </w:r>
          </w:p>
        </w:tc>
        <w:tc>
          <w:tcPr>
            <w:tcW w:type="dxa" w:w="1036"/>
            <w:vAlign w:val="top"/>
          </w:tcPr>
          <w:p>
            <w:pPr>
              <w:spacing w:after="40" w:before="0" w:line="259" w:lineRule="auto"/>
            </w:pPr>
            <w:r>
              <w:rPr>
                <w:rFonts w:ascii="Calibri" w:hAnsi="Calibri"/>
                <w:b w:val="0"/>
                <w:i w:val="0"/>
                <w:color w:val="212121"/>
                <w:sz w:val="16"/>
              </w:rPr>
              <w:t>Aberrant p53 supports a diagnosis of dysplasia and flags higher progression risk</w:t>
            </w:r>
          </w:p>
        </w:tc>
        <w:tc>
          <w:tcPr>
            <w:tcW w:type="dxa" w:w="1036"/>
            <w:vAlign w:val="top"/>
          </w:tcPr>
          <w:p>
            <w:pPr>
              <w:spacing w:after="40" w:before="0" w:line="259" w:lineRule="auto"/>
            </w:pPr>
            <w:r>
              <w:rPr>
                <w:rFonts w:ascii="Calibri" w:hAnsi="Calibri"/>
                <w:b w:val="0"/>
                <w:i w:val="0"/>
                <w:color w:val="212121"/>
                <w:sz w:val="16"/>
              </w:rPr>
              <w:t>Indefinite/low-grade dysplasia risk-stratification</w:t>
            </w:r>
          </w:p>
        </w:tc>
        <w:tc>
          <w:tcPr>
            <w:tcW w:type="dxa" w:w="720"/>
            <w:vAlign w:val="top"/>
          </w:tcPr>
          <w:p>
            <w:pPr>
              <w:spacing w:after="40" w:before="0" w:line="259" w:lineRule="auto"/>
            </w:pPr>
            <w:r>
              <w:rPr>
                <w:rFonts w:ascii="Calibri" w:hAnsi="Calibri"/>
                <w:b w:val="0"/>
                <w:i w:val="0"/>
                <w:color w:val="212121"/>
                <w:sz w:val="16"/>
              </w:rPr>
              <w:t>Smoking</w:t>
            </w:r>
          </w:p>
        </w:tc>
        <w:tc>
          <w:tcPr>
            <w:tcW w:type="dxa" w:w="720"/>
            <w:vAlign w:val="top"/>
          </w:tcPr>
          <w:p>
            <w:pPr>
              <w:spacing w:after="40" w:before="0" w:line="259" w:lineRule="auto"/>
            </w:pPr>
            <w:r>
              <w:rPr>
                <w:rFonts w:ascii="Calibri" w:hAnsi="Calibri"/>
                <w:b w:val="0"/>
                <w:i w:val="0"/>
                <w:color w:val="212121"/>
                <w:sz w:val="16"/>
              </w:rPr>
              <w:t>Adjunct</w:t>
            </w:r>
          </w:p>
        </w:tc>
        <w:tc>
          <w:tcPr>
            <w:tcW w:type="dxa" w:w="720"/>
            <w:vAlign w:val="top"/>
          </w:tcPr>
          <w:p>
            <w:pPr>
              <w:spacing w:after="40" w:before="0" w:line="259" w:lineRule="auto"/>
            </w:pPr>
            <w:r>
              <w:rPr>
                <w:rFonts w:ascii="Calibri" w:hAnsi="Calibri"/>
                <w:b w:val="0"/>
                <w:i w:val="0"/>
                <w:color w:val="212121"/>
                <w:sz w:val="16"/>
              </w:rPr>
              <w:t>Recommended as an adjunct to histology in recent guidelines</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Chronic heartburn, acid regurgitation, dysphagia</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Frequent (≥ weekly) or long-standing symptoms</w:t>
            </w:r>
          </w:p>
        </w:tc>
        <w:tc>
          <w:tcPr>
            <w:tcW w:type="dxa" w:w="1036"/>
            <w:vAlign w:val="top"/>
          </w:tcPr>
          <w:p>
            <w:pPr>
              <w:spacing w:after="40" w:before="0" w:line="259" w:lineRule="auto"/>
            </w:pPr>
            <w:r>
              <w:rPr>
                <w:rFonts w:ascii="Calibri" w:hAnsi="Calibri"/>
                <w:b w:val="0"/>
                <w:i w:val="0"/>
                <w:color w:val="212121"/>
                <w:sz w:val="16"/>
              </w:rPr>
              <w:t>Chronic reflux symptoms identify the population in which to look for BE</w:t>
            </w:r>
          </w:p>
        </w:tc>
        <w:tc>
          <w:tcPr>
            <w:tcW w:type="dxa" w:w="1036"/>
            <w:vAlign w:val="top"/>
          </w:tcPr>
          <w:p>
            <w:pPr>
              <w:spacing w:after="40" w:before="0" w:line="259" w:lineRule="auto"/>
            </w:pPr>
            <w:r>
              <w:rPr>
                <w:rFonts w:ascii="Calibri" w:hAnsi="Calibri"/>
                <w:b w:val="0"/>
                <w:i w:val="0"/>
                <w:color w:val="212121"/>
                <w:sz w:val="16"/>
              </w:rPr>
              <w:t>Chronic GERD, males &gt;50</w:t>
            </w:r>
          </w:p>
        </w:tc>
        <w:tc>
          <w:tcPr>
            <w:tcW w:type="dxa" w:w="720"/>
            <w:vAlign w:val="top"/>
          </w:tcPr>
          <w:p>
            <w:pPr>
              <w:spacing w:after="40" w:before="0" w:line="259" w:lineRule="auto"/>
            </w:pPr>
            <w:r>
              <w:rPr>
                <w:rFonts w:ascii="Calibri" w:hAnsi="Calibri"/>
                <w:b w:val="0"/>
                <w:i w:val="0"/>
                <w:color w:val="212121"/>
                <w:sz w:val="16"/>
              </w:rPr>
              <w:t>Food; 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Up to ~40% of BE patients report few or no reflux symptoms, so absence does not exclude BE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Symptom duration &amp; frequency</w:t>
            </w:r>
          </w:p>
        </w:tc>
        <w:tc>
          <w:tcPr>
            <w:tcW w:type="dxa" w:w="979"/>
            <w:vAlign w:val="top"/>
          </w:tcPr>
          <w:p>
            <w:pPr>
              <w:spacing w:after="40" w:before="0" w:line="259" w:lineRule="auto"/>
            </w:pPr>
            <w:r>
              <w:rPr>
                <w:rFonts w:ascii="Calibri" w:hAnsi="Calibri"/>
                <w:b w:val="0"/>
                <w:i w:val="0"/>
                <w:color w:val="212121"/>
                <w:sz w:val="16"/>
              </w:rPr>
              <w:t>Years of reflux; onset age</w:t>
            </w:r>
          </w:p>
        </w:tc>
        <w:tc>
          <w:tcPr>
            <w:tcW w:type="dxa" w:w="950"/>
            <w:vAlign w:val="top"/>
          </w:tcPr>
          <w:p>
            <w:pPr>
              <w:spacing w:after="40" w:before="0" w:line="259" w:lineRule="auto"/>
            </w:pPr>
            <w:r>
              <w:rPr>
                <w:rFonts w:ascii="Calibri" w:hAnsi="Calibri"/>
                <w:b w:val="0"/>
                <w:i w:val="0"/>
                <w:color w:val="212121"/>
                <w:sz w:val="16"/>
              </w:rPr>
              <w:t>Short, infrequent</w:t>
            </w:r>
          </w:p>
        </w:tc>
        <w:tc>
          <w:tcPr>
            <w:tcW w:type="dxa" w:w="950"/>
            <w:vAlign w:val="top"/>
          </w:tcPr>
          <w:p>
            <w:pPr>
              <w:spacing w:after="40" w:before="0" w:line="259" w:lineRule="auto"/>
            </w:pPr>
            <w:r>
              <w:rPr>
                <w:rFonts w:ascii="Calibri" w:hAnsi="Calibri"/>
                <w:b w:val="0"/>
                <w:i w:val="0"/>
                <w:color w:val="212121"/>
                <w:sz w:val="16"/>
              </w:rPr>
              <w:t>Long-standing (&gt;5-10 y) or onset &lt; 30 y</w:t>
            </w:r>
          </w:p>
        </w:tc>
        <w:tc>
          <w:tcPr>
            <w:tcW w:type="dxa" w:w="1036"/>
            <w:vAlign w:val="top"/>
          </w:tcPr>
          <w:p>
            <w:pPr>
              <w:spacing w:after="40" w:before="0" w:line="259" w:lineRule="auto"/>
            </w:pPr>
            <w:r>
              <w:rPr>
                <w:rFonts w:ascii="Calibri" w:hAnsi="Calibri"/>
                <w:b w:val="0"/>
                <w:i w:val="0"/>
                <w:color w:val="212121"/>
                <w:sz w:val="16"/>
              </w:rPr>
              <w:t>Duration and early onset markedly raise BE probability</w:t>
            </w:r>
          </w:p>
        </w:tc>
        <w:tc>
          <w:tcPr>
            <w:tcW w:type="dxa" w:w="1036"/>
            <w:vAlign w:val="top"/>
          </w:tcPr>
          <w:p>
            <w:pPr>
              <w:spacing w:after="40" w:before="0" w:line="259" w:lineRule="auto"/>
            </w:pPr>
            <w:r>
              <w:rPr>
                <w:rFonts w:ascii="Calibri" w:hAnsi="Calibri"/>
                <w:b w:val="0"/>
                <w:i w:val="0"/>
                <w:color w:val="212121"/>
                <w:sz w:val="16"/>
              </w:rPr>
              <w:t>Early-onset GERD, long-duration reflux</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GERD onset before age 30 carries a high odds ratio (~15) for BE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Alarm / red-flag features</w:t>
            </w:r>
          </w:p>
        </w:tc>
        <w:tc>
          <w:tcPr>
            <w:tcW w:type="dxa" w:w="979"/>
            <w:vAlign w:val="top"/>
          </w:tcPr>
          <w:p>
            <w:pPr>
              <w:spacing w:after="40" w:before="0" w:line="259" w:lineRule="auto"/>
            </w:pPr>
            <w:r>
              <w:rPr>
                <w:rFonts w:ascii="Calibri" w:hAnsi="Calibri"/>
                <w:b w:val="0"/>
                <w:i w:val="0"/>
                <w:color w:val="212121"/>
                <w:sz w:val="16"/>
              </w:rPr>
              <w:t>Dysphagia, odynophagia, weight loss, bleeding, anaemia, vomiting</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Any alarm feature present</w:t>
            </w:r>
          </w:p>
        </w:tc>
        <w:tc>
          <w:tcPr>
            <w:tcW w:type="dxa" w:w="1036"/>
            <w:vAlign w:val="top"/>
          </w:tcPr>
          <w:p>
            <w:pPr>
              <w:spacing w:after="40" w:before="0" w:line="259" w:lineRule="auto"/>
            </w:pPr>
            <w:r>
              <w:rPr>
                <w:rFonts w:ascii="Calibri" w:hAnsi="Calibri"/>
                <w:b w:val="0"/>
                <w:i w:val="0"/>
                <w:color w:val="212121"/>
                <w:sz w:val="16"/>
              </w:rPr>
              <w:t>Alarm features mandate prompt endoscopy to exclude stricture or adenocarcinoma</w:t>
            </w:r>
          </w:p>
        </w:tc>
        <w:tc>
          <w:tcPr>
            <w:tcW w:type="dxa" w:w="1036"/>
            <w:vAlign w:val="top"/>
          </w:tcPr>
          <w:p>
            <w:pPr>
              <w:spacing w:after="40" w:before="0" w:line="259" w:lineRule="auto"/>
            </w:pPr>
            <w:r>
              <w:rPr>
                <w:rFonts w:ascii="Calibri" w:hAnsi="Calibri"/>
                <w:b w:val="0"/>
                <w:i w:val="0"/>
                <w:color w:val="212121"/>
                <w:sz w:val="16"/>
              </w:rPr>
              <w:t>Suspected complicated BE/malignancy</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Red flag</w:t>
            </w:r>
          </w:p>
        </w:tc>
        <w:tc>
          <w:tcPr>
            <w:tcW w:type="dxa" w:w="720"/>
            <w:vAlign w:val="top"/>
          </w:tcPr>
          <w:p>
            <w:pPr>
              <w:spacing w:after="40" w:before="0" w:line="259" w:lineRule="auto"/>
            </w:pPr>
            <w:r>
              <w:rPr>
                <w:rFonts w:ascii="Calibri" w:hAnsi="Calibri"/>
                <w:b w:val="0"/>
                <w:i w:val="0"/>
                <w:color w:val="212121"/>
                <w:sz w:val="16"/>
              </w:rPr>
              <w:t>Progressive dysphagia and weight loss suggest stricture or cancer</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Risk-factor &amp; family history</w:t>
            </w:r>
          </w:p>
        </w:tc>
        <w:tc>
          <w:tcPr>
            <w:tcW w:type="dxa" w:w="979"/>
            <w:vAlign w:val="top"/>
          </w:tcPr>
          <w:p>
            <w:pPr>
              <w:spacing w:after="40" w:before="0" w:line="259" w:lineRule="auto"/>
            </w:pPr>
            <w:r>
              <w:rPr>
                <w:rFonts w:ascii="Calibri" w:hAnsi="Calibri"/>
                <w:b w:val="0"/>
                <w:i w:val="0"/>
                <w:color w:val="212121"/>
                <w:sz w:val="16"/>
              </w:rPr>
              <w:t>Male sex, age &gt;50, central obesity, smoking, family history of BE/EAC</w:t>
            </w:r>
          </w:p>
        </w:tc>
        <w:tc>
          <w:tcPr>
            <w:tcW w:type="dxa" w:w="950"/>
            <w:vAlign w:val="top"/>
          </w:tcPr>
          <w:p>
            <w:pPr>
              <w:spacing w:after="40" w:before="0" w:line="259" w:lineRule="auto"/>
            </w:pPr>
            <w:r>
              <w:rPr>
                <w:rFonts w:ascii="Calibri" w:hAnsi="Calibri"/>
                <w:b w:val="0"/>
                <w:i w:val="0"/>
                <w:color w:val="212121"/>
                <w:sz w:val="16"/>
              </w:rPr>
              <w:t>Few/none</w:t>
            </w:r>
          </w:p>
        </w:tc>
        <w:tc>
          <w:tcPr>
            <w:tcW w:type="dxa" w:w="950"/>
            <w:vAlign w:val="top"/>
          </w:tcPr>
          <w:p>
            <w:pPr>
              <w:spacing w:after="40" w:before="0" w:line="259" w:lineRule="auto"/>
            </w:pPr>
            <w:r>
              <w:rPr>
                <w:rFonts w:ascii="Calibri" w:hAnsi="Calibri"/>
                <w:b w:val="0"/>
                <w:i w:val="0"/>
                <w:color w:val="212121"/>
                <w:sz w:val="16"/>
              </w:rPr>
              <w:t>Multiple risk factors present</w:t>
            </w:r>
          </w:p>
        </w:tc>
        <w:tc>
          <w:tcPr>
            <w:tcW w:type="dxa" w:w="1036"/>
            <w:vAlign w:val="top"/>
          </w:tcPr>
          <w:p>
            <w:pPr>
              <w:spacing w:after="40" w:before="0" w:line="259" w:lineRule="auto"/>
            </w:pPr>
            <w:r>
              <w:rPr>
                <w:rFonts w:ascii="Calibri" w:hAnsi="Calibri"/>
                <w:b w:val="0"/>
                <w:i w:val="0"/>
                <w:color w:val="212121"/>
                <w:sz w:val="16"/>
              </w:rPr>
              <w:t>Clustering of risk factors is the basis of guideline screening decisions</w:t>
            </w:r>
          </w:p>
        </w:tc>
        <w:tc>
          <w:tcPr>
            <w:tcW w:type="dxa" w:w="1036"/>
            <w:vAlign w:val="top"/>
          </w:tcPr>
          <w:p>
            <w:pPr>
              <w:spacing w:after="40" w:before="0" w:line="259" w:lineRule="auto"/>
            </w:pPr>
            <w:r>
              <w:rPr>
                <w:rFonts w:ascii="Calibri" w:hAnsi="Calibri"/>
                <w:b w:val="0"/>
                <w:i w:val="0"/>
                <w:color w:val="212121"/>
                <w:sz w:val="16"/>
              </w:rPr>
              <w:t>High-risk GERD (≥ 2 additional risk factors)</w:t>
            </w:r>
          </w:p>
        </w:tc>
        <w:tc>
          <w:tcPr>
            <w:tcW w:type="dxa" w:w="720"/>
            <w:vAlign w:val="top"/>
          </w:tcPr>
          <w:p>
            <w:pPr>
              <w:spacing w:after="40" w:before="0" w:line="259" w:lineRule="auto"/>
            </w:pPr>
            <w:r>
              <w:rPr>
                <w:rFonts w:ascii="Calibri" w:hAnsi="Calibri"/>
                <w:b w:val="0"/>
                <w:i w:val="0"/>
                <w:color w:val="212121"/>
                <w:sz w:val="16"/>
              </w:rPr>
              <w:t>Smoking; Physical activity</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Chronic GERD plus ≥ 2 risk factors triggers screening endoscopy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Anthropometry</w:t>
            </w:r>
          </w:p>
        </w:tc>
        <w:tc>
          <w:tcPr>
            <w:tcW w:type="dxa" w:w="979"/>
            <w:vAlign w:val="top"/>
          </w:tcPr>
          <w:p>
            <w:pPr>
              <w:spacing w:after="40" w:before="0" w:line="259" w:lineRule="auto"/>
            </w:pPr>
            <w:r>
              <w:rPr>
                <w:rFonts w:ascii="Calibri" w:hAnsi="Calibri"/>
                <w:b w:val="0"/>
                <w:i w:val="0"/>
                <w:color w:val="212121"/>
                <w:sz w:val="16"/>
              </w:rPr>
              <w:t>BMI &amp; waist circumference</w:t>
            </w:r>
          </w:p>
        </w:tc>
        <w:tc>
          <w:tcPr>
            <w:tcW w:type="dxa" w:w="950"/>
            <w:vAlign w:val="top"/>
          </w:tcPr>
          <w:p>
            <w:pPr>
              <w:spacing w:after="40" w:before="0" w:line="259" w:lineRule="auto"/>
            </w:pPr>
            <w:r>
              <w:rPr>
                <w:rFonts w:ascii="Calibri" w:hAnsi="Calibri"/>
                <w:b w:val="0"/>
                <w:i w:val="0"/>
                <w:color w:val="212121"/>
                <w:sz w:val="16"/>
              </w:rPr>
              <w:t>BMI 18.5-22.9; waist M&lt;90/F&lt;80 cm</w:t>
            </w:r>
          </w:p>
        </w:tc>
        <w:tc>
          <w:tcPr>
            <w:tcW w:type="dxa" w:w="950"/>
            <w:vAlign w:val="top"/>
          </w:tcPr>
          <w:p>
            <w:pPr>
              <w:spacing w:after="40" w:before="0" w:line="259" w:lineRule="auto"/>
            </w:pPr>
            <w:r>
              <w:rPr>
                <w:rFonts w:ascii="Calibri" w:hAnsi="Calibri"/>
                <w:b w:val="0"/>
                <w:i w:val="0"/>
                <w:color w:val="212121"/>
                <w:sz w:val="16"/>
              </w:rPr>
              <w:t>Raised BMI / central obesity</w:t>
            </w:r>
          </w:p>
        </w:tc>
        <w:tc>
          <w:tcPr>
            <w:tcW w:type="dxa" w:w="1036"/>
            <w:vAlign w:val="top"/>
          </w:tcPr>
          <w:p>
            <w:pPr>
              <w:spacing w:after="40" w:before="0" w:line="259" w:lineRule="auto"/>
            </w:pPr>
            <w:r>
              <w:rPr>
                <w:rFonts w:ascii="Calibri" w:hAnsi="Calibri"/>
                <w:b w:val="0"/>
                <w:i w:val="0"/>
                <w:color w:val="212121"/>
                <w:sz w:val="16"/>
              </w:rPr>
              <w:t>Central obesity is a key, modifiable BE risk factor and a therapeutic target</w:t>
            </w:r>
          </w:p>
        </w:tc>
        <w:tc>
          <w:tcPr>
            <w:tcW w:type="dxa" w:w="1036"/>
            <w:vAlign w:val="top"/>
          </w:tcPr>
          <w:p>
            <w:pPr>
              <w:spacing w:after="40" w:before="0" w:line="259" w:lineRule="auto"/>
            </w:pPr>
            <w:r>
              <w:rPr>
                <w:rFonts w:ascii="Calibri" w:hAnsi="Calibri"/>
                <w:b w:val="0"/>
                <w:i w:val="0"/>
                <w:color w:val="212121"/>
                <w:sz w:val="16"/>
              </w:rPr>
              <w:t>Overweight/obese adults</w:t>
            </w:r>
          </w:p>
        </w:tc>
        <w:tc>
          <w:tcPr>
            <w:tcW w:type="dxa" w:w="720"/>
            <w:vAlign w:val="top"/>
          </w:tcPr>
          <w:p>
            <w:pPr>
              <w:spacing w:after="40" w:before="0" w:line="259" w:lineRule="auto"/>
            </w:pPr>
            <w:r>
              <w:rPr>
                <w:rFonts w:ascii="Calibri" w:hAnsi="Calibri"/>
                <w:b w:val="0"/>
                <w:i w:val="0"/>
                <w:color w:val="212121"/>
                <w:sz w:val="16"/>
              </w:rPr>
              <w:t>Physical activity; 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Waist circumference adds information beyond BMI</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General &amp; focused signs</w:t>
            </w:r>
          </w:p>
        </w:tc>
        <w:tc>
          <w:tcPr>
            <w:tcW w:type="dxa" w:w="979"/>
            <w:vAlign w:val="top"/>
          </w:tcPr>
          <w:p>
            <w:pPr>
              <w:spacing w:after="40" w:before="0" w:line="259" w:lineRule="auto"/>
            </w:pPr>
            <w:r>
              <w:rPr>
                <w:rFonts w:ascii="Calibri" w:hAnsi="Calibri"/>
                <w:b w:val="0"/>
                <w:i w:val="0"/>
                <w:color w:val="212121"/>
                <w:sz w:val="16"/>
              </w:rPr>
              <w:t>Pallor, dental erosions, epigastric tenderness, lymph nodes</w:t>
            </w:r>
          </w:p>
        </w:tc>
        <w:tc>
          <w:tcPr>
            <w:tcW w:type="dxa" w:w="950"/>
            <w:vAlign w:val="top"/>
          </w:tcPr>
          <w:p>
            <w:pPr>
              <w:spacing w:after="40" w:before="0" w:line="259" w:lineRule="auto"/>
            </w:pPr>
            <w:r>
              <w:rPr>
                <w:rFonts w:ascii="Calibri" w:hAnsi="Calibri"/>
                <w:b w:val="0"/>
                <w:i w:val="0"/>
                <w:color w:val="212121"/>
                <w:sz w:val="16"/>
              </w:rPr>
              <w:t>Unremarkable</w:t>
            </w:r>
          </w:p>
        </w:tc>
        <w:tc>
          <w:tcPr>
            <w:tcW w:type="dxa" w:w="950"/>
            <w:vAlign w:val="top"/>
          </w:tcPr>
          <w:p>
            <w:pPr>
              <w:spacing w:after="40" w:before="0" w:line="259" w:lineRule="auto"/>
            </w:pPr>
            <w:r>
              <w:rPr>
                <w:rFonts w:ascii="Calibri" w:hAnsi="Calibri"/>
                <w:b w:val="0"/>
                <w:i w:val="0"/>
                <w:color w:val="212121"/>
                <w:sz w:val="16"/>
              </w:rPr>
              <w:t>Pallor (anaemia), acid dental erosions, supraclavicular node</w:t>
            </w:r>
          </w:p>
        </w:tc>
        <w:tc>
          <w:tcPr>
            <w:tcW w:type="dxa" w:w="1036"/>
            <w:vAlign w:val="top"/>
          </w:tcPr>
          <w:p>
            <w:pPr>
              <w:spacing w:after="40" w:before="0" w:line="259" w:lineRule="auto"/>
            </w:pPr>
            <w:r>
              <w:rPr>
                <w:rFonts w:ascii="Calibri" w:hAnsi="Calibri"/>
                <w:b w:val="0"/>
                <w:i w:val="0"/>
                <w:color w:val="212121"/>
                <w:sz w:val="16"/>
              </w:rPr>
              <w:t>Signs are usually of complications rather than BE itself; a hard node suggests advanced cancer</w:t>
            </w:r>
          </w:p>
        </w:tc>
        <w:tc>
          <w:tcPr>
            <w:tcW w:type="dxa" w:w="1036"/>
            <w:vAlign w:val="top"/>
          </w:tcPr>
          <w:p>
            <w:pPr>
              <w:spacing w:after="40" w:before="0" w:line="259" w:lineRule="auto"/>
            </w:pPr>
            <w:r>
              <w:rPr>
                <w:rFonts w:ascii="Calibri" w:hAnsi="Calibri"/>
                <w:b w:val="0"/>
                <w:i w:val="0"/>
                <w:color w:val="212121"/>
                <w:sz w:val="16"/>
              </w:rPr>
              <w:t>Complicated/advanced disease</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Examination is often normal in uncomplicated BE</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Chronic heartburn (retrosternal burning)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cardinal reflux symptom; reflects chronic acid exposure that underlies the metaplasia.</w:t>
            </w:r>
          </w:p>
        </w:tc>
      </w:tr>
      <w:tr>
        <w:trPr>
          <w:cantSplit/>
        </w:trPr>
        <w:tc>
          <w:tcPr>
            <w:tcW w:type="dxa" w:w="2304"/>
            <w:vAlign w:val="top"/>
          </w:tcPr>
          <w:p>
            <w:pPr>
              <w:spacing w:after="40" w:before="0" w:line="259" w:lineRule="auto"/>
            </w:pPr>
            <w:r>
              <w:rPr>
                <w:rFonts w:ascii="Calibri" w:hAnsi="Calibri"/>
                <w:b/>
                <w:i w:val="0"/>
                <w:color w:val="212121"/>
                <w:sz w:val="19"/>
              </w:rPr>
              <w:t>Acid / bile regurgitation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Effortless return of gastric contents into the throat or mouth, often worse when supine or after meals.</w:t>
            </w:r>
          </w:p>
        </w:tc>
      </w:tr>
      <w:tr>
        <w:trPr>
          <w:cantSplit/>
        </w:trPr>
        <w:tc>
          <w:tcPr>
            <w:tcW w:type="dxa" w:w="2304"/>
            <w:vAlign w:val="top"/>
          </w:tcPr>
          <w:p>
            <w:pPr>
              <w:spacing w:after="40" w:before="0" w:line="259" w:lineRule="auto"/>
            </w:pPr>
            <w:r>
              <w:rPr>
                <w:rFonts w:ascii="Calibri" w:hAnsi="Calibri"/>
                <w:b/>
                <w:i w:val="0"/>
                <w:color w:val="212121"/>
                <w:sz w:val="19"/>
              </w:rPr>
              <w:t>Few or no symptoms (silent BE)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Up to ~40% of BE patients report minimal reflux symptoms, partly because metaplastic mucosa is less acid-sensitive.</w:t>
            </w:r>
          </w:p>
        </w:tc>
      </w:tr>
      <w:tr>
        <w:trPr>
          <w:cantSplit/>
        </w:trPr>
        <w:tc>
          <w:tcPr>
            <w:tcW w:type="dxa" w:w="2304"/>
            <w:vAlign w:val="top"/>
          </w:tcPr>
          <w:p>
            <w:pPr>
              <w:spacing w:after="40" w:before="0" w:line="259" w:lineRule="auto"/>
            </w:pPr>
            <w:r>
              <w:rPr>
                <w:rFonts w:ascii="Calibri" w:hAnsi="Calibri"/>
                <w:b/>
                <w:i w:val="0"/>
                <w:color w:val="212121"/>
                <w:sz w:val="19"/>
              </w:rPr>
              <w:t>Dysphagia (difficulty swallowing solids)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May reflect a peptic stricture or, if progressive, esophageal adenocarcinoma — an alarm symptom.</w:t>
            </w:r>
          </w:p>
        </w:tc>
      </w:tr>
      <w:tr>
        <w:trPr>
          <w:cantSplit/>
        </w:trPr>
        <w:tc>
          <w:tcPr>
            <w:tcW w:type="dxa" w:w="2304"/>
            <w:vAlign w:val="top"/>
          </w:tcPr>
          <w:p>
            <w:pPr>
              <w:spacing w:after="40" w:before="0" w:line="259" w:lineRule="auto"/>
            </w:pPr>
            <w:r>
              <w:rPr>
                <w:rFonts w:ascii="Calibri" w:hAnsi="Calibri"/>
                <w:b/>
                <w:i w:val="0"/>
                <w:color w:val="212121"/>
                <w:sz w:val="19"/>
              </w:rPr>
              <w:t>Non-cardiac chest pain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Reflux-related retrosternal pain that can mimic angina; cardiac causes must be excluded first.</w:t>
            </w:r>
          </w:p>
        </w:tc>
      </w:tr>
      <w:tr>
        <w:trPr>
          <w:cantSplit/>
        </w:trPr>
        <w:tc>
          <w:tcPr>
            <w:tcW w:type="dxa" w:w="2304"/>
            <w:vAlign w:val="top"/>
          </w:tcPr>
          <w:p>
            <w:pPr>
              <w:spacing w:after="40" w:before="0" w:line="259" w:lineRule="auto"/>
            </w:pPr>
            <w:r>
              <w:rPr>
                <w:rFonts w:ascii="Calibri" w:hAnsi="Calibri"/>
                <w:b/>
                <w:i w:val="0"/>
                <w:color w:val="212121"/>
                <w:sz w:val="19"/>
              </w:rPr>
              <w:t>Chronic cough / frequent throat-clearing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Extra-esophageal reflux reaching the larynx and airway.</w:t>
            </w:r>
          </w:p>
        </w:tc>
      </w:tr>
      <w:tr>
        <w:trPr>
          <w:cantSplit/>
        </w:trPr>
        <w:tc>
          <w:tcPr>
            <w:tcW w:type="dxa" w:w="2304"/>
            <w:vAlign w:val="top"/>
          </w:tcPr>
          <w:p>
            <w:pPr>
              <w:spacing w:after="40" w:before="0" w:line="259" w:lineRule="auto"/>
            </w:pPr>
            <w:r>
              <w:rPr>
                <w:rFonts w:ascii="Calibri" w:hAnsi="Calibri"/>
                <w:b/>
                <w:i w:val="0"/>
                <w:color w:val="212121"/>
                <w:sz w:val="19"/>
              </w:rPr>
              <w:t>Hoarseness / laryngitis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Reflux laryngitis from acid injury to the vocal cords, often worse in the morning.</w:t>
            </w:r>
          </w:p>
        </w:tc>
      </w:tr>
      <w:tr>
        <w:trPr>
          <w:cantSplit/>
        </w:trPr>
        <w:tc>
          <w:tcPr>
            <w:tcW w:type="dxa" w:w="2304"/>
            <w:vAlign w:val="top"/>
          </w:tcPr>
          <w:p>
            <w:pPr>
              <w:spacing w:after="40" w:before="0" w:line="259" w:lineRule="auto"/>
            </w:pPr>
            <w:r>
              <w:rPr>
                <w:rFonts w:ascii="Calibri" w:hAnsi="Calibri"/>
                <w:b/>
                <w:i w:val="0"/>
                <w:color w:val="212121"/>
                <w:sz w:val="19"/>
              </w:rPr>
              <w:t>Water brash / hypersalivation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Reflex salivation in response to esophageal acid.</w:t>
            </w:r>
          </w:p>
        </w:tc>
      </w:tr>
      <w:tr>
        <w:trPr>
          <w:cantSplit/>
        </w:trPr>
        <w:tc>
          <w:tcPr>
            <w:tcW w:type="dxa" w:w="2304"/>
            <w:vAlign w:val="top"/>
          </w:tcPr>
          <w:p>
            <w:pPr>
              <w:spacing w:after="40" w:before="0" w:line="259" w:lineRule="auto"/>
            </w:pPr>
            <w:r>
              <w:rPr>
                <w:rFonts w:ascii="Calibri" w:hAnsi="Calibri"/>
                <w:b/>
                <w:i w:val="0"/>
                <w:color w:val="212121"/>
                <w:sz w:val="19"/>
              </w:rPr>
              <w:t>Globus sensation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Feeling of a lump in the throat associated with reflux.</w:t>
            </w:r>
          </w:p>
        </w:tc>
      </w:tr>
      <w:tr>
        <w:trPr>
          <w:cantSplit/>
        </w:trPr>
        <w:tc>
          <w:tcPr>
            <w:tcW w:type="dxa" w:w="2304"/>
            <w:vAlign w:val="top"/>
          </w:tcPr>
          <w:p>
            <w:pPr>
              <w:spacing w:after="40" w:before="0" w:line="259" w:lineRule="auto"/>
            </w:pPr>
            <w:r>
              <w:rPr>
                <w:rFonts w:ascii="Calibri" w:hAnsi="Calibri"/>
                <w:b/>
                <w:i w:val="0"/>
                <w:color w:val="212121"/>
                <w:sz w:val="19"/>
              </w:rPr>
              <w:t>Odynophagia (painful swallowing)</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Suggests esophagitis, ulceration or advanced disease.</w:t>
            </w:r>
          </w:p>
        </w:tc>
      </w:tr>
      <w:tr>
        <w:trPr>
          <w:cantSplit/>
        </w:trPr>
        <w:tc>
          <w:tcPr>
            <w:tcW w:type="dxa" w:w="2304"/>
            <w:vAlign w:val="top"/>
          </w:tcPr>
          <w:p>
            <w:pPr>
              <w:spacing w:after="40" w:before="0" w:line="259" w:lineRule="auto"/>
            </w:pPr>
            <w:r>
              <w:rPr>
                <w:rFonts w:ascii="Calibri" w:hAnsi="Calibri"/>
                <w:b/>
                <w:i w:val="0"/>
                <w:color w:val="212121"/>
                <w:sz w:val="19"/>
              </w:rPr>
              <w:t>Haematemesis / melena</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Overt bleeding from a Barrett's ulcer, severe esophagitis or malignancy.</w:t>
            </w:r>
          </w:p>
        </w:tc>
      </w:tr>
      <w:tr>
        <w:trPr>
          <w:cantSplit/>
        </w:trPr>
        <w:tc>
          <w:tcPr>
            <w:tcW w:type="dxa" w:w="2304"/>
            <w:vAlign w:val="top"/>
          </w:tcPr>
          <w:p>
            <w:pPr>
              <w:spacing w:after="40" w:before="0" w:line="259" w:lineRule="auto"/>
            </w:pPr>
            <w:r>
              <w:rPr>
                <w:rFonts w:ascii="Calibri" w:hAnsi="Calibri"/>
                <w:b/>
                <w:i w:val="0"/>
                <w:color w:val="212121"/>
                <w:sz w:val="19"/>
              </w:rPr>
              <w:t>Unintentional weight loss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An alarm feature raising concern for esophageal adenocarcinoma.</w:t>
            </w:r>
          </w:p>
        </w:tc>
      </w:tr>
      <w:tr>
        <w:trPr>
          <w:cantSplit/>
        </w:trPr>
        <w:tc>
          <w:tcPr>
            <w:tcW w:type="dxa" w:w="2304"/>
            <w:vAlign w:val="top"/>
          </w:tcPr>
          <w:p>
            <w:pPr>
              <w:spacing w:after="40" w:before="0" w:line="259" w:lineRule="auto"/>
            </w:pPr>
            <w:r>
              <w:rPr>
                <w:rFonts w:ascii="Calibri" w:hAnsi="Calibri"/>
                <w:b/>
                <w:i w:val="0"/>
                <w:color w:val="212121"/>
                <w:sz w:val="19"/>
              </w:rPr>
              <w:t>Fatigue from iron-deficiency anaemia</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Consequence of chronic occult blood loss from eroded or malignant mucosa.</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Salmon-coloured columnar mucosa above the GEJ</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The endoscopic hallmark — velvety pink-orange mucosa extending ≥ 1 cm proximal to the gastro-esophageal junction.</w:t>
            </w:r>
          </w:p>
        </w:tc>
      </w:tr>
      <w:tr>
        <w:trPr>
          <w:cantSplit/>
        </w:trPr>
        <w:tc>
          <w:tcPr>
            <w:tcW w:type="dxa" w:w="3456"/>
            <w:vAlign w:val="top"/>
          </w:tcPr>
          <w:p>
            <w:pPr>
              <w:spacing w:after="40" w:before="0" w:line="259" w:lineRule="auto"/>
            </w:pPr>
            <w:r>
              <w:rPr>
                <w:rFonts w:ascii="Calibri" w:hAnsi="Calibri"/>
                <w:b/>
                <w:i w:val="0"/>
                <w:color w:val="212121"/>
                <w:sz w:val="19"/>
              </w:rPr>
              <w:t>Intestinal metaplasia with goblet cells on biopsy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The defining histological sign that confirms Barrett's esophagus.</w:t>
            </w:r>
          </w:p>
        </w:tc>
      </w:tr>
      <w:tr>
        <w:trPr>
          <w:cantSplit/>
        </w:trPr>
        <w:tc>
          <w:tcPr>
            <w:tcW w:type="dxa" w:w="3456"/>
            <w:vAlign w:val="top"/>
          </w:tcPr>
          <w:p>
            <w:pPr>
              <w:spacing w:after="40" w:before="0" w:line="259" w:lineRule="auto"/>
            </w:pPr>
            <w:r>
              <w:rPr>
                <w:rFonts w:ascii="Calibri" w:hAnsi="Calibri"/>
                <w:b/>
                <w:i w:val="0"/>
                <w:color w:val="212121"/>
                <w:sz w:val="19"/>
              </w:rPr>
              <w:t>Coexisting hiatal hernia at endoscopy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Frequently accompanies BE and marks a weakened anti-reflux barrier.</w:t>
            </w:r>
          </w:p>
        </w:tc>
      </w:tr>
      <w:tr>
        <w:trPr>
          <w:cantSplit/>
        </w:trPr>
        <w:tc>
          <w:tcPr>
            <w:tcW w:type="dxa" w:w="3456"/>
            <w:vAlign w:val="top"/>
          </w:tcPr>
          <w:p>
            <w:pPr>
              <w:spacing w:after="40" w:before="0" w:line="259" w:lineRule="auto"/>
            </w:pPr>
            <w:r>
              <w:rPr>
                <w:rFonts w:ascii="Calibri" w:hAnsi="Calibri"/>
                <w:b/>
                <w:i w:val="0"/>
                <w:color w:val="212121"/>
                <w:sz w:val="19"/>
              </w:rPr>
              <w:t>Reflux esophagitis / mucosal erosions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Erythema, friability and erosions of the distal esophageal mucosa from acid injury.</w:t>
            </w:r>
          </w:p>
        </w:tc>
      </w:tr>
      <w:tr>
        <w:trPr>
          <w:cantSplit/>
        </w:trPr>
        <w:tc>
          <w:tcPr>
            <w:tcW w:type="dxa" w:w="3456"/>
            <w:vAlign w:val="top"/>
          </w:tcPr>
          <w:p>
            <w:pPr>
              <w:spacing w:after="40" w:before="0" w:line="259" w:lineRule="auto"/>
            </w:pPr>
            <w:r>
              <w:rPr>
                <w:rFonts w:ascii="Calibri" w:hAnsi="Calibri"/>
                <w:b/>
                <w:i w:val="0"/>
                <w:color w:val="212121"/>
                <w:sz w:val="19"/>
              </w:rPr>
              <w:t>Peptic esophageal stricture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Fibrotic luminal narrowing from chronic reflux, producing dysphagia.</w:t>
            </w:r>
          </w:p>
        </w:tc>
      </w:tr>
      <w:tr>
        <w:trPr>
          <w:cantSplit/>
        </w:trPr>
        <w:tc>
          <w:tcPr>
            <w:tcW w:type="dxa" w:w="3456"/>
            <w:vAlign w:val="top"/>
          </w:tcPr>
          <w:p>
            <w:pPr>
              <w:spacing w:after="40" w:before="0" w:line="259" w:lineRule="auto"/>
            </w:pPr>
            <w:r>
              <w:rPr>
                <w:rFonts w:ascii="Calibri" w:hAnsi="Calibri"/>
                <w:b/>
                <w:i w:val="0"/>
                <w:color w:val="212121"/>
                <w:sz w:val="19"/>
              </w:rPr>
              <w:t>Barrett's (columnar-lined) ulcer</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Deep ulceration within the metaplastic segment that may bleed.</w:t>
            </w:r>
          </w:p>
        </w:tc>
      </w:tr>
      <w:tr>
        <w:trPr>
          <w:cantSplit/>
        </w:trPr>
        <w:tc>
          <w:tcPr>
            <w:tcW w:type="dxa" w:w="3456"/>
            <w:vAlign w:val="top"/>
          </w:tcPr>
          <w:p>
            <w:pPr>
              <w:spacing w:after="40" w:before="0" w:line="259" w:lineRule="auto"/>
            </w:pPr>
            <w:r>
              <w:rPr>
                <w:rFonts w:ascii="Calibri" w:hAnsi="Calibri"/>
                <w:b/>
                <w:i w:val="0"/>
                <w:color w:val="212121"/>
                <w:sz w:val="19"/>
              </w:rPr>
              <w:t>Central obesity / raised waist circumference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 clinical marker of the visceral adiposity that drives reflux and BE.</w:t>
            </w:r>
          </w:p>
        </w:tc>
      </w:tr>
      <w:tr>
        <w:trPr>
          <w:cantSplit/>
        </w:trPr>
        <w:tc>
          <w:tcPr>
            <w:tcW w:type="dxa" w:w="3456"/>
            <w:vAlign w:val="top"/>
          </w:tcPr>
          <w:p>
            <w:pPr>
              <w:spacing w:after="40" w:before="0" w:line="259" w:lineRule="auto"/>
            </w:pPr>
            <w:r>
              <w:rPr>
                <w:rFonts w:ascii="Calibri" w:hAnsi="Calibri"/>
                <w:b/>
                <w:i w:val="0"/>
                <w:color w:val="212121"/>
                <w:sz w:val="19"/>
              </w:rPr>
              <w:t>Dental erosions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Loss of enamel on the palatal/lingual surfaces from chronic acid regurgitation.</w:t>
            </w:r>
          </w:p>
        </w:tc>
      </w:tr>
      <w:tr>
        <w:trPr>
          <w:cantSplit/>
        </w:trPr>
        <w:tc>
          <w:tcPr>
            <w:tcW w:type="dxa" w:w="3456"/>
            <w:vAlign w:val="top"/>
          </w:tcPr>
          <w:p>
            <w:pPr>
              <w:spacing w:after="40" w:before="0" w:line="259" w:lineRule="auto"/>
            </w:pPr>
            <w:r>
              <w:rPr>
                <w:rFonts w:ascii="Calibri" w:hAnsi="Calibri"/>
                <w:b/>
                <w:i w:val="0"/>
                <w:color w:val="212121"/>
                <w:sz w:val="19"/>
              </w:rPr>
              <w:t>Nodule, mass or ulcerated lesion in the segment</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A visible lesion within Barrett's mucosa suggests dysplasia or adenocarcinoma and warrants targeted biopsy.</w:t>
            </w:r>
          </w:p>
        </w:tc>
      </w:tr>
      <w:tr>
        <w:trPr>
          <w:cantSplit/>
        </w:trPr>
        <w:tc>
          <w:tcPr>
            <w:tcW w:type="dxa" w:w="3456"/>
            <w:vAlign w:val="top"/>
          </w:tcPr>
          <w:p>
            <w:pPr>
              <w:spacing w:after="40" w:before="0" w:line="259" w:lineRule="auto"/>
            </w:pPr>
            <w:r>
              <w:rPr>
                <w:rFonts w:ascii="Calibri" w:hAnsi="Calibri"/>
                <w:b/>
                <w:i w:val="0"/>
                <w:color w:val="212121"/>
                <w:sz w:val="19"/>
              </w:rPr>
              <w:t>Pallor (anaemia)</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Reflects iron-deficiency anaemia from chronic occult blood loss.</w:t>
            </w:r>
          </w:p>
        </w:tc>
      </w:tr>
      <w:tr>
        <w:trPr>
          <w:cantSplit/>
        </w:trPr>
        <w:tc>
          <w:tcPr>
            <w:tcW w:type="dxa" w:w="3456"/>
            <w:vAlign w:val="top"/>
          </w:tcPr>
          <w:p>
            <w:pPr>
              <w:spacing w:after="40" w:before="0" w:line="259" w:lineRule="auto"/>
            </w:pPr>
            <w:r>
              <w:rPr>
                <w:rFonts w:ascii="Calibri" w:hAnsi="Calibri"/>
                <w:b/>
                <w:i w:val="0"/>
                <w:color w:val="212121"/>
                <w:sz w:val="19"/>
              </w:rPr>
              <w:t>Palpable supraclavicular lymph node (Virchow's)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A sign of advanced/metastatic esophageal adenocarcinoma.</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Reflux esophagitis with erosions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Barrett's (columnar-lined) esophageal ulcer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Peptic esophageal stricture with dysphagia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Gastro-intestinal bleeding and iron-deficiency anaemia</w:t>
            </w:r>
          </w:p>
        </w:tc>
        <w:tc>
          <w:tcPr>
            <w:tcW w:type="dxa" w:w="2980"/>
            <w:vAlign w:val="top"/>
          </w:tcPr>
          <w:p>
            <w:pPr>
              <w:spacing w:after="40" w:before="0" w:line="259" w:lineRule="auto"/>
            </w:pPr>
            <w:r>
              <w:rPr>
                <w:rFonts w:ascii="Calibri" w:hAnsi="Calibri"/>
                <w:b w:val="0"/>
                <w:i w:val="0"/>
                <w:color w:val="212121"/>
                <w:sz w:val="19"/>
              </w:rPr>
              <w:t>Direct, largely reversible consequences of ongoing acid/bile injury to the metaplastic and adjacent mucosa</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Indefinite for dysplasia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Low-grade dysplasia (annual cancer risk ~0.5-1%)</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High-grade dysplasia (annual cancer risk &gt;5%, up to ~7%)</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Progressive lengthening of the metaplastic segment</w:t>
            </w:r>
          </w:p>
        </w:tc>
        <w:tc>
          <w:tcPr>
            <w:tcW w:type="dxa" w:w="2980"/>
            <w:vAlign w:val="top"/>
          </w:tcPr>
          <w:p>
            <w:pPr>
              <w:spacing w:after="40" w:before="0" w:line="259" w:lineRule="auto"/>
            </w:pPr>
            <w:r>
              <w:rPr>
                <w:rFonts w:ascii="Calibri" w:hAnsi="Calibri"/>
                <w:b w:val="0"/>
                <w:i w:val="0"/>
                <w:color w:val="212121"/>
                <w:sz w:val="19"/>
              </w:rPr>
              <w:t>Stepwise neoplastic progression of the metaplasia; the key rationale for endoscopic surveillance</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Esophageal adenocarcinoma (30-40x increased risk vs general population)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Locally advanced / metastatic esophageal cancer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Need for endoscopic eradication therapy or esophagectomy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Cancer-related morbidity and mortality</w:t>
            </w:r>
          </w:p>
        </w:tc>
        <w:tc>
          <w:tcPr>
            <w:tcW w:type="dxa" w:w="2980"/>
            <w:vAlign w:val="top"/>
          </w:tcPr>
          <w:p>
            <w:pPr>
              <w:spacing w:after="40" w:before="0" w:line="259" w:lineRule="auto"/>
            </w:pPr>
            <w:r>
              <w:rPr>
                <w:rFonts w:ascii="Calibri" w:hAnsi="Calibri"/>
                <w:b w:val="0"/>
                <w:i w:val="0"/>
                <w:color w:val="212121"/>
                <w:sz w:val="19"/>
              </w:rPr>
              <w:t>Irreversible end-stage outcomes; non-dysplastic BE progresses to cancer at ~0.1-0.4% per year but the lifetime and dysplastic risk is substantial</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Gastro-esophageal reflux disease (GERD)</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The direct antecedent of BE; chronic acid/bile reflux drives the metaplasia and its presence and duration govern screening.</w:t>
            </w:r>
          </w:p>
          <w:p>
            <w:pPr>
              <w:spacing w:after="40" w:before="0" w:line="259" w:lineRule="auto"/>
            </w:pPr>
            <w:r>
              <w:rPr>
                <w:rFonts w:ascii="Calibri" w:hAnsi="Calibri"/>
                <w:b/>
                <w:i w:val="0"/>
                <w:color w:val="212121"/>
                <w:sz w:val="19"/>
              </w:rPr>
              <w:t>BE in ~5-15% of Indian GERD patients</w:t>
            </w:r>
          </w:p>
        </w:tc>
      </w:tr>
      <w:tr>
        <w:trPr>
          <w:cantSplit/>
        </w:trPr>
        <w:tc>
          <w:tcPr>
            <w:tcW w:type="dxa" w:w="2232"/>
            <w:vAlign w:val="top"/>
          </w:tcPr>
          <w:p>
            <w:pPr>
              <w:spacing w:after="40" w:before="0" w:line="259" w:lineRule="auto"/>
            </w:pPr>
            <w:r>
              <w:rPr>
                <w:rFonts w:ascii="Calibri" w:hAnsi="Calibri"/>
                <w:b/>
                <w:i w:val="0"/>
                <w:color w:val="212121"/>
                <w:sz w:val="19"/>
              </w:rPr>
              <w:t>Hiatal hernia</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Disrupts the anti-reflux barrier and creates an acid reservoir, strongly predisposing to BE, especially long-segment disease.</w:t>
            </w:r>
          </w:p>
          <w:p>
            <w:pPr>
              <w:spacing w:after="40" w:before="0" w:line="259" w:lineRule="auto"/>
            </w:pPr>
            <w:r>
              <w:rPr>
                <w:rFonts w:ascii="Calibri" w:hAnsi="Calibri"/>
                <w:b/>
                <w:i w:val="0"/>
                <w:color w:val="212121"/>
                <w:sz w:val="19"/>
              </w:rPr>
              <w:t>OR ~3.94</w:t>
            </w:r>
          </w:p>
        </w:tc>
      </w:tr>
      <w:tr>
        <w:trPr>
          <w:cantSplit/>
        </w:trPr>
        <w:tc>
          <w:tcPr>
            <w:tcW w:type="dxa" w:w="2232"/>
            <w:vAlign w:val="top"/>
          </w:tcPr>
          <w:p>
            <w:pPr>
              <w:spacing w:after="40" w:before="0" w:line="259" w:lineRule="auto"/>
            </w:pPr>
            <w:r>
              <w:rPr>
                <w:rFonts w:ascii="Calibri" w:hAnsi="Calibri"/>
                <w:b/>
                <w:i w:val="0"/>
                <w:color w:val="212121"/>
                <w:sz w:val="19"/>
              </w:rPr>
              <w:t>Obesity / central adiposity</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Raises intra-abdominal pressure and supplies pro-inflammatory adipokines, promoting reflux and metaplasia.</w:t>
            </w:r>
          </w:p>
          <w:p>
            <w:pPr>
              <w:spacing w:after="40" w:before="0" w:line="259" w:lineRule="auto"/>
            </w:pPr>
            <w:r>
              <w:rPr>
                <w:rFonts w:ascii="Calibri" w:hAnsi="Calibri"/>
                <w:b/>
                <w:i w:val="0"/>
                <w:color w:val="212121"/>
                <w:sz w:val="19"/>
              </w:rPr>
              <w:t>OR ~2.04</w:t>
            </w:r>
          </w:p>
        </w:tc>
      </w:tr>
      <w:tr>
        <w:trPr>
          <w:cantSplit/>
        </w:trPr>
        <w:tc>
          <w:tcPr>
            <w:tcW w:type="dxa" w:w="2232"/>
            <w:vAlign w:val="top"/>
          </w:tcPr>
          <w:p>
            <w:pPr>
              <w:spacing w:after="40" w:before="0" w:line="259" w:lineRule="auto"/>
            </w:pPr>
            <w:r>
              <w:rPr>
                <w:rFonts w:ascii="Calibri" w:hAnsi="Calibri"/>
                <w:b/>
                <w:i w:val="0"/>
                <w:color w:val="212121"/>
                <w:sz w:val="19"/>
              </w:rPr>
              <w:t>Metabolic syndrome</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Insulin resistance, central obesity and a pro-inflammatory state independently raise BE risk.</w:t>
            </w:r>
          </w:p>
          <w:p>
            <w:pPr>
              <w:spacing w:after="40" w:before="0" w:line="259" w:lineRule="auto"/>
            </w:pPr>
            <w:r>
              <w:rPr>
                <w:rFonts w:ascii="Calibri" w:hAnsi="Calibri"/>
                <w:b/>
                <w:i w:val="0"/>
                <w:color w:val="212121"/>
                <w:sz w:val="19"/>
              </w:rPr>
              <w:t>OR ~1.35</w:t>
            </w:r>
          </w:p>
        </w:tc>
      </w:tr>
      <w:tr>
        <w:trPr>
          <w:cantSplit/>
        </w:trPr>
        <w:tc>
          <w:tcPr>
            <w:tcW w:type="dxa" w:w="2232"/>
            <w:vAlign w:val="top"/>
          </w:tcPr>
          <w:p>
            <w:pPr>
              <w:spacing w:after="40" w:before="0" w:line="259" w:lineRule="auto"/>
            </w:pPr>
            <w:r>
              <w:rPr>
                <w:rFonts w:ascii="Calibri" w:hAnsi="Calibri"/>
                <w:b/>
                <w:i w:val="0"/>
                <w:color w:val="212121"/>
                <w:sz w:val="19"/>
              </w:rPr>
              <w:t>Esophageal adenocarcinoma</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The feared malignant outcome; BE is its only recognised precursor and the reason for surveillance.</w:t>
            </w:r>
          </w:p>
          <w:p>
            <w:pPr>
              <w:spacing w:after="40" w:before="0" w:line="259" w:lineRule="auto"/>
            </w:pPr>
            <w:r>
              <w:rPr>
                <w:rFonts w:ascii="Calibri" w:hAnsi="Calibri"/>
                <w:b/>
                <w:i w:val="0"/>
                <w:color w:val="212121"/>
                <w:sz w:val="19"/>
              </w:rPr>
              <w:t>30-40x increased risk</w:t>
            </w:r>
          </w:p>
        </w:tc>
      </w:tr>
      <w:tr>
        <w:trPr>
          <w:cantSplit/>
        </w:trPr>
        <w:tc>
          <w:tcPr>
            <w:tcW w:type="dxa" w:w="2232"/>
            <w:vAlign w:val="top"/>
          </w:tcPr>
          <w:p>
            <w:pPr>
              <w:spacing w:after="40" w:before="0" w:line="259" w:lineRule="auto"/>
            </w:pPr>
            <w:r>
              <w:rPr>
                <w:rFonts w:ascii="Calibri" w:hAnsi="Calibri"/>
                <w:b/>
                <w:i w:val="0"/>
                <w:color w:val="212121"/>
                <w:sz w:val="19"/>
              </w:rPr>
              <w:t>Peptic esophageal stricture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Fibrotic narrowing from the same chronic acid injury, causing dysphagia and complicating endoscopic assessment.</w:t>
            </w:r>
          </w:p>
        </w:tc>
      </w:tr>
      <w:tr>
        <w:trPr>
          <w:cantSplit/>
        </w:trPr>
        <w:tc>
          <w:tcPr>
            <w:tcW w:type="dxa" w:w="2232"/>
            <w:vAlign w:val="top"/>
          </w:tcPr>
          <w:p>
            <w:pPr>
              <w:spacing w:after="40" w:before="0" w:line="259" w:lineRule="auto"/>
            </w:pPr>
            <w:r>
              <w:rPr>
                <w:rFonts w:ascii="Calibri" w:hAnsi="Calibri"/>
                <w:b/>
                <w:i w:val="0"/>
                <w:color w:val="212121"/>
                <w:sz w:val="19"/>
              </w:rPr>
              <w:t>Obstructive sleep apnoea (OSA)</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Shares central-obesity aetiology and worsens nocturnal reflux through intra-thoracic pressure swings.</w:t>
            </w:r>
          </w:p>
        </w:tc>
      </w:tr>
      <w:tr>
        <w:trPr>
          <w:cantSplit/>
        </w:trPr>
        <w:tc>
          <w:tcPr>
            <w:tcW w:type="dxa" w:w="2232"/>
            <w:vAlign w:val="top"/>
          </w:tcPr>
          <w:p>
            <w:pPr>
              <w:spacing w:after="40" w:before="0" w:line="259" w:lineRule="auto"/>
            </w:pPr>
            <w:r>
              <w:rPr>
                <w:rFonts w:ascii="Calibri" w:hAnsi="Calibri"/>
                <w:b/>
                <w:i w:val="0"/>
                <w:color w:val="212121"/>
                <w:sz w:val="19"/>
              </w:rPr>
              <w:t>Helicobacter pylori infection</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Inversely associated with BE — gastric infection lowers acid and appears protective; its status affects gastric evaluation and PPI planning.</w:t>
            </w:r>
          </w:p>
          <w:p>
            <w:pPr>
              <w:spacing w:after="40" w:before="0" w:line="259" w:lineRule="auto"/>
            </w:pPr>
            <w:r>
              <w:rPr>
                <w:rFonts w:ascii="Calibri" w:hAnsi="Calibri"/>
                <w:b/>
                <w:i w:val="0"/>
                <w:color w:val="212121"/>
                <w:sz w:val="19"/>
              </w:rPr>
              <w:t>OR ~0.46 for negative status</w:t>
            </w:r>
          </w:p>
        </w:tc>
      </w:tr>
      <w:tr>
        <w:trPr>
          <w:cantSplit/>
        </w:trPr>
        <w:tc>
          <w:tcPr>
            <w:tcW w:type="dxa" w:w="2232"/>
            <w:vAlign w:val="top"/>
          </w:tcPr>
          <w:p>
            <w:pPr>
              <w:spacing w:after="40" w:before="0" w:line="259" w:lineRule="auto"/>
            </w:pPr>
            <w:r>
              <w:rPr>
                <w:rFonts w:ascii="Calibri" w:hAnsi="Calibri"/>
                <w:b/>
                <w:i w:val="0"/>
                <w:color w:val="212121"/>
                <w:sz w:val="19"/>
              </w:rPr>
              <w:t>Reflux-related asthma / chronic laryngitis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Micro-aspiration of refluxate contributes to airway and laryngeal disease, with reflux and airway symptoms reinforcing each other.</w:t>
            </w:r>
          </w:p>
        </w:tc>
      </w:tr>
      <w:tr>
        <w:trPr>
          <w:cantSplit/>
        </w:trPr>
        <w:tc>
          <w:tcPr>
            <w:tcW w:type="dxa" w:w="2232"/>
            <w:vAlign w:val="top"/>
          </w:tcPr>
          <w:p>
            <w:pPr>
              <w:spacing w:after="40" w:before="0" w:line="259" w:lineRule="auto"/>
            </w:pPr>
            <w:r>
              <w:rPr>
                <w:rFonts w:ascii="Calibri" w:hAnsi="Calibri"/>
                <w:b/>
                <w:i w:val="0"/>
                <w:color w:val="212121"/>
                <w:sz w:val="19"/>
              </w:rPr>
              <w:t>Scleroderma / esophageal dysmotility</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Impaired peristalsis and a hypotensive sphincter greatly increase reflux burden and BE risk, and alter management.</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Barrett's esophagus results from years of acid reflux and is the main precursor of esophageal (adenocarcinoma) cancer — controlling reflux matters.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Know your risk profile: chronic (weekly, long-standing) heartburn plus male sex, age over 50, central obesity, smoking or a family history of BE/esophageal cancer should prompt a screening endoscopy.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Be aware that BE is often silent — up to about 40% of patients have few symptoms — so risk factors, not symptoms alone, should guide screening.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alarm features that need urgent endoscopy: difficulty or pain on swallowing, unintentional weight loss, vomiting blood, black stools or unexplained anaemia.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BE is confirmed, attend recommended surveillance endoscopies — every 3-5 years for non-dysplastic BE — because early dysplasia is curable with endoscopic 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prescribed acid-suppression (proton-pump inhibitor) therapy consistently and do not stop it without medical advice.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GERD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over 50</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Central-obesity/overweight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a family history of BE/esophageal cancer</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at least 150 minutes/week of moderate activity (brisk walking, cycling, swimming) focused on reducing waist size and visceral fat.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Target a gradual 5-10% weight loss if overweight, as losing central fat lowers intra-abdominal pressure and reflux.</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vigorous exercise, heavy lifting or core crunches immediately after meals, which can transiently worsen reflux.</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Break up prolonged sitting with short walks, especially a gentle 10-15 minute walk after main meals.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Prefer upright activities after eating over lying down or bending forward.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office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Central-obesity phenotype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GERD/BE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a fibre-rich diet with plenty of fruit and vegetables (aim ≥ 5 servings/day); fruit and leafy vegetables are linked to markedly lower BE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high-fat, fried and energy-dense foods that delay gastric emptying and relax the sphincter.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Identify and reduce personal reflux triggers — commonly very spicy or fried food, chocolate, peppermint, citrus, tomato, coffee/tea and carbonated or fizzy drinks.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smaller, more frequent meals rather than large heavy meals, and avoid overeating.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Finish the last meal at least 3 hours before lying down, and avoid late-night eating.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healthy weight through portion control and whole, minimally processed foods.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GERD/BE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High-fat, low-fibre eaters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frequent reflux triggers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dietary modification with prescribed proton-pump-inhibitor therapy for durable acid control in established BE.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simple food-symptom diary to pinpoint and then avoid individual trigger foods.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Prefer low-fat cooking methods (steaming, grilling, boiling) over deep-frying in the daily Indian kitchen.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well hydrated with water rather than carbonated or highly caffeinated drinks.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Confirmed BE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Refractory-reflux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long-term PPI</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Elevate the head of the bed by 15-20 cm (6-8 inches) using blocks or a wedge, rather than extra pillows, to reduce night-time reflux.</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Sleep on the left side, which is associated with less nocturnal acid exposure.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eating within 3 hours of bedtime and avoid late heavy dinners.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obstructive sleep apnoea, which worsens nocturnal reflux, if snoring or daytime sleepiness are present.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nocturnal reflux</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Obese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Late-night eaters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Suspected OSA</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all tobacco (cigarettes, bidis, hookah); smoking roughly increases BE risk and speeds progression toward cancer.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structured cessation support — counselling, quit-lines and pharmacotherapy (nicotine replacement, bupropion or varenicline) as appropriate.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exposure at home and work.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quitting with weight and diet control, as these risks are additive.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Current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Bidi/hookah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BE patients who smoke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 contacts exposed to smoke</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Minimise alcohol, especially spirits and beer, which lower sphincter tone and worsen the reflux that drives BE.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drinking, keep well within low-risk limits and avoid alcohol close to bedtime.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mixing alcohol with large or fatty late-night meals.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reducing alcohol also lowers overall esophageal-cancer risk.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BE patients who drink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nocturnal reflux</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stress-reduction techniques (breathing exercises, yoga, mindfulness) to reduce reflux-symptom perception and stress-driven eating and smoking.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health anxiety about cancer risk with clear information and a defined surveillance plan.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support for depression or anxiety, which can undermine adherence to diet, weight loss and medication.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using tobacco or alcohol as coping mechanisms for stress.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Anxious/health-anxious BE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stress-related reflux</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struggling with adherence</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aafp.org/pubs/afp/issues/2022/1000/barrett-esophagus.html" TargetMode="External"/><Relationship Id="rId10" Type="http://schemas.openxmlformats.org/officeDocument/2006/relationships/hyperlink" Target="https://www.ncbi.nlm.nih.gov/books/NBK430979/" TargetMode="External"/><Relationship Id="rId11" Type="http://schemas.openxmlformats.org/officeDocument/2006/relationships/hyperlink" Target="https://link.springer.com/article/10.1007/s12664-020-01104-0" TargetMode="External"/><Relationship Id="rId12" Type="http://schemas.openxmlformats.org/officeDocument/2006/relationships/hyperlink" Target="https://pubmed.ncbi.nlm.nih.gov/25349686/" TargetMode="External"/><Relationship Id="rId13" Type="http://schemas.openxmlformats.org/officeDocument/2006/relationships/hyperlink" Target="https://journals.plos.org/plosone/article?id=10.1371/journal.pone.0167815" TargetMode="External"/><Relationship Id="rId14" Type="http://schemas.openxmlformats.org/officeDocument/2006/relationships/hyperlink" Target="https://link.springer.com/article/10.1186/s12876-020-01267-2" TargetMode="External"/><Relationship Id="rId15" Type="http://schemas.openxmlformats.org/officeDocument/2006/relationships/hyperlink" Target="https://www.esocan.org/diet-and-risk-of-barretts/" TargetMode="External"/><Relationship Id="rId16" Type="http://schemas.openxmlformats.org/officeDocument/2006/relationships/hyperlink" Target="https://www.thieme-connect.com/products/ejournals/pdf/10.1055/s-0041-174146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