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Rectal Prolapse</w:t>
      </w:r>
    </w:p>
    <w:p>
      <w:pPr>
        <w:spacing w:before="0" w:after="160"/>
      </w:pPr>
      <w:r>
        <w:rPr>
          <w:rFonts w:ascii="Calibri" w:hAnsi="Calibri"/>
          <w:b/>
          <w:i w:val="0"/>
          <w:color w:val="212121"/>
          <w:sz w:val="22"/>
        </w:rPr>
        <w:t xml:space="preserve">AKA </w:t>
      </w:r>
      <w:r>
        <w:rPr>
          <w:rFonts w:ascii="Calibri" w:hAnsi="Calibri"/>
          <w:b w:val="0"/>
          <w:i w:val="0"/>
          <w:color w:val="212121"/>
          <w:sz w:val="22"/>
        </w:rPr>
        <w:t>i.e., Rectal procidentia, Complete rectal prolapse, Rectal intussusception, Prolapsed rectum, Guda Bhramsa (Ayurveda)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Rectal prolapse is the abnormal protrusion of the rectal wall through the anal canal, occurring as a spectrum that ranges from occult internal intussusception, through partial-thickness mucosal prolapse, to complete full-thickness external protrusion of all rectal layers (procidentia). It results from progressive weakening of the pelvic floor and rectal supports combined with chronic straining, so that the rectum telescopes on itself and descends. Patients typically present with a protruding anal mass on defecation or straining, faecal incontinence, obstructed defecation, mucus discharge and bleeding. It is a benign but disabling and progressive condition whose definitive treatment is surgical.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Rectal prolapse is uncommon, with a reported incidence of about 2.5 cases per 100,000 population per year in Western series. Roughly 80-90% of adult cases are women, the male-to-female ratio approaching 1:6, and adult prevalence rises sharply after the sixth decade, peaking in elderly women, whereas the minority of affected men tend to present before 50 years. Large population-based Indian data are lacking and the condition is considered relatively uncommon and under-reported locally, but two patterns are India-relevant: full-thickness prolapse in young children remains comparatively common in India and South Asia because of malnutrition, chronic diarrhoea and parasitic infestation, and the wider pelvic-floor prolapse burden is high - GBD 2019 gave India the highest age-standardised incidence of pelvic organ prolapse among the BRICS nations at about 400 per 100,000 women per year, although the all-age trend fell by roughly 15% between 1990 and 2019 alongside nutritional and maternal-health programmes.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Rectal prolapse is primarily a clinical diagnosis made by reproducing and directly visualising the prolapse, then characterising the pelvic floor and excluding a lead-point lesion. Defecating proctography (or dynamic MRI defecography) is the reference standard for occult internal prolapse and for grading, and adjunctive physiology tests define sphincter and neural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visualisation of the prolapse: full-thickness (complete) prolapse shows concentric rings of mucosa with a sulcus between the anal canal and the protruding rectum, whereas mucosal prolapse and prolapsing haemorrhoids show radial folds and no such sulcus;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Provocation manoeuvre: if the prolapse is not evident at rest, ask the patient to strain or squat over a commode / toilet, since the prolapse may only appear on Valsalva or after walking;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Defecating proctography (evacuation proctogram): reference standard for internal / occult intussusception, allowing Oxford grading and detection of coexisting rectocele, enterocele and cystocele;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Dynamic MRI defecography: multi-compartment assessment of the whole pelvic floor without ionising radiation, useful when combined pelvic organ prolapse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Colonoscopy or flexible sigmoidoscopy: to exclude a neoplasm or polyp acting as a lead point and to identify solitary rectal ulcer syndrome;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Anorectal manometry: measures resting and squeeze sphincter pressures and the rectoanal inhibitory reflex, which is frequently absent or impaired in high-grade prolapse;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Pudendal nerve terminal motor latency / EMG: assesses pudendal neuropathy contributing to associated faecal incontinence and prognosis after repair;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Colonic transit study: performed when slow-transit constipation coexists and may influence the choice of operation;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children: examine nutritional status and stool, test for parasites, and perform a sweat-chloride test to exclude cystic fibrosis when prolapse is recurrent.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Rectal prolapse is classified anatomically by the depth and extent of the protrusion, and internal (occult) prolapse is graded radiologically on proctography using the Oxford system, which correlates with symptoms and treatment:</w:t>
      </w:r>
    </w:p>
    <w:p>
      <w:pPr>
        <w:spacing w:before="0" w:after="80"/>
      </w:pPr>
      <w:r>
        <w:rPr>
          <w:rFonts w:ascii="Calibri" w:hAnsi="Calibri"/>
          <w:b w:val="0"/>
          <w:i w:val="0"/>
          <w:color w:val="212121"/>
          <w:sz w:val="21"/>
        </w:rPr>
        <w:t>(1) External (complete / full-thickness) rectal prolapse (procidentia) - protrusion of all layers of the rectal wall through the anus, seen as concentric mucosal rings with a sulcus at the anal verge; the classic overt form, most common in elderly women;</w:t>
      </w:r>
    </w:p>
    <w:p>
      <w:pPr>
        <w:spacing w:before="0" w:after="80"/>
      </w:pPr>
      <w:r>
        <w:rPr>
          <w:rFonts w:ascii="Calibri" w:hAnsi="Calibri"/>
          <w:b w:val="0"/>
          <w:i w:val="0"/>
          <w:color w:val="212121"/>
          <w:sz w:val="21"/>
        </w:rPr>
        <w:t>(2) Mucosal (partial-thickness) prolapse - protrusion of redundant rectal or anal mucosa only, showing radial folds and no deep sulcus, overlapping clinically with prolapsing haemorrhoids and often seen in children and after haemorrhoidal disease;</w:t>
      </w:r>
    </w:p>
    <w:p>
      <w:pPr>
        <w:spacing w:before="0" w:after="80"/>
      </w:pPr>
      <w:r>
        <w:rPr>
          <w:rFonts w:ascii="Calibri" w:hAnsi="Calibri"/>
          <w:b w:val="0"/>
          <w:i w:val="0"/>
          <w:color w:val="212121"/>
          <w:sz w:val="21"/>
        </w:rPr>
        <w:t>(3) Internal rectal prolapse / rectal intussusception (occult prolapse) - an intussusception of the rectal wall that does not pass beyond the anal verge; a common cause of obstructed defecation and solitary rectal ulcer syndrome;</w:t>
      </w:r>
    </w:p>
    <w:p>
      <w:pPr>
        <w:spacing w:before="0" w:after="80"/>
      </w:pPr>
      <w:r>
        <w:rPr>
          <w:rFonts w:ascii="Calibri" w:hAnsi="Calibri"/>
          <w:b w:val="0"/>
          <w:i w:val="0"/>
          <w:color w:val="212121"/>
          <w:sz w:val="21"/>
        </w:rPr>
        <w:t>(4) Oxford Radiological Grading of internal prolapse on defecography: Grade I descends no lower than the top of a rectocele and Grade II descends into the rectocele (both recto-rectal); Grade III impinges on the anal canal and Grade IV enters the anal canal (both recto-anal); Grade V is external prolapse in which the rectal wall protrudes beyond the anal verge - higher grades correlate with worse continence;</w:t>
      </w:r>
    </w:p>
    <w:p>
      <w:pPr>
        <w:spacing w:before="0" w:after="80"/>
      </w:pPr>
      <w:r>
        <w:rPr>
          <w:rFonts w:ascii="Calibri" w:hAnsi="Calibri"/>
          <w:b w:val="0"/>
          <w:i w:val="0"/>
          <w:color w:val="212121"/>
          <w:sz w:val="21"/>
        </w:rPr>
        <w:t>(5) By age of onset - paediatric prolapse (usually before 3-4 years, often mucosal, secondary to straining, diarrhoea, malnutrition or cystic fibrosis and largely self-limiting) versus adult prolapse (usually full-thickness, associated with pelvic-floor weakness and requiring surgery).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Pelvic floor and ligamentous weakness: attenuation and denervation of the levator ani and endopelvic fascia with ageing removes the support that holds the rectum in place, allowing it to descend.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straining and constipation: repeated raised intra-abdominal pressure at stool drives the rectal wall to intussuscept; a history of constipation is present in about half of patients.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Predisposing anatomy: an abnormally deep rectovaginal / rectovesical pouch (deep cul-de-sac), a redundant mobile sigmoid, loss of the normal rectal-sacral fixation, diastasis of the levator ani and a patulous anus predispose to telescoping.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Multiparity and obstetric injury: vaginal deliveries stretch and denervate the pelvic floor, though roughly 30-35% of affected women are nulliparous, so childbirth is contributory rather than essential.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Pudendal neuropathy: chronic stretch injury to the pudendal nerves weakens the sphincter complex and pelvic floor and links prolapse with faecal incontinence.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Connective tissue disorders: generalised joint hypermobility and Ehlers-Danlos syndrome produce lax pelvic supports and predispose younger patients to prolapse.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and paediatric causes: malnutrition (loss of the ischiorectal fat pad), cystic fibrosis, chronic diarrhoea and parasitic infestation, whooping cough, and neurological disorders (cauda equina, spinal injury, dementia) provoke prolapse in children and selected adults.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(40-60 years)</w:t>
            </w:r>
          </w:p>
        </w:tc>
        <w:tc>
          <w:tcPr>
            <w:tcW w:type="dxa" w:w="4276"/>
            <w:vAlign w:val="top"/>
          </w:tcPr>
          <w:p>
            <w:pPr>
              <w:spacing w:after="60" w:line="259" w:lineRule="auto"/>
            </w:pPr>
            <w:r>
              <w:rPr>
                <w:rFonts w:ascii="Calibri" w:hAnsi="Calibri"/>
                <w:b w:val="0"/>
                <w:i w:val="0"/>
                <w:color w:val="212121"/>
                <w:sz w:val="19"/>
              </w:rPr>
              <w:t>Cumulative straining and early pelvic-floor laxity make prolapse start to appear in middle age, often as internal intussusception producing obstructed defecation before an overt external prolapse develops.</w:t>
            </w:r>
          </w:p>
          <w:p>
            <w:pPr>
              <w:spacing w:after="40" w:before="60" w:line="259" w:lineRule="auto"/>
            </w:pPr>
            <w:r>
              <w:rPr>
                <w:rFonts w:ascii="Calibri" w:hAnsi="Calibri"/>
                <w:b w:val="0"/>
                <w:i w:val="0"/>
                <w:color w:val="212121"/>
                <w:sz w:val="19"/>
              </w:rPr>
              <w:t>About half of patients report a long history of constipation and straining preceding the prolapse.</w:t>
            </w:r>
          </w:p>
          <w:p>
            <w:pPr>
              <w:spacing w:after="40" w:line="252" w:lineRule="auto"/>
            </w:pPr>
            <w:hyperlink r:id="rId9">
              <w:r>
                <w:rPr>
                  <w:rFonts w:ascii="Calibri" w:hAnsi="Calibri" w:cs="Calibri"/>
                  <w:sz w:val="18"/>
                  <w:color w:val="1155CC"/>
                  <w:u w:val="single"/>
                </w:rPr>
                <w:t xml:space="preserve">ncbi.nlm.nih.gov - Rectal prolapse (Surgical Treatment)</w:t>
              </w:r>
            </w:hyperlink>
          </w:p>
          <w:p>
            <w:pPr>
              <w:spacing w:before="60" w:after="40"/>
            </w:pPr>
            <w:r>
              <w:rPr>
                <w:rFonts w:ascii="Calibri" w:hAnsi="Calibri"/>
                <w:b w:val="0"/>
                <w:i w:val="0"/>
                <w:color w:val="5A5A5A"/>
                <w:sz w:val="18"/>
              </w:rPr>
              <w:t>#rectalprolapse  #straining  #obstructeddefecation  #pelvicfloor  #middleage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70 years)</w:t>
            </w:r>
          </w:p>
        </w:tc>
        <w:tc>
          <w:tcPr>
            <w:tcW w:type="dxa" w:w="4276"/>
            <w:vAlign w:val="top"/>
          </w:tcPr>
          <w:p>
            <w:pPr>
              <w:spacing w:after="60" w:line="259" w:lineRule="auto"/>
            </w:pPr>
            <w:r>
              <w:rPr>
                <w:rFonts w:ascii="Calibri" w:hAnsi="Calibri"/>
                <w:b w:val="0"/>
                <w:i w:val="0"/>
                <w:color w:val="212121"/>
                <w:sz w:val="19"/>
              </w:rPr>
              <w:t>Highest-risk group: age-related atrophy and denervation of the levator ani and anal sphincter, reduced mobility and chronic constipation combine so that full-thickness procidentia peaks in elderly women, frequently with coexisting faecal incontinence.</w:t>
            </w:r>
          </w:p>
          <w:p>
            <w:pPr>
              <w:spacing w:after="40" w:before="60" w:line="259" w:lineRule="auto"/>
            </w:pPr>
            <w:r>
              <w:rPr>
                <w:rFonts w:ascii="Calibri" w:hAnsi="Calibri"/>
                <w:b w:val="0"/>
                <w:i w:val="0"/>
                <w:color w:val="212121"/>
                <w:sz w:val="19"/>
              </w:rPr>
              <w:t>Adult prolapse peaks in the sixth decade and beyond, and fecal incontinence coexists in roughly 70% of cases.</w:t>
            </w:r>
          </w:p>
          <w:p>
            <w:pPr>
              <w:spacing w:after="40" w:line="252" w:lineRule="auto"/>
            </w:pPr>
            <w:hyperlink r:id="rId9">
              <w:r>
                <w:rPr>
                  <w:rFonts w:ascii="Calibri" w:hAnsi="Calibri" w:cs="Calibri"/>
                  <w:sz w:val="18"/>
                  <w:color w:val="1155CC"/>
                  <w:u w:val="single"/>
                </w:rPr>
                <w:t xml:space="preserve">ncbi.nlm.nih.gov - Rectal prolapse (Surgical Treatment)</w:t>
              </w:r>
            </w:hyperlink>
          </w:p>
          <w:p>
            <w:pPr>
              <w:spacing w:before="60" w:after="40"/>
            </w:pPr>
            <w:r>
              <w:rPr>
                <w:rFonts w:ascii="Calibri" w:hAnsi="Calibri"/>
                <w:b w:val="0"/>
                <w:i w:val="0"/>
                <w:color w:val="5A5A5A"/>
                <w:sz w:val="18"/>
              </w:rPr>
              <w:t>#elderly  #procidentia  #faecalincontinence  #pelvicflooratrophy  #ageing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children (&lt; 3-4 years)</w:t>
            </w:r>
          </w:p>
        </w:tc>
        <w:tc>
          <w:tcPr>
            <w:tcW w:type="dxa" w:w="4276"/>
            <w:vAlign w:val="top"/>
          </w:tcPr>
          <w:p>
            <w:pPr>
              <w:spacing w:after="60" w:line="259" w:lineRule="auto"/>
            </w:pPr>
            <w:r>
              <w:rPr>
                <w:rFonts w:ascii="Calibri" w:hAnsi="Calibri"/>
                <w:b w:val="0"/>
                <w:i w:val="0"/>
                <w:color w:val="212121"/>
                <w:sz w:val="19"/>
              </w:rPr>
              <w:t>In children prolapse is usually mucosal and secondary to straining, acute or chronic diarrhoea, malnutrition or cystic fibrosis. The relatively vertical infant sacrum and loss of the ischiorectal fat pad reduce rectal support; most cases resolve with conservative bowel management.</w:t>
            </w:r>
          </w:p>
          <w:p>
            <w:pPr>
              <w:spacing w:after="40" w:before="60" w:line="259" w:lineRule="auto"/>
            </w:pPr>
            <w:r>
              <w:rPr>
                <w:rFonts w:ascii="Calibri" w:hAnsi="Calibri"/>
                <w:b w:val="0"/>
                <w:i w:val="0"/>
                <w:color w:val="212121"/>
                <w:sz w:val="19"/>
              </w:rPr>
              <w:t>Nearly 94% of children avoid surgery with non-operative bowel management; peak presentation is in the first years of life.</w:t>
            </w:r>
          </w:p>
          <w:p>
            <w:pPr>
              <w:spacing w:after="40" w:line="252" w:lineRule="auto"/>
            </w:pPr>
            <w:hyperlink r:id="rId10">
              <w:r>
                <w:rPr>
                  <w:rFonts w:ascii="Calibri" w:hAnsi="Calibri" w:cs="Calibri"/>
                  <w:sz w:val="18"/>
                  <w:color w:val="1155CC"/>
                  <w:u w:val="single"/>
                </w:rPr>
                <w:t xml:space="preserve">tgh.amegroups.org - Pediatric rectal prolapse review</w:t>
              </w:r>
            </w:hyperlink>
          </w:p>
          <w:p>
            <w:pPr>
              <w:spacing w:before="60" w:after="40"/>
            </w:pPr>
            <w:r>
              <w:rPr>
                <w:rFonts w:ascii="Calibri" w:hAnsi="Calibri"/>
                <w:b w:val="0"/>
                <w:i w:val="0"/>
                <w:color w:val="5A5A5A"/>
                <w:sz w:val="18"/>
              </w:rPr>
              <w:t>#paediatric  #mucosalprolapse  #malnutrition  #cysticfibrosis  #conservative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bear the overwhelming majority of adult prolapse because of a wider pelvis, a deeper cul-de-sac, obstetric pelvic-floor injury and post-menopausal tissue atrophy.</w:t>
            </w:r>
          </w:p>
          <w:p>
            <w:pPr>
              <w:spacing w:after="40" w:before="60" w:line="259" w:lineRule="auto"/>
            </w:pPr>
            <w:r>
              <w:rPr>
                <w:rFonts w:ascii="Calibri" w:hAnsi="Calibri"/>
                <w:b w:val="0"/>
                <w:i w:val="0"/>
                <w:color w:val="212121"/>
                <w:sz w:val="19"/>
              </w:rPr>
              <w:t>About 80-90% of adult cases are female, with a male-to-female ratio near 1:6.</w:t>
            </w:r>
          </w:p>
          <w:p>
            <w:pPr>
              <w:spacing w:after="40" w:line="252" w:lineRule="auto"/>
            </w:pPr>
            <w:hyperlink r:id="rId11">
              <w:r>
                <w:rPr>
                  <w:rFonts w:ascii="Calibri" w:hAnsi="Calibri" w:cs="Calibri"/>
                  <w:sz w:val="18"/>
                  <w:color w:val="1155CC"/>
                  <w:u w:val="single"/>
                </w:rPr>
                <w:t xml:space="preserve">emedicine.medscape.com - Rectal prolapse (Practice Essentials)</w:t>
              </w:r>
            </w:hyperlink>
          </w:p>
          <w:p>
            <w:pPr>
              <w:spacing w:before="60" w:after="40"/>
            </w:pPr>
            <w:r>
              <w:rPr>
                <w:rFonts w:ascii="Calibri" w:hAnsi="Calibri"/>
                <w:b w:val="0"/>
                <w:i w:val="0"/>
                <w:color w:val="5A5A5A"/>
                <w:sz w:val="18"/>
              </w:rPr>
              <w:t>#female  #pelvicanatomy  #obstetricinjury  #postmenopausal  #sexdifference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(younger, minority)</w:t>
            </w:r>
          </w:p>
        </w:tc>
        <w:tc>
          <w:tcPr>
            <w:tcW w:type="dxa" w:w="4276"/>
            <w:vAlign w:val="top"/>
          </w:tcPr>
          <w:p>
            <w:pPr>
              <w:spacing w:after="60" w:line="259" w:lineRule="auto"/>
            </w:pPr>
            <w:r>
              <w:rPr>
                <w:rFonts w:ascii="Calibri" w:hAnsi="Calibri"/>
                <w:b w:val="0"/>
                <w:i w:val="0"/>
                <w:color w:val="212121"/>
                <w:sz w:val="19"/>
              </w:rPr>
              <w:t>Men account for a small share of cases and typically present younger, often with chronic straining, functional bowel disorders or connective-tissue laxity rather than obstetric weakness.</w:t>
            </w:r>
          </w:p>
          <w:p>
            <w:pPr>
              <w:spacing w:after="40" w:before="60" w:line="259" w:lineRule="auto"/>
            </w:pPr>
            <w:r>
              <w:rPr>
                <w:rFonts w:ascii="Calibri" w:hAnsi="Calibri"/>
                <w:b w:val="0"/>
                <w:i w:val="0"/>
                <w:color w:val="212121"/>
                <w:sz w:val="19"/>
              </w:rPr>
              <w:t>Men represent only about 10% of rectal prolapse cases and usually present before 50 years of age.</w:t>
            </w:r>
          </w:p>
          <w:p>
            <w:pPr>
              <w:spacing w:after="40" w:line="252" w:lineRule="auto"/>
            </w:pPr>
            <w:hyperlink r:id="rId12">
              <w:r>
                <w:rPr>
                  <w:rFonts w:ascii="Calibri" w:hAnsi="Calibri" w:cs="Calibri"/>
                  <w:sz w:val="18"/>
                  <w:color w:val="1155CC"/>
                  <w:u w:val="single"/>
                </w:rPr>
                <w:t xml:space="preserve">ales.amegroups.org - Best approaches to rectal prolapse</w:t>
              </w:r>
            </w:hyperlink>
          </w:p>
          <w:p>
            <w:pPr>
              <w:spacing w:before="60" w:after="40"/>
            </w:pPr>
            <w:r>
              <w:rPr>
                <w:rFonts w:ascii="Calibri" w:hAnsi="Calibri"/>
                <w:b w:val="0"/>
                <w:i w:val="0"/>
                <w:color w:val="5A5A5A"/>
                <w:sz w:val="18"/>
              </w:rPr>
              <w:t>#male  #youngeronset  #connectivetissue  #straining  #minority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institutionalised or poorly mobile adults</w:t>
            </w:r>
          </w:p>
        </w:tc>
        <w:tc>
          <w:tcPr>
            <w:tcW w:type="dxa" w:w="4276"/>
            <w:vAlign w:val="top"/>
          </w:tcPr>
          <w:p>
            <w:pPr>
              <w:spacing w:after="60" w:line="259" w:lineRule="auto"/>
            </w:pPr>
            <w:r>
              <w:rPr>
                <w:rFonts w:ascii="Calibri" w:hAnsi="Calibri"/>
                <w:b w:val="0"/>
                <w:i w:val="0"/>
                <w:color w:val="212121"/>
                <w:sz w:val="19"/>
              </w:rPr>
              <w:t>Limited access to care delays presentation until the prolapse is large and complicated, while immobility, neuropsychiatric illness and laxative or enema misuse in institutional settings promote chronic straining and incontinence.</w:t>
            </w:r>
          </w:p>
          <w:p>
            <w:pPr>
              <w:spacing w:before="60" w:after="40"/>
            </w:pPr>
            <w:r>
              <w:rPr>
                <w:rFonts w:ascii="Calibri" w:hAnsi="Calibri"/>
                <w:b w:val="0"/>
                <w:i w:val="0"/>
                <w:color w:val="5A5A5A"/>
                <w:sz w:val="18"/>
              </w:rPr>
              <w:t>#accessgap  #institutionalised  #immobility  #delayedcare  #laxativemisuse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and South Asian children</w:t>
            </w:r>
          </w:p>
        </w:tc>
        <w:tc>
          <w:tcPr>
            <w:tcW w:type="dxa" w:w="4276"/>
            <w:vAlign w:val="top"/>
          </w:tcPr>
          <w:p>
            <w:pPr>
              <w:spacing w:after="60" w:line="259" w:lineRule="auto"/>
            </w:pPr>
            <w:r>
              <w:rPr>
                <w:rFonts w:ascii="Calibri" w:hAnsi="Calibri"/>
                <w:b w:val="0"/>
                <w:i w:val="0"/>
                <w:color w:val="212121"/>
                <w:sz w:val="19"/>
              </w:rPr>
              <w:t>Where childhood malnutrition, chronic diarrhoeal disease and intestinal parasites remain prevalent, paediatric rectal prolapse is comparatively common; loss of the supportive ischiorectal fat pad and repeated straining at stool are the mechanisms.</w:t>
            </w:r>
          </w:p>
          <w:p>
            <w:pPr>
              <w:spacing w:after="40" w:before="60" w:line="259" w:lineRule="auto"/>
            </w:pPr>
            <w:r>
              <w:rPr>
                <w:rFonts w:ascii="Calibri" w:hAnsi="Calibri"/>
                <w:b w:val="0"/>
                <w:i w:val="0"/>
                <w:color w:val="212121"/>
                <w:sz w:val="19"/>
              </w:rPr>
              <w:t>In a Bangladeshi trial an energy-dense diet raised prolapse resolution to 26% versus 8% with standard diet over 5 days, underlining the nutritional contribution seen across South Asia.</w:t>
            </w:r>
          </w:p>
          <w:p>
            <w:pPr>
              <w:spacing w:after="40" w:line="252" w:lineRule="auto"/>
            </w:pPr>
            <w:hyperlink r:id="rId10">
              <w:r>
                <w:rPr>
                  <w:rFonts w:ascii="Calibri" w:hAnsi="Calibri" w:cs="Calibri"/>
                  <w:sz w:val="18"/>
                  <w:color w:val="1155CC"/>
                  <w:u w:val="single"/>
                </w:rPr>
                <w:t xml:space="preserve">tgh.amegroups.org - Pediatric rectal prolapse review</w:t>
              </w:r>
            </w:hyperlink>
          </w:p>
          <w:p>
            <w:pPr>
              <w:spacing w:before="60" w:after="40"/>
            </w:pPr>
            <w:r>
              <w:rPr>
                <w:rFonts w:ascii="Calibri" w:hAnsi="Calibri"/>
                <w:b w:val="0"/>
                <w:i w:val="0"/>
                <w:color w:val="5A5A5A"/>
                <w:sz w:val="18"/>
              </w:rPr>
              <w:t>#india  #southasia  #malnutrition  #parasites  #childhood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maternal health</w:t>
            </w:r>
          </w:p>
        </w:tc>
        <w:tc>
          <w:tcPr>
            <w:tcW w:type="dxa" w:w="2160"/>
            <w:vAlign w:val="top"/>
          </w:tcPr>
          <w:p>
            <w:pPr>
              <w:spacing w:after="40" w:before="0" w:line="259" w:lineRule="auto"/>
            </w:pPr>
            <w:r>
              <w:rPr>
                <w:rFonts w:ascii="Calibri" w:hAnsi="Calibri"/>
                <w:b w:val="0"/>
                <w:i w:val="0"/>
                <w:color w:val="212121"/>
                <w:sz w:val="19"/>
              </w:rPr>
              <w:t>Rural Indian women (high parity)</w:t>
            </w:r>
          </w:p>
        </w:tc>
        <w:tc>
          <w:tcPr>
            <w:tcW w:type="dxa" w:w="4276"/>
            <w:vAlign w:val="top"/>
          </w:tcPr>
          <w:p>
            <w:pPr>
              <w:spacing w:after="60" w:line="259" w:lineRule="auto"/>
            </w:pPr>
            <w:r>
              <w:rPr>
                <w:rFonts w:ascii="Calibri" w:hAnsi="Calibri"/>
                <w:b w:val="0"/>
                <w:i w:val="0"/>
                <w:color w:val="212121"/>
                <w:sz w:val="19"/>
              </w:rPr>
              <w:t>High parity, early childbearing, home deliveries and heavy manual labour concentrate pelvic-floor injury in rural Indian women, contributing to the country's large pelvic-organ-prolapse burden of which rectal prolapse is one component.</w:t>
            </w:r>
          </w:p>
          <w:p>
            <w:pPr>
              <w:spacing w:after="40" w:before="60" w:line="259" w:lineRule="auto"/>
            </w:pPr>
            <w:r>
              <w:rPr>
                <w:rFonts w:ascii="Calibri" w:hAnsi="Calibri"/>
                <w:b w:val="0"/>
                <w:i w:val="0"/>
                <w:color w:val="212121"/>
                <w:sz w:val="19"/>
              </w:rPr>
              <w:t>GBD 2019 gave India the highest age-standardised pelvic-organ-prolapse incidence among BRICS (~400 per 100,000/year), peaking at ages 45-54.</w:t>
            </w:r>
          </w:p>
          <w:p>
            <w:pPr>
              <w:spacing w:after="40" w:line="252" w:lineRule="auto"/>
            </w:pPr>
            <w:hyperlink r:id="rId13">
              <w:r>
                <w:rPr>
                  <w:rFonts w:ascii="Calibri" w:hAnsi="Calibri" w:cs="Calibri"/>
                  <w:sz w:val="18"/>
                  <w:color w:val="1155CC"/>
                  <w:u w:val="single"/>
                </w:rPr>
                <w:t xml:space="preserve">link.springer.com - Pelvic organ prolapse across BRICS (GBD 2019)</w:t>
              </w:r>
            </w:hyperlink>
          </w:p>
          <w:p>
            <w:pPr>
              <w:spacing w:before="60" w:after="40"/>
            </w:pPr>
            <w:r>
              <w:rPr>
                <w:rFonts w:ascii="Calibri" w:hAnsi="Calibri"/>
                <w:b w:val="0"/>
                <w:i w:val="0"/>
                <w:color w:val="5A5A5A"/>
                <w:sz w:val="18"/>
              </w:rPr>
              <w:t>#ruralindia  #highparity  #maternalhealth  #pelvicorganprolapse  #GBD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toilet behaviour</w:t>
            </w:r>
          </w:p>
        </w:tc>
        <w:tc>
          <w:tcPr>
            <w:tcW w:type="dxa" w:w="2160"/>
            <w:vAlign w:val="top"/>
          </w:tcPr>
          <w:p>
            <w:pPr>
              <w:spacing w:after="40" w:before="0" w:line="259" w:lineRule="auto"/>
            </w:pPr>
            <w:r>
              <w:rPr>
                <w:rFonts w:ascii="Calibri" w:hAnsi="Calibri"/>
                <w:b w:val="0"/>
                <w:i w:val="0"/>
                <w:color w:val="212121"/>
                <w:sz w:val="19"/>
              </w:rPr>
              <w:t>Prolonged toilet-sitting and heavy straining</w:t>
            </w:r>
          </w:p>
        </w:tc>
        <w:tc>
          <w:tcPr>
            <w:tcW w:type="dxa" w:w="4276"/>
            <w:vAlign w:val="top"/>
          </w:tcPr>
          <w:p>
            <w:pPr>
              <w:spacing w:after="60" w:line="259" w:lineRule="auto"/>
            </w:pPr>
            <w:r>
              <w:rPr>
                <w:rFonts w:ascii="Calibri" w:hAnsi="Calibri"/>
                <w:b w:val="0"/>
                <w:i w:val="0"/>
                <w:color w:val="212121"/>
                <w:sz w:val="19"/>
              </w:rPr>
              <w:t>Spending long periods straining on the toilet - now often prolonged by reading or smartphone use - and repeated Valsalva at stool progressively force the rectum to intussuscept, the central modifiable behaviour behind prolapse.</w:t>
            </w:r>
          </w:p>
          <w:p>
            <w:pPr>
              <w:spacing w:after="40" w:before="60" w:line="259" w:lineRule="auto"/>
            </w:pPr>
            <w:r>
              <w:rPr>
                <w:rFonts w:ascii="Calibri" w:hAnsi="Calibri"/>
                <w:b w:val="0"/>
                <w:i w:val="0"/>
                <w:color w:val="212121"/>
                <w:sz w:val="19"/>
              </w:rPr>
              <w:t>Chronic straining is the dominant provoking factor, present in about half of patients.</w:t>
            </w:r>
          </w:p>
          <w:p>
            <w:pPr>
              <w:spacing w:after="40" w:line="252" w:lineRule="auto"/>
            </w:pPr>
            <w:hyperlink r:id="rId11">
              <w:r>
                <w:rPr>
                  <w:rFonts w:ascii="Calibri" w:hAnsi="Calibri" w:cs="Calibri"/>
                  <w:sz w:val="18"/>
                  <w:color w:val="1155CC"/>
                  <w:u w:val="single"/>
                </w:rPr>
                <w:t xml:space="preserve">emedicine.medscape.com - Rectal prolapse (Practice Essentials)</w:t>
              </w:r>
            </w:hyperlink>
          </w:p>
          <w:p>
            <w:pPr>
              <w:spacing w:before="60" w:after="40"/>
            </w:pPr>
            <w:r>
              <w:rPr>
                <w:rFonts w:ascii="Calibri" w:hAnsi="Calibri"/>
                <w:b w:val="0"/>
                <w:i w:val="0"/>
                <w:color w:val="5A5A5A"/>
                <w:sz w:val="18"/>
              </w:rPr>
              <w:t>#straining  #toilethabits  #valsalva  #smartphonetoilet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chronic cough / COPD</w:t>
            </w:r>
          </w:p>
        </w:tc>
        <w:tc>
          <w:tcPr>
            <w:tcW w:type="dxa" w:w="4276"/>
            <w:vAlign w:val="top"/>
          </w:tcPr>
          <w:p>
            <w:pPr>
              <w:spacing w:after="60" w:line="259" w:lineRule="auto"/>
            </w:pPr>
            <w:r>
              <w:rPr>
                <w:rFonts w:ascii="Calibri" w:hAnsi="Calibri"/>
                <w:b w:val="0"/>
                <w:i w:val="0"/>
                <w:color w:val="212121"/>
                <w:sz w:val="19"/>
              </w:rPr>
              <w:t>Smoking-related chronic bronchitis and COPD cause repetitive coughing that raises intra-abdominal pressure and stresses the pelvic floor; smoking also impairs wound healing and raises the risk of recurrence after prolapse surgery.</w:t>
            </w:r>
          </w:p>
          <w:p>
            <w:pPr>
              <w:spacing w:before="60" w:after="40"/>
            </w:pPr>
            <w:r>
              <w:rPr>
                <w:rFonts w:ascii="Calibri" w:hAnsi="Calibri"/>
                <w:b w:val="0"/>
                <w:i w:val="0"/>
                <w:color w:val="5A5A5A"/>
                <w:sz w:val="18"/>
              </w:rPr>
              <w:t>#smoking  #COPD  #chroniccough  #intraabdominalpressure  #woundhealing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w:t>
            </w:r>
          </w:p>
        </w:tc>
        <w:tc>
          <w:tcPr>
            <w:tcW w:type="dxa" w:w="4276"/>
            <w:vAlign w:val="top"/>
          </w:tcPr>
          <w:p>
            <w:pPr>
              <w:spacing w:after="60" w:line="259" w:lineRule="auto"/>
            </w:pPr>
            <w:r>
              <w:rPr>
                <w:rFonts w:ascii="Calibri" w:hAnsi="Calibri"/>
                <w:b w:val="0"/>
                <w:i w:val="0"/>
                <w:color w:val="212121"/>
                <w:sz w:val="19"/>
              </w:rPr>
              <w:t>Alcohol is not a direct cause but heavy use can produce chronic diarrhoea and repeated urgent straining, and worsens overall nutrition and perioperative risk; the association is weak and indirect.</w:t>
            </w:r>
          </w:p>
          <w:p>
            <w:pPr>
              <w:spacing w:before="60" w:after="40"/>
            </w:pPr>
            <w:r>
              <w:rPr>
                <w:rFonts w:ascii="Calibri" w:hAnsi="Calibri"/>
                <w:b w:val="0"/>
                <w:i w:val="0"/>
                <w:color w:val="5A5A5A"/>
                <w:sz w:val="18"/>
              </w:rPr>
              <w:t>#alcohol  #diarrhoea  #indirectrisk  #nutrition  #perioperative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Low-fibre / low-fluid diet</w:t>
            </w:r>
          </w:p>
        </w:tc>
        <w:tc>
          <w:tcPr>
            <w:tcW w:type="dxa" w:w="2160"/>
            <w:vAlign w:val="top"/>
          </w:tcPr>
          <w:p>
            <w:pPr>
              <w:spacing w:after="40" w:before="0" w:line="259" w:lineRule="auto"/>
            </w:pPr>
            <w:r>
              <w:rPr>
                <w:rFonts w:ascii="Calibri" w:hAnsi="Calibri"/>
                <w:b w:val="0"/>
                <w:i w:val="0"/>
                <w:color w:val="212121"/>
                <w:sz w:val="19"/>
              </w:rPr>
              <w:t>Adults with constipation-prone diets</w:t>
            </w:r>
          </w:p>
        </w:tc>
        <w:tc>
          <w:tcPr>
            <w:tcW w:type="dxa" w:w="4276"/>
            <w:vAlign w:val="top"/>
          </w:tcPr>
          <w:p>
            <w:pPr>
              <w:spacing w:after="60" w:line="259" w:lineRule="auto"/>
            </w:pPr>
            <w:r>
              <w:rPr>
                <w:rFonts w:ascii="Calibri" w:hAnsi="Calibri"/>
                <w:b w:val="0"/>
                <w:i w:val="0"/>
                <w:color w:val="212121"/>
                <w:sz w:val="19"/>
              </w:rPr>
              <w:t>Diets low in fibre and fluid produce hard stool and habitual straining, the key dietary driver of prolapse; refined, low-residue urban Indian diets and inadequate water intake worsen this.</w:t>
            </w:r>
          </w:p>
          <w:p>
            <w:pPr>
              <w:spacing w:after="40" w:before="60" w:line="259" w:lineRule="auto"/>
            </w:pPr>
            <w:r>
              <w:rPr>
                <w:rFonts w:ascii="Calibri" w:hAnsi="Calibri"/>
                <w:b w:val="0"/>
                <w:i w:val="0"/>
                <w:color w:val="212121"/>
                <w:sz w:val="19"/>
              </w:rPr>
              <w:t>A history of constipation is documented in roughly 50% of patients with rectal prolapse.</w:t>
            </w:r>
          </w:p>
          <w:p>
            <w:pPr>
              <w:spacing w:after="40" w:line="252" w:lineRule="auto"/>
            </w:pPr>
            <w:hyperlink r:id="rId9">
              <w:r>
                <w:rPr>
                  <w:rFonts w:ascii="Calibri" w:hAnsi="Calibri" w:cs="Calibri"/>
                  <w:sz w:val="18"/>
                  <w:color w:val="1155CC"/>
                  <w:u w:val="single"/>
                </w:rPr>
                <w:t xml:space="preserve">ncbi.nlm.nih.gov - Rectal prolapse (Surgical Treatment)</w:t>
              </w:r>
            </w:hyperlink>
          </w:p>
          <w:p>
            <w:pPr>
              <w:spacing w:before="60" w:after="40"/>
            </w:pPr>
            <w:r>
              <w:rPr>
                <w:rFonts w:ascii="Calibri" w:hAnsi="Calibri"/>
                <w:b w:val="0"/>
                <w:i w:val="0"/>
                <w:color w:val="5A5A5A"/>
                <w:sz w:val="18"/>
              </w:rPr>
              <w:t>#lowfibre  #constipation  #hardstool  #hydration  #urbandiet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 / malnutrition</w:t>
            </w:r>
          </w:p>
        </w:tc>
        <w:tc>
          <w:tcPr>
            <w:tcW w:type="dxa" w:w="2160"/>
            <w:vAlign w:val="top"/>
          </w:tcPr>
          <w:p>
            <w:pPr>
              <w:spacing w:after="40" w:before="0" w:line="259" w:lineRule="auto"/>
            </w:pPr>
            <w:r>
              <w:rPr>
                <w:rFonts w:ascii="Calibri" w:hAnsi="Calibri"/>
                <w:b w:val="0"/>
                <w:i w:val="0"/>
                <w:color w:val="212121"/>
                <w:sz w:val="19"/>
              </w:rPr>
              <w:t>Undernourished children and cachectic adults</w:t>
            </w:r>
          </w:p>
        </w:tc>
        <w:tc>
          <w:tcPr>
            <w:tcW w:type="dxa" w:w="4276"/>
            <w:vAlign w:val="top"/>
          </w:tcPr>
          <w:p>
            <w:pPr>
              <w:spacing w:after="60" w:line="259" w:lineRule="auto"/>
            </w:pPr>
            <w:r>
              <w:rPr>
                <w:rFonts w:ascii="Calibri" w:hAnsi="Calibri"/>
                <w:b w:val="0"/>
                <w:i w:val="0"/>
                <w:color w:val="212121"/>
                <w:sz w:val="19"/>
              </w:rPr>
              <w:t>Protein-energy malnutrition depletes the ischiorectal and perirectal fat that normally supports the rectum, so the poorly supported rectum prolapses with minimal straining - a major mechanism in South Asian paediatric prolapse.</w:t>
            </w:r>
          </w:p>
          <w:p>
            <w:pPr>
              <w:spacing w:after="40" w:before="60" w:line="259" w:lineRule="auto"/>
            </w:pPr>
            <w:r>
              <w:rPr>
                <w:rFonts w:ascii="Calibri" w:hAnsi="Calibri"/>
                <w:b w:val="0"/>
                <w:i w:val="0"/>
                <w:color w:val="212121"/>
                <w:sz w:val="19"/>
              </w:rPr>
              <w:t>Nutritional rehabilitation improves resolution, with an energy-dense diet doubling-to-tripling short-term resolution rates in malnourished children (26% vs 8%).</w:t>
            </w:r>
          </w:p>
          <w:p>
            <w:pPr>
              <w:spacing w:after="40" w:line="252" w:lineRule="auto"/>
            </w:pPr>
            <w:hyperlink r:id="rId10">
              <w:r>
                <w:rPr>
                  <w:rFonts w:ascii="Calibri" w:hAnsi="Calibri" w:cs="Calibri"/>
                  <w:sz w:val="18"/>
                  <w:color w:val="1155CC"/>
                  <w:u w:val="single"/>
                </w:rPr>
                <w:t xml:space="preserve">tgh.amegroups.org - Pediatric rectal prolapse review</w:t>
              </w:r>
            </w:hyperlink>
          </w:p>
          <w:p>
            <w:pPr>
              <w:spacing w:before="60" w:after="40"/>
            </w:pPr>
            <w:r>
              <w:rPr>
                <w:rFonts w:ascii="Calibri" w:hAnsi="Calibri"/>
                <w:b w:val="0"/>
                <w:i w:val="0"/>
                <w:color w:val="5A5A5A"/>
                <w:sz w:val="18"/>
              </w:rPr>
              <w:t>#malnutrition  #ischiorectalfat  #cachexia  #paediatric  #nutritionrehab</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Connective tissue / family history</w:t>
            </w:r>
          </w:p>
        </w:tc>
        <w:tc>
          <w:tcPr>
            <w:tcW w:type="dxa" w:w="2160"/>
            <w:vAlign w:val="top"/>
          </w:tcPr>
          <w:p>
            <w:pPr>
              <w:spacing w:after="40" w:before="0" w:line="259" w:lineRule="auto"/>
            </w:pPr>
            <w:r>
              <w:rPr>
                <w:rFonts w:ascii="Calibri" w:hAnsi="Calibri"/>
                <w:b w:val="0"/>
                <w:i w:val="0"/>
                <w:color w:val="212121"/>
                <w:sz w:val="19"/>
              </w:rPr>
              <w:t>Ehlers-Danlos syndrome and joint hypermobility</w:t>
            </w:r>
          </w:p>
        </w:tc>
        <w:tc>
          <w:tcPr>
            <w:tcW w:type="dxa" w:w="4276"/>
            <w:vAlign w:val="top"/>
          </w:tcPr>
          <w:p>
            <w:pPr>
              <w:spacing w:after="60" w:line="259" w:lineRule="auto"/>
            </w:pPr>
            <w:r>
              <w:rPr>
                <w:rFonts w:ascii="Calibri" w:hAnsi="Calibri"/>
                <w:b w:val="0"/>
                <w:i w:val="0"/>
                <w:color w:val="212121"/>
                <w:sz w:val="19"/>
              </w:rPr>
              <w:t>Heritable connective-tissue laxity weakens the fascia and ligaments that suspend the rectum, so hypermobility and Ehlers-Danlos syndrome predispose to prolapse and to multi-compartment pelvic organ prolapse at a younger age.</w:t>
            </w:r>
          </w:p>
          <w:p>
            <w:pPr>
              <w:spacing w:after="40" w:line="252" w:lineRule="auto"/>
            </w:pPr>
            <w:hyperlink r:id="rId12">
              <w:r>
                <w:rPr>
                  <w:rFonts w:ascii="Calibri" w:hAnsi="Calibri" w:cs="Calibri"/>
                  <w:sz w:val="18"/>
                  <w:color w:val="1155CC"/>
                  <w:u w:val="single"/>
                </w:rPr>
                <w:t xml:space="preserve">ales.amegroups.org - Best approaches to rectal prolapse</w:t>
              </w:r>
            </w:hyperlink>
          </w:p>
          <w:p>
            <w:pPr>
              <w:spacing w:before="60" w:after="40"/>
            </w:pPr>
            <w:r>
              <w:rPr>
                <w:rFonts w:ascii="Calibri" w:hAnsi="Calibri"/>
                <w:b w:val="0"/>
                <w:i w:val="0"/>
                <w:color w:val="5A5A5A"/>
                <w:sz w:val="18"/>
              </w:rPr>
              <w:t>#EhlersDanlos  #hypermobility  #connectivetissue  #fascia  #youngonset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Cystic fibrosis</w:t>
            </w:r>
          </w:p>
        </w:tc>
        <w:tc>
          <w:tcPr>
            <w:tcW w:type="dxa" w:w="2160"/>
            <w:vAlign w:val="top"/>
          </w:tcPr>
          <w:p>
            <w:pPr>
              <w:spacing w:after="40" w:before="0" w:line="259" w:lineRule="auto"/>
            </w:pPr>
            <w:r>
              <w:rPr>
                <w:rFonts w:ascii="Calibri" w:hAnsi="Calibri"/>
                <w:b w:val="0"/>
                <w:i w:val="0"/>
                <w:color w:val="212121"/>
                <w:sz w:val="19"/>
              </w:rPr>
              <w:t>Children with cystic fibrosis</w:t>
            </w:r>
          </w:p>
        </w:tc>
        <w:tc>
          <w:tcPr>
            <w:tcW w:type="dxa" w:w="4276"/>
            <w:vAlign w:val="top"/>
          </w:tcPr>
          <w:p>
            <w:pPr>
              <w:spacing w:after="60" w:line="259" w:lineRule="auto"/>
            </w:pPr>
            <w:r>
              <w:rPr>
                <w:rFonts w:ascii="Calibri" w:hAnsi="Calibri"/>
                <w:b w:val="0"/>
                <w:i w:val="0"/>
                <w:color w:val="212121"/>
                <w:sz w:val="19"/>
              </w:rPr>
              <w:t>Cystic fibrosis causes bulky, difficult stools, malabsorption and chronic cough, all of which promote prolapse; historically a child with rectal prolapse warranted sweat-chloride testing for CF, though newborn screening has reduced this presentation.</w:t>
            </w:r>
          </w:p>
          <w:p>
            <w:pPr>
              <w:spacing w:after="40" w:before="60" w:line="259" w:lineRule="auto"/>
            </w:pPr>
            <w:r>
              <w:rPr>
                <w:rFonts w:ascii="Calibri" w:hAnsi="Calibri"/>
                <w:b w:val="0"/>
                <w:i w:val="0"/>
                <w:color w:val="212121"/>
                <w:sz w:val="19"/>
              </w:rPr>
              <w:t>Rectal prolapse occurs in about 20% of children with cystic fibrosis.</w:t>
            </w:r>
          </w:p>
          <w:p>
            <w:pPr>
              <w:spacing w:after="40" w:line="252" w:lineRule="auto"/>
            </w:pPr>
            <w:hyperlink r:id="rId11">
              <w:r>
                <w:rPr>
                  <w:rFonts w:ascii="Calibri" w:hAnsi="Calibri" w:cs="Calibri"/>
                  <w:sz w:val="18"/>
                  <w:color w:val="1155CC"/>
                  <w:u w:val="single"/>
                </w:rPr>
                <w:t xml:space="preserve">emedicine.medscape.com - Rectal prolapse (Practice Essentials)</w:t>
              </w:r>
            </w:hyperlink>
          </w:p>
          <w:p>
            <w:pPr>
              <w:spacing w:before="60" w:after="40"/>
            </w:pPr>
            <w:r>
              <w:rPr>
                <w:rFonts w:ascii="Calibri" w:hAnsi="Calibri"/>
                <w:b w:val="0"/>
                <w:i w:val="0"/>
                <w:color w:val="5A5A5A"/>
                <w:sz w:val="18"/>
              </w:rPr>
              <w:t>#cysticfibrosis  #CFTR  #sweatchloride  #malabsorption  #paediatric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constipation / obstructed defecation</w:t>
            </w:r>
          </w:p>
        </w:tc>
        <w:tc>
          <w:tcPr>
            <w:tcW w:type="dxa" w:w="2160"/>
            <w:vAlign w:val="top"/>
          </w:tcPr>
          <w:p>
            <w:pPr>
              <w:spacing w:after="40" w:before="0" w:line="259" w:lineRule="auto"/>
            </w:pPr>
            <w:r>
              <w:rPr>
                <w:rFonts w:ascii="Calibri" w:hAnsi="Calibri"/>
                <w:b w:val="0"/>
                <w:i w:val="0"/>
                <w:color w:val="212121"/>
                <w:sz w:val="19"/>
              </w:rPr>
              <w:t>Patients with functional defecation disorders</w:t>
            </w:r>
          </w:p>
        </w:tc>
        <w:tc>
          <w:tcPr>
            <w:tcW w:type="dxa" w:w="4276"/>
            <w:vAlign w:val="top"/>
          </w:tcPr>
          <w:p>
            <w:pPr>
              <w:spacing w:after="60" w:line="259" w:lineRule="auto"/>
            </w:pPr>
            <w:r>
              <w:rPr>
                <w:rFonts w:ascii="Calibri" w:hAnsi="Calibri"/>
                <w:b w:val="0"/>
                <w:i w:val="0"/>
                <w:color w:val="212121"/>
                <w:sz w:val="19"/>
              </w:rPr>
              <w:t>Chronic constipation and dyssynergic (obstructed) defecation drive the straining that produces intussusception, while an established prolapse in turn obstructs evacuation - a self-perpetuating cycle.</w:t>
            </w:r>
          </w:p>
          <w:p>
            <w:pPr>
              <w:spacing w:after="40" w:before="60" w:line="259" w:lineRule="auto"/>
            </w:pPr>
            <w:r>
              <w:rPr>
                <w:rFonts w:ascii="Calibri" w:hAnsi="Calibri"/>
                <w:b w:val="0"/>
                <w:i w:val="0"/>
                <w:color w:val="212121"/>
                <w:sz w:val="19"/>
              </w:rPr>
              <w:t>Around 50% of prolapse patients have a history of constipation.</w:t>
            </w:r>
          </w:p>
          <w:p>
            <w:pPr>
              <w:spacing w:after="40" w:line="252" w:lineRule="auto"/>
            </w:pPr>
            <w:hyperlink r:id="rId9">
              <w:r>
                <w:rPr>
                  <w:rFonts w:ascii="Calibri" w:hAnsi="Calibri" w:cs="Calibri"/>
                  <w:sz w:val="18"/>
                  <w:color w:val="1155CC"/>
                  <w:u w:val="single"/>
                </w:rPr>
                <w:t xml:space="preserve">ncbi.nlm.nih.gov - Rectal prolapse (Surgical Treatment)</w:t>
              </w:r>
            </w:hyperlink>
          </w:p>
          <w:p>
            <w:pPr>
              <w:spacing w:before="60" w:after="40"/>
            </w:pPr>
            <w:r>
              <w:rPr>
                <w:rFonts w:ascii="Calibri" w:hAnsi="Calibri"/>
                <w:b w:val="0"/>
                <w:i w:val="0"/>
                <w:color w:val="5A5A5A"/>
                <w:sz w:val="18"/>
              </w:rPr>
              <w:t>#constipation  #dyssynergia  #obstructeddefecation  #straining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Pelvic organ prolapse</w:t>
            </w:r>
          </w:p>
        </w:tc>
        <w:tc>
          <w:tcPr>
            <w:tcW w:type="dxa" w:w="2160"/>
            <w:vAlign w:val="top"/>
          </w:tcPr>
          <w:p>
            <w:pPr>
              <w:spacing w:after="40" w:before="0" w:line="259" w:lineRule="auto"/>
            </w:pPr>
            <w:r>
              <w:rPr>
                <w:rFonts w:ascii="Calibri" w:hAnsi="Calibri"/>
                <w:b w:val="0"/>
                <w:i w:val="0"/>
                <w:color w:val="212121"/>
                <w:sz w:val="19"/>
              </w:rPr>
              <w:t>Women with uterine / vaginal / bladder prolapse</w:t>
            </w:r>
          </w:p>
        </w:tc>
        <w:tc>
          <w:tcPr>
            <w:tcW w:type="dxa" w:w="4276"/>
            <w:vAlign w:val="top"/>
          </w:tcPr>
          <w:p>
            <w:pPr>
              <w:spacing w:after="60" w:line="259" w:lineRule="auto"/>
            </w:pPr>
            <w:r>
              <w:rPr>
                <w:rFonts w:ascii="Calibri" w:hAnsi="Calibri"/>
                <w:b w:val="0"/>
                <w:i w:val="0"/>
                <w:color w:val="212121"/>
                <w:sz w:val="19"/>
              </w:rPr>
              <w:t>Rectal prolapse shares its cause - global pelvic-floor failure - with uterine, vaginal and bladder prolapse, so these frequently coexist and multi-compartment repair may be needed.</w:t>
            </w:r>
          </w:p>
          <w:p>
            <w:pPr>
              <w:spacing w:after="40" w:before="60" w:line="259" w:lineRule="auto"/>
            </w:pPr>
            <w:r>
              <w:rPr>
                <w:rFonts w:ascii="Calibri" w:hAnsi="Calibri"/>
                <w:b w:val="0"/>
                <w:i w:val="0"/>
                <w:color w:val="212121"/>
                <w:sz w:val="19"/>
              </w:rPr>
              <w:t>About 30% of elderly women with rectal prolapse have concurrent pelvic organ prolapse.</w:t>
            </w:r>
          </w:p>
          <w:p>
            <w:pPr>
              <w:spacing w:after="40" w:line="252" w:lineRule="auto"/>
            </w:pPr>
            <w:hyperlink r:id="rId12">
              <w:r>
                <w:rPr>
                  <w:rFonts w:ascii="Calibri" w:hAnsi="Calibri" w:cs="Calibri"/>
                  <w:sz w:val="18"/>
                  <w:color w:val="1155CC"/>
                  <w:u w:val="single"/>
                </w:rPr>
                <w:t xml:space="preserve">ales.amegroups.org - Best approaches to rectal prolapse</w:t>
              </w:r>
            </w:hyperlink>
          </w:p>
          <w:p>
            <w:pPr>
              <w:spacing w:before="60" w:after="40"/>
            </w:pPr>
            <w:r>
              <w:rPr>
                <w:rFonts w:ascii="Calibri" w:hAnsi="Calibri"/>
                <w:b w:val="0"/>
                <w:i w:val="0"/>
                <w:color w:val="5A5A5A"/>
                <w:sz w:val="18"/>
              </w:rPr>
              <w:t>#pelvicorganprolapse  #cystocele  #uterineprolapse  #multicompartment  #pelvicfloor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Faecal incontinence / pudendal neuropathy</w:t>
            </w:r>
          </w:p>
        </w:tc>
        <w:tc>
          <w:tcPr>
            <w:tcW w:type="dxa" w:w="2160"/>
            <w:vAlign w:val="top"/>
          </w:tcPr>
          <w:p>
            <w:pPr>
              <w:spacing w:after="40" w:before="0" w:line="259" w:lineRule="auto"/>
            </w:pPr>
            <w:r>
              <w:rPr>
                <w:rFonts w:ascii="Calibri" w:hAnsi="Calibri"/>
                <w:b w:val="0"/>
                <w:i w:val="0"/>
                <w:color w:val="212121"/>
                <w:sz w:val="19"/>
              </w:rPr>
              <w:t>Patients with weak anal sphincter</w:t>
            </w:r>
          </w:p>
        </w:tc>
        <w:tc>
          <w:tcPr>
            <w:tcW w:type="dxa" w:w="4276"/>
            <w:vAlign w:val="top"/>
          </w:tcPr>
          <w:p>
            <w:pPr>
              <w:spacing w:after="60" w:line="259" w:lineRule="auto"/>
            </w:pPr>
            <w:r>
              <w:rPr>
                <w:rFonts w:ascii="Calibri" w:hAnsi="Calibri"/>
                <w:b w:val="0"/>
                <w:i w:val="0"/>
                <w:color w:val="212121"/>
                <w:sz w:val="19"/>
              </w:rPr>
              <w:t>Chronic prolapse stretches the sphincter and pudendal nerves, and pre-existing pudendal neuropathy weakens the pelvic floor; the two conditions reinforce each other and shape the surgical plan.</w:t>
            </w:r>
          </w:p>
          <w:p>
            <w:pPr>
              <w:spacing w:after="40" w:before="60" w:line="259" w:lineRule="auto"/>
            </w:pPr>
            <w:r>
              <w:rPr>
                <w:rFonts w:ascii="Calibri" w:hAnsi="Calibri"/>
                <w:b w:val="0"/>
                <w:i w:val="0"/>
                <w:color w:val="212121"/>
                <w:sz w:val="19"/>
              </w:rPr>
              <w:t>Faecal incontinence coexists in roughly 50-75% of people with rectal prolapse.</w:t>
            </w:r>
          </w:p>
          <w:p>
            <w:pPr>
              <w:spacing w:after="40" w:line="252" w:lineRule="auto"/>
            </w:pPr>
            <w:hyperlink r:id="rId14">
              <w:r>
                <w:rPr>
                  <w:rFonts w:ascii="Calibri" w:hAnsi="Calibri" w:cs="Calibri"/>
                  <w:sz w:val="18"/>
                  <w:color w:val="1155CC"/>
                  <w:u w:val="single"/>
                </w:rPr>
                <w:t xml:space="preserve">my.clevelandclinic.org - Rectal prolapse</w:t>
              </w:r>
            </w:hyperlink>
          </w:p>
          <w:p>
            <w:pPr>
              <w:spacing w:before="60" w:after="40"/>
            </w:pPr>
            <w:r>
              <w:rPr>
                <w:rFonts w:ascii="Calibri" w:hAnsi="Calibri"/>
                <w:b w:val="0"/>
                <w:i w:val="0"/>
                <w:color w:val="5A5A5A"/>
                <w:sz w:val="18"/>
              </w:rPr>
              <w:t>#faecalincontinence  #pudendalneuropathy  #sphincter  #soiling  #continence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Solitary rectal ulcer syndrome</w:t>
            </w:r>
          </w:p>
        </w:tc>
        <w:tc>
          <w:tcPr>
            <w:tcW w:type="dxa" w:w="2160"/>
            <w:vAlign w:val="top"/>
          </w:tcPr>
          <w:p>
            <w:pPr>
              <w:spacing w:after="40" w:before="0" w:line="259" w:lineRule="auto"/>
            </w:pPr>
            <w:r>
              <w:rPr>
                <w:rFonts w:ascii="Calibri" w:hAnsi="Calibri"/>
                <w:b w:val="0"/>
                <w:i w:val="0"/>
                <w:color w:val="212121"/>
                <w:sz w:val="19"/>
              </w:rPr>
              <w:t>Patients with rectal ulcer and mucus discharge</w:t>
            </w:r>
          </w:p>
        </w:tc>
        <w:tc>
          <w:tcPr>
            <w:tcW w:type="dxa" w:w="4276"/>
            <w:vAlign w:val="top"/>
          </w:tcPr>
          <w:p>
            <w:pPr>
              <w:spacing w:after="60" w:line="259" w:lineRule="auto"/>
            </w:pPr>
            <w:r>
              <w:rPr>
                <w:rFonts w:ascii="Calibri" w:hAnsi="Calibri"/>
                <w:b w:val="0"/>
                <w:i w:val="0"/>
                <w:color w:val="212121"/>
                <w:sz w:val="19"/>
              </w:rPr>
              <w:t>Persistent internal intussusception and straining cause chronic ischaemic trauma to the anterior rectal mucosa, producing solitary rectal ulcer syndrome; conversely SRUS is a marker of underlying prolapse.</w:t>
            </w:r>
          </w:p>
          <w:p>
            <w:pPr>
              <w:spacing w:after="40" w:before="60" w:line="259" w:lineRule="auto"/>
            </w:pPr>
            <w:r>
              <w:rPr>
                <w:rFonts w:ascii="Calibri" w:hAnsi="Calibri"/>
                <w:b w:val="0"/>
                <w:i w:val="0"/>
                <w:color w:val="212121"/>
                <w:sz w:val="19"/>
              </w:rPr>
              <w:t>In one SRUS series internal rectal prolapse underlay 55.6% and external prolapse 38.9% of cases.</w:t>
            </w:r>
          </w:p>
          <w:p>
            <w:pPr>
              <w:spacing w:after="40" w:line="252" w:lineRule="auto"/>
            </w:pPr>
            <w:hyperlink r:id="rId15">
              <w:r>
                <w:rPr>
                  <w:rFonts w:ascii="Calibri" w:hAnsi="Calibri" w:cs="Calibri"/>
                  <w:sz w:val="18"/>
                  <w:color w:val="1155CC"/>
                  <w:u w:val="single"/>
                </w:rPr>
                <w:t xml:space="preserve">en.wikipedia.org - Solitary rectal ulcer syndrome</w:t>
              </w:r>
            </w:hyperlink>
          </w:p>
          <w:p>
            <w:pPr>
              <w:spacing w:before="60" w:after="40"/>
            </w:pPr>
            <w:r>
              <w:rPr>
                <w:rFonts w:ascii="Calibri" w:hAnsi="Calibri"/>
                <w:b w:val="0"/>
                <w:i w:val="0"/>
                <w:color w:val="5A5A5A"/>
                <w:sz w:val="18"/>
              </w:rPr>
              <w:t>#SRUS  #rectalulcer  #intussusception  #mucusdischarge  #ischaemia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Neurological / psychiatric disease</w:t>
            </w:r>
          </w:p>
        </w:tc>
        <w:tc>
          <w:tcPr>
            <w:tcW w:type="dxa" w:w="2160"/>
            <w:vAlign w:val="top"/>
          </w:tcPr>
          <w:p>
            <w:pPr>
              <w:spacing w:after="40" w:before="0" w:line="259" w:lineRule="auto"/>
            </w:pPr>
            <w:r>
              <w:rPr>
                <w:rFonts w:ascii="Calibri" w:hAnsi="Calibri"/>
                <w:b w:val="0"/>
                <w:i w:val="0"/>
                <w:color w:val="212121"/>
                <w:sz w:val="19"/>
              </w:rPr>
              <w:t>Dementia, spinal injury, autism, chronic psychiatric illness</w:t>
            </w:r>
          </w:p>
        </w:tc>
        <w:tc>
          <w:tcPr>
            <w:tcW w:type="dxa" w:w="4276"/>
            <w:vAlign w:val="top"/>
          </w:tcPr>
          <w:p>
            <w:pPr>
              <w:spacing w:after="60" w:line="259" w:lineRule="auto"/>
            </w:pPr>
            <w:r>
              <w:rPr>
                <w:rFonts w:ascii="Calibri" w:hAnsi="Calibri"/>
                <w:b w:val="0"/>
                <w:i w:val="0"/>
                <w:color w:val="212121"/>
                <w:sz w:val="19"/>
              </w:rPr>
              <w:t>Neurological conditions (cauda equina, spinal cord injury, stroke, dementia) impair sphincter tone and pelvic-floor control, while psychiatric illness and autism are associated with disordered toileting and chronic straining that provoke prolapse.</w:t>
            </w:r>
          </w:p>
          <w:p>
            <w:pPr>
              <w:spacing w:after="40" w:line="252" w:lineRule="auto"/>
            </w:pPr>
            <w:hyperlink r:id="rId12">
              <w:r>
                <w:rPr>
                  <w:rFonts w:ascii="Calibri" w:hAnsi="Calibri" w:cs="Calibri"/>
                  <w:sz w:val="18"/>
                  <w:color w:val="1155CC"/>
                  <w:u w:val="single"/>
                </w:rPr>
                <w:t xml:space="preserve">ales.amegroups.org - Best approaches to rectal prolapse</w:t>
              </w:r>
            </w:hyperlink>
          </w:p>
          <w:p>
            <w:pPr>
              <w:spacing w:before="60" w:after="40"/>
            </w:pPr>
            <w:r>
              <w:rPr>
                <w:rFonts w:ascii="Calibri" w:hAnsi="Calibri"/>
                <w:b w:val="0"/>
                <w:i w:val="0"/>
                <w:color w:val="5A5A5A"/>
                <w:sz w:val="18"/>
              </w:rPr>
              <w:t>#neurogenic  #spinalinjury  #dementia  #autism  #toiletingdisorder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Immobility and a sedentary pattern promote constipation and pelvic-floor deconditioning, while regular activity supports normal bowel function; prolonged straining and heavy lifting, however, raise intra-abdominal pressure and can provoke prolapse.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low-fibre, low-residue diet produces hard stool and habitual straining - the dominant modifiable driver of prolapse - and childhood malnutrition depletes the ischiorectal fat that supports the rectum; adequate fibre and nutrition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direct causal link with rectal prolapse, though poor sleep can aggravate constipation-related behaviours and overall pelvic-floor health indirectly.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causes chronic cough and COPD that repeatedly raise intra-abdominal pressure, and it impairs tissue healing, increasing the risk of recurrence after prolapse surgery.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direct cause but heavy intake can cause chronic diarrhoea and urgent straining and worsens nutrition and operative risk; the association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Psychiatric illness, dementia and autism are linked with disordered toileting, laxative misuse and chronic straining, and living with a visible prolapse and faecal incontinence causes marked social withdrawal, embarrassment and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Inadequate fluid intake hardens stool and increases straining, whereas adequate hydration softens stool and eases evacuation, reducing the pressure that drives intussusception.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only a minor role: excessive intake can loosen stool or worsen urgency in some, but there is no established link with the development of prolapse.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exposed prolapsed mucosa and associated faecal soiling need careful perineal hygiene; poor hygiene leads to excoriation, incontinence-associated dermatitis, ulceration and infection of the prolapsed segment.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Straining at stool, prolonged toilet-sitting, chronic cough, heavy lifting and squatting acutely bring down or worsen the prolapse; avoiding straining and treating cough and constipation are central to control.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Defecation posture and prolonged sitting or squatting on the toilet strongly influence straining; unhurried evacuation, foot support to open the anorectal angle, and prompt reduction of any protrusion reduce recurrence and complications.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Constipation-prone adults</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40" w:before="0" w:line="259" w:lineRule="auto"/>
            </w:pPr>
            <w:r>
              <w:rPr>
                <w:rFonts w:ascii="Calibri" w:hAnsi="Calibri"/>
                <w:b w:val="0"/>
                <w:i w:val="0"/>
                <w:color w:val="212121"/>
                <w:sz w:val="19"/>
              </w:rPr>
              <w:t>Low fibre produces hard stool and straining, the main dietary driver of prolapse.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Adults with hard stool</w:t>
            </w:r>
          </w:p>
        </w:tc>
        <w:tc>
          <w:tcPr>
            <w:tcW w:type="dxa" w:w="1512"/>
            <w:vAlign w:val="top"/>
          </w:tcPr>
          <w:p>
            <w:pPr>
              <w:spacing w:after="40" w:before="0" w:line="259" w:lineRule="auto"/>
            </w:pPr>
            <w:r>
              <w:rPr>
                <w:rFonts w:ascii="Calibri" w:hAnsi="Calibri"/>
                <w:b w:val="0"/>
                <w:i w:val="0"/>
                <w:color w:val="212121"/>
                <w:sz w:val="19"/>
              </w:rPr>
              <w:t>~2-3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Dehydration hardens stool and increases the straining that drives intussusception.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Stool consistency (Bristol Stool Scale)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Type 3-4 (soft, formed)</w:t>
            </w:r>
          </w:p>
        </w:tc>
        <w:tc>
          <w:tcPr>
            <w:tcW w:type="dxa" w:w="1512"/>
            <w:vAlign w:val="top"/>
          </w:tcPr>
          <w:p>
            <w:pPr>
              <w:spacing w:after="40" w:before="0" w:line="259" w:lineRule="auto"/>
            </w:pPr>
            <w:r>
              <w:rPr>
                <w:rFonts w:ascii="Calibri" w:hAnsi="Calibri"/>
                <w:b w:val="0"/>
                <w:i w:val="0"/>
                <w:color w:val="212121"/>
                <w:sz w:val="19"/>
              </w:rPr>
              <w:t>Type 1-2 (hard, lumpy)</w:t>
            </w:r>
          </w:p>
        </w:tc>
        <w:tc>
          <w:tcPr>
            <w:tcW w:type="dxa" w:w="1468"/>
            <w:vAlign w:val="top"/>
          </w:tcPr>
          <w:p>
            <w:pPr>
              <w:spacing w:after="40" w:before="0" w:line="259" w:lineRule="auto"/>
            </w:pPr>
            <w:r>
              <w:rPr>
                <w:rFonts w:ascii="Calibri" w:hAnsi="Calibri"/>
                <w:b w:val="0"/>
                <w:i w:val="0"/>
                <w:color w:val="212121"/>
                <w:sz w:val="19"/>
              </w:rPr>
              <w:t>Hard stool forces straining; soft formed stool is the goal of bowel management.</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Straining time at stool</w:t>
            </w:r>
          </w:p>
        </w:tc>
        <w:tc>
          <w:tcPr>
            <w:tcW w:type="dxa" w:w="1655"/>
            <w:vAlign w:val="top"/>
          </w:tcPr>
          <w:p>
            <w:pPr>
              <w:spacing w:after="40" w:before="0" w:line="259" w:lineRule="auto"/>
            </w:pPr>
            <w:r>
              <w:rPr>
                <w:rFonts w:ascii="Calibri" w:hAnsi="Calibri"/>
                <w:b w:val="0"/>
                <w:i w:val="0"/>
                <w:color w:val="212121"/>
                <w:sz w:val="19"/>
              </w:rPr>
              <w:t>Habitual strainers</w:t>
            </w:r>
          </w:p>
        </w:tc>
        <w:tc>
          <w:tcPr>
            <w:tcW w:type="dxa" w:w="1512"/>
            <w:vAlign w:val="top"/>
          </w:tcPr>
          <w:p>
            <w:pPr>
              <w:spacing w:after="40" w:before="0" w:line="259" w:lineRule="auto"/>
            </w:pPr>
            <w:r>
              <w:rPr>
                <w:rFonts w:ascii="Calibri" w:hAnsi="Calibri"/>
                <w:b w:val="0"/>
                <w:i w:val="0"/>
                <w:color w:val="212121"/>
                <w:sz w:val="19"/>
              </w:rPr>
              <w:t>&lt; 5 minutes, minimal straining</w:t>
            </w:r>
          </w:p>
        </w:tc>
        <w:tc>
          <w:tcPr>
            <w:tcW w:type="dxa" w:w="1512"/>
            <w:vAlign w:val="top"/>
          </w:tcPr>
          <w:p>
            <w:pPr>
              <w:spacing w:after="40" w:before="0" w:line="259" w:lineRule="auto"/>
            </w:pPr>
            <w:r>
              <w:rPr>
                <w:rFonts w:ascii="Calibri" w:hAnsi="Calibri"/>
                <w:b w:val="0"/>
                <w:i w:val="0"/>
                <w:color w:val="212121"/>
                <w:sz w:val="19"/>
              </w:rPr>
              <w:t>Prolonged / repeated forceful straining</w:t>
            </w:r>
          </w:p>
        </w:tc>
        <w:tc>
          <w:tcPr>
            <w:tcW w:type="dxa" w:w="1468"/>
            <w:vAlign w:val="top"/>
          </w:tcPr>
          <w:p>
            <w:pPr>
              <w:spacing w:after="40" w:before="0" w:line="259" w:lineRule="auto"/>
            </w:pPr>
            <w:r>
              <w:rPr>
                <w:rFonts w:ascii="Calibri" w:hAnsi="Calibri"/>
                <w:b w:val="0"/>
                <w:i w:val="0"/>
                <w:color w:val="212121"/>
                <w:sz w:val="19"/>
              </w:rPr>
              <w:t>Repeated Valsalva at stool progressively forces rectal intussusception.</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Time seated on toilet per visit</w:t>
            </w:r>
          </w:p>
        </w:tc>
        <w:tc>
          <w:tcPr>
            <w:tcW w:type="dxa" w:w="1655"/>
            <w:vAlign w:val="top"/>
          </w:tcPr>
          <w:p>
            <w:pPr>
              <w:spacing w:after="40" w:before="0" w:line="259" w:lineRule="auto"/>
            </w:pPr>
            <w:r>
              <w:rPr>
                <w:rFonts w:ascii="Calibri" w:hAnsi="Calibri"/>
                <w:b w:val="0"/>
                <w:i w:val="0"/>
                <w:color w:val="212121"/>
                <w:sz w:val="19"/>
              </w:rPr>
              <w:t>Prolonged toilet-sitters</w:t>
            </w:r>
          </w:p>
        </w:tc>
        <w:tc>
          <w:tcPr>
            <w:tcW w:type="dxa" w:w="1512"/>
            <w:vAlign w:val="top"/>
          </w:tcPr>
          <w:p>
            <w:pPr>
              <w:spacing w:after="40" w:before="0" w:line="259" w:lineRule="auto"/>
            </w:pPr>
            <w:r>
              <w:rPr>
                <w:rFonts w:ascii="Calibri" w:hAnsi="Calibri"/>
                <w:b w:val="0"/>
                <w:i w:val="0"/>
                <w:color w:val="212121"/>
                <w:sz w:val="19"/>
              </w:rPr>
              <w:t>&lt; 5-10 minutes</w:t>
            </w:r>
          </w:p>
        </w:tc>
        <w:tc>
          <w:tcPr>
            <w:tcW w:type="dxa" w:w="1512"/>
            <w:vAlign w:val="top"/>
          </w:tcPr>
          <w:p>
            <w:pPr>
              <w:spacing w:after="40" w:before="0" w:line="259" w:lineRule="auto"/>
            </w:pPr>
            <w:r>
              <w:rPr>
                <w:rFonts w:ascii="Calibri" w:hAnsi="Calibri"/>
                <w:b w:val="0"/>
                <w:i w:val="0"/>
                <w:color w:val="212121"/>
                <w:sz w:val="19"/>
              </w:rPr>
              <w:t>Prolonged sitting (reading / smartphone)</w:t>
            </w:r>
          </w:p>
        </w:tc>
        <w:tc>
          <w:tcPr>
            <w:tcW w:type="dxa" w:w="1468"/>
            <w:vAlign w:val="top"/>
          </w:tcPr>
          <w:p>
            <w:pPr>
              <w:spacing w:after="40" w:before="0" w:line="259" w:lineRule="auto"/>
            </w:pPr>
            <w:r>
              <w:rPr>
                <w:rFonts w:ascii="Calibri" w:hAnsi="Calibri"/>
                <w:b w:val="0"/>
                <w:i w:val="0"/>
                <w:color w:val="212121"/>
                <w:sz w:val="19"/>
              </w:rPr>
              <w:t>Prolonged sitting and straining stress the pelvic floor and worsen prolapse.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Mobility / daily activity level</w:t>
            </w:r>
          </w:p>
        </w:tc>
        <w:tc>
          <w:tcPr>
            <w:tcW w:type="dxa" w:w="1655"/>
            <w:vAlign w:val="top"/>
          </w:tcPr>
          <w:p>
            <w:pPr>
              <w:spacing w:after="40" w:before="0" w:line="259" w:lineRule="auto"/>
            </w:pPr>
            <w:r>
              <w:rPr>
                <w:rFonts w:ascii="Calibri" w:hAnsi="Calibri"/>
                <w:b w:val="0"/>
                <w:i w:val="0"/>
                <w:color w:val="212121"/>
                <w:sz w:val="19"/>
              </w:rPr>
              <w:t>Elderly and institutionalised adults</w:t>
            </w:r>
          </w:p>
        </w:tc>
        <w:tc>
          <w:tcPr>
            <w:tcW w:type="dxa" w:w="1512"/>
            <w:vAlign w:val="top"/>
          </w:tcPr>
          <w:p>
            <w:pPr>
              <w:spacing w:after="40" w:before="0" w:line="259" w:lineRule="auto"/>
            </w:pPr>
            <w:r>
              <w:rPr>
                <w:rFonts w:ascii="Calibri" w:hAnsi="Calibri"/>
                <w:b w:val="0"/>
                <w:i w:val="0"/>
                <w:color w:val="212121"/>
                <w:sz w:val="19"/>
              </w:rPr>
              <w:t>Regular ambulation / activity</w:t>
            </w:r>
          </w:p>
        </w:tc>
        <w:tc>
          <w:tcPr>
            <w:tcW w:type="dxa" w:w="1512"/>
            <w:vAlign w:val="top"/>
          </w:tcPr>
          <w:p>
            <w:pPr>
              <w:spacing w:after="40" w:before="0" w:line="259" w:lineRule="auto"/>
            </w:pPr>
            <w:r>
              <w:rPr>
                <w:rFonts w:ascii="Calibri" w:hAnsi="Calibri"/>
                <w:b w:val="0"/>
                <w:i w:val="0"/>
                <w:color w:val="212121"/>
                <w:sz w:val="19"/>
              </w:rPr>
              <w:t>Immobility, bedbound state</w:t>
            </w:r>
          </w:p>
        </w:tc>
        <w:tc>
          <w:tcPr>
            <w:tcW w:type="dxa" w:w="1468"/>
            <w:vAlign w:val="top"/>
          </w:tcPr>
          <w:p>
            <w:pPr>
              <w:spacing w:after="40" w:before="0" w:line="259" w:lineRule="auto"/>
            </w:pPr>
            <w:r>
              <w:rPr>
                <w:rFonts w:ascii="Calibri" w:hAnsi="Calibri"/>
                <w:b w:val="0"/>
                <w:i w:val="0"/>
                <w:color w:val="212121"/>
                <w:sz w:val="19"/>
              </w:rPr>
              <w:t>Immobility promotes constipation and pelvic-floor deconditioning.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 pre-operative patients</w:t>
            </w:r>
          </w:p>
        </w:tc>
        <w:tc>
          <w:tcPr>
            <w:tcW w:type="dxa" w:w="1512"/>
            <w:vAlign w:val="top"/>
          </w:tcPr>
          <w:p>
            <w:pPr>
              <w:spacing w:after="40" w:before="0" w:line="259" w:lineRule="auto"/>
            </w:pPr>
            <w:r>
              <w:rPr>
                <w:rFonts w:ascii="Calibri" w:hAnsi="Calibri"/>
                <w:b w:val="0"/>
                <w:i w:val="0"/>
                <w:color w:val="212121"/>
                <w:sz w:val="19"/>
              </w:rPr>
              <w:t>0 / day</w:t>
            </w:r>
          </w:p>
        </w:tc>
        <w:tc>
          <w:tcPr>
            <w:tcW w:type="dxa" w:w="1512"/>
            <w:vAlign w:val="top"/>
          </w:tcPr>
          <w:p>
            <w:pPr>
              <w:spacing w:after="40" w:before="0" w:line="259" w:lineRule="auto"/>
            </w:pPr>
            <w:r>
              <w:rPr>
                <w:rFonts w:ascii="Calibri" w:hAnsi="Calibri"/>
                <w:b w:val="0"/>
                <w:i w:val="0"/>
                <w:color w:val="212121"/>
                <w:sz w:val="19"/>
              </w:rPr>
              <w:t>&gt;= 1 / day</w:t>
            </w:r>
          </w:p>
        </w:tc>
        <w:tc>
          <w:tcPr>
            <w:tcW w:type="dxa" w:w="1468"/>
            <w:vAlign w:val="top"/>
          </w:tcPr>
          <w:p>
            <w:pPr>
              <w:spacing w:after="60" w:line="259" w:lineRule="auto"/>
            </w:pPr>
            <w:r>
              <w:rPr>
                <w:rFonts w:ascii="Calibri" w:hAnsi="Calibri"/>
                <w:b w:val="0"/>
                <w:i w:val="0"/>
                <w:color w:val="212121"/>
                <w:sz w:val="19"/>
              </w:rPr>
              <w:t>Chronic cough raises intra-abdominal pressure; smoking impairs healing and raises recurrence.</w:t>
            </w:r>
          </w:p>
          <w:p>
            <w:pPr>
              <w:spacing w:after="40" w:line="252" w:lineRule="auto"/>
            </w:pPr>
            <w:hyperlink r:id="rId11">
              <w:r>
                <w:rPr>
                  <w:rFonts w:ascii="Calibri" w:hAnsi="Calibri" w:cs="Calibri"/>
                  <w:sz w:val="18"/>
                  <w:color w:val="1155CC"/>
                  <w:u w:val="single"/>
                </w:rPr>
                <w:t xml:space="preserve">https://emedicine.medscape.com/article/2026460-overview</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Nutritional status (weight-for-age / BMI)</w:t>
            </w:r>
          </w:p>
        </w:tc>
        <w:tc>
          <w:tcPr>
            <w:tcW w:type="dxa" w:w="1655"/>
            <w:vAlign w:val="top"/>
          </w:tcPr>
          <w:p>
            <w:pPr>
              <w:spacing w:after="40" w:before="0" w:line="259" w:lineRule="auto"/>
            </w:pPr>
            <w:r>
              <w:rPr>
                <w:rFonts w:ascii="Calibri" w:hAnsi="Calibri"/>
                <w:b w:val="0"/>
                <w:i w:val="0"/>
                <w:color w:val="212121"/>
                <w:sz w:val="19"/>
              </w:rPr>
              <w:t>Children and cachectic adults</w:t>
            </w:r>
          </w:p>
        </w:tc>
        <w:tc>
          <w:tcPr>
            <w:tcW w:type="dxa" w:w="1512"/>
            <w:vAlign w:val="top"/>
          </w:tcPr>
          <w:p>
            <w:pPr>
              <w:spacing w:after="40" w:before="0" w:line="259" w:lineRule="auto"/>
            </w:pPr>
            <w:r>
              <w:rPr>
                <w:rFonts w:ascii="Calibri" w:hAnsi="Calibri"/>
                <w:b w:val="0"/>
                <w:i w:val="0"/>
                <w:color w:val="212121"/>
                <w:sz w:val="19"/>
              </w:rPr>
              <w:t>Normal weight-for-age; BMI 18.5-24.9 kg/m2</w:t>
            </w:r>
          </w:p>
        </w:tc>
        <w:tc>
          <w:tcPr>
            <w:tcW w:type="dxa" w:w="1512"/>
            <w:vAlign w:val="top"/>
          </w:tcPr>
          <w:p>
            <w:pPr>
              <w:spacing w:after="40" w:before="0" w:line="259" w:lineRule="auto"/>
            </w:pPr>
            <w:r>
              <w:rPr>
                <w:rFonts w:ascii="Calibri" w:hAnsi="Calibri"/>
                <w:b w:val="0"/>
                <w:i w:val="0"/>
                <w:color w:val="212121"/>
                <w:sz w:val="19"/>
              </w:rPr>
              <w:t>Wasting / underweight; loss of ischiorectal fat</w:t>
            </w:r>
          </w:p>
        </w:tc>
        <w:tc>
          <w:tcPr>
            <w:tcW w:type="dxa" w:w="1468"/>
            <w:vAlign w:val="top"/>
          </w:tcPr>
          <w:p>
            <w:pPr>
              <w:spacing w:after="60" w:line="259" w:lineRule="auto"/>
            </w:pPr>
            <w:r>
              <w:rPr>
                <w:rFonts w:ascii="Calibri" w:hAnsi="Calibri"/>
                <w:b w:val="0"/>
                <w:i w:val="0"/>
                <w:color w:val="212121"/>
                <w:sz w:val="19"/>
              </w:rPr>
              <w:t>Malnutrition depletes rectal fat support; note that obesity is not a strong risk factor and prolapse is often seen in thin women.</w:t>
            </w:r>
          </w:p>
          <w:p>
            <w:pPr>
              <w:spacing w:after="40" w:line="252" w:lineRule="auto"/>
            </w:pPr>
            <w:hyperlink r:id="rId10">
              <w:r>
                <w:rPr>
                  <w:rFonts w:ascii="Calibri" w:hAnsi="Calibri" w:cs="Calibri"/>
                  <w:sz w:val="18"/>
                  <w:color w:val="1155CC"/>
                  <w:u w:val="single"/>
                </w:rPr>
                <w:t xml:space="preserve">https://tgh.amegroups.org/article/view/8810/html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Bowel movement frequency</w:t>
            </w:r>
          </w:p>
        </w:tc>
        <w:tc>
          <w:tcPr>
            <w:tcW w:type="dxa" w:w="1655"/>
            <w:vAlign w:val="top"/>
          </w:tcPr>
          <w:p>
            <w:pPr>
              <w:spacing w:after="40" w:before="0" w:line="259" w:lineRule="auto"/>
            </w:pPr>
            <w:r>
              <w:rPr>
                <w:rFonts w:ascii="Calibri" w:hAnsi="Calibri"/>
                <w:b w:val="0"/>
                <w:i w:val="0"/>
                <w:color w:val="212121"/>
                <w:sz w:val="19"/>
              </w:rPr>
              <w:t>Constipated adults</w:t>
            </w:r>
          </w:p>
        </w:tc>
        <w:tc>
          <w:tcPr>
            <w:tcW w:type="dxa" w:w="1512"/>
            <w:vAlign w:val="top"/>
          </w:tcPr>
          <w:p>
            <w:pPr>
              <w:spacing w:after="40" w:before="0" w:line="259" w:lineRule="auto"/>
            </w:pPr>
            <w:r>
              <w:rPr>
                <w:rFonts w:ascii="Calibri" w:hAnsi="Calibri"/>
                <w:b w:val="0"/>
                <w:i w:val="0"/>
                <w:color w:val="212121"/>
                <w:sz w:val="19"/>
              </w:rPr>
              <w:t>&gt;= 3 soft stools/week without straining</w:t>
            </w:r>
          </w:p>
        </w:tc>
        <w:tc>
          <w:tcPr>
            <w:tcW w:type="dxa" w:w="1512"/>
            <w:vAlign w:val="top"/>
          </w:tcPr>
          <w:p>
            <w:pPr>
              <w:spacing w:after="40" w:before="0" w:line="259" w:lineRule="auto"/>
            </w:pPr>
            <w:r>
              <w:rPr>
                <w:rFonts w:ascii="Calibri" w:hAnsi="Calibri"/>
                <w:b w:val="0"/>
                <w:i w:val="0"/>
                <w:color w:val="212121"/>
                <w:sz w:val="19"/>
              </w:rPr>
              <w:t>&lt; 3 hard stools/week with straining</w:t>
            </w:r>
          </w:p>
        </w:tc>
        <w:tc>
          <w:tcPr>
            <w:tcW w:type="dxa" w:w="1468"/>
            <w:vAlign w:val="top"/>
          </w:tcPr>
          <w:p>
            <w:pPr>
              <w:spacing w:after="40" w:before="0" w:line="259" w:lineRule="auto"/>
            </w:pPr>
            <w:r>
              <w:rPr>
                <w:rFonts w:ascii="Calibri" w:hAnsi="Calibri"/>
                <w:b w:val="0"/>
                <w:i w:val="0"/>
                <w:color w:val="212121"/>
                <w:sz w:val="19"/>
              </w:rPr>
              <w:t>Infrequent hard stools reflect the constipation that predisposes to prolapse.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Rectal intussusception / prolapse (Oxford grade)</w:t>
            </w:r>
          </w:p>
        </w:tc>
        <w:tc>
          <w:tcPr>
            <w:tcW w:type="dxa" w:w="892"/>
            <w:vAlign w:val="top"/>
          </w:tcPr>
          <w:p>
            <w:pPr>
              <w:spacing w:after="40" w:before="0" w:line="259" w:lineRule="auto"/>
            </w:pPr>
            <w:r>
              <w:rPr>
                <w:rFonts w:ascii="Calibri" w:hAnsi="Calibri"/>
                <w:b w:val="0"/>
                <w:i w:val="0"/>
                <w:color w:val="212121"/>
                <w:sz w:val="16"/>
              </w:rPr>
              <w:t>Defecating proctography (evacuation proctogram)</w:t>
            </w:r>
          </w:p>
        </w:tc>
        <w:tc>
          <w:tcPr>
            <w:tcW w:type="dxa" w:w="950"/>
            <w:vAlign w:val="top"/>
          </w:tcPr>
          <w:p>
            <w:pPr>
              <w:spacing w:after="40" w:before="0" w:line="259" w:lineRule="auto"/>
            </w:pPr>
            <w:r>
              <w:rPr>
                <w:rFonts w:ascii="Calibri" w:hAnsi="Calibri"/>
                <w:b w:val="0"/>
                <w:i w:val="0"/>
                <w:color w:val="212121"/>
                <w:sz w:val="16"/>
              </w:rPr>
              <w:t>No intussusception; complete rectal emptying</w:t>
            </w:r>
          </w:p>
        </w:tc>
        <w:tc>
          <w:tcPr>
            <w:tcW w:type="dxa" w:w="950"/>
            <w:vAlign w:val="top"/>
          </w:tcPr>
          <w:p>
            <w:pPr>
              <w:spacing w:after="40" w:before="0" w:line="259" w:lineRule="auto"/>
            </w:pPr>
            <w:r>
              <w:rPr>
                <w:rFonts w:ascii="Calibri" w:hAnsi="Calibri"/>
                <w:b w:val="0"/>
                <w:i w:val="0"/>
                <w:color w:val="212121"/>
                <w:sz w:val="16"/>
              </w:rPr>
              <w:t>Recto-rectal, recto-anal or external intussusception (Oxford I-V)</w:t>
            </w:r>
          </w:p>
        </w:tc>
        <w:tc>
          <w:tcPr>
            <w:tcW w:type="dxa" w:w="1036"/>
            <w:vAlign w:val="top"/>
          </w:tcPr>
          <w:p>
            <w:pPr>
              <w:spacing w:after="40" w:before="0" w:line="259" w:lineRule="auto"/>
            </w:pPr>
            <w:r>
              <w:rPr>
                <w:rFonts w:ascii="Calibri" w:hAnsi="Calibri"/>
                <w:b w:val="0"/>
                <w:i w:val="0"/>
                <w:color w:val="212121"/>
                <w:sz w:val="16"/>
              </w:rPr>
              <w:t>Reference standard for occult internal prolapse; grades severity and detects coexisting rectocele / enterocele</w:t>
            </w:r>
          </w:p>
        </w:tc>
        <w:tc>
          <w:tcPr>
            <w:tcW w:type="dxa" w:w="1036"/>
            <w:vAlign w:val="top"/>
          </w:tcPr>
          <w:p>
            <w:pPr>
              <w:spacing w:after="40" w:before="0" w:line="259" w:lineRule="auto"/>
            </w:pPr>
            <w:r>
              <w:rPr>
                <w:rFonts w:ascii="Calibri" w:hAnsi="Calibri"/>
                <w:b w:val="0"/>
                <w:i w:val="0"/>
                <w:color w:val="212121"/>
                <w:sz w:val="16"/>
              </w:rPr>
              <w:t>Obstructed defecation, suspected internal prolapse</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Higher Oxford grade correlates with worse continence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Multi-compartment pelvic floor descent</w:t>
            </w:r>
          </w:p>
        </w:tc>
        <w:tc>
          <w:tcPr>
            <w:tcW w:type="dxa" w:w="892"/>
            <w:vAlign w:val="top"/>
          </w:tcPr>
          <w:p>
            <w:pPr>
              <w:spacing w:after="40" w:before="0" w:line="259" w:lineRule="auto"/>
            </w:pPr>
            <w:r>
              <w:rPr>
                <w:rFonts w:ascii="Calibri" w:hAnsi="Calibri"/>
                <w:b w:val="0"/>
                <w:i w:val="0"/>
                <w:color w:val="212121"/>
                <w:sz w:val="16"/>
              </w:rPr>
              <w:t>Dynamic MRI defecography</w:t>
            </w:r>
          </w:p>
        </w:tc>
        <w:tc>
          <w:tcPr>
            <w:tcW w:type="dxa" w:w="950"/>
            <w:vAlign w:val="top"/>
          </w:tcPr>
          <w:p>
            <w:pPr>
              <w:spacing w:after="40" w:before="0" w:line="259" w:lineRule="auto"/>
            </w:pPr>
            <w:r>
              <w:rPr>
                <w:rFonts w:ascii="Calibri" w:hAnsi="Calibri"/>
                <w:b w:val="0"/>
                <w:i w:val="0"/>
                <w:color w:val="212121"/>
                <w:sz w:val="16"/>
              </w:rPr>
              <w:t>Normal pelvic floor support and emptying</w:t>
            </w:r>
          </w:p>
        </w:tc>
        <w:tc>
          <w:tcPr>
            <w:tcW w:type="dxa" w:w="950"/>
            <w:vAlign w:val="top"/>
          </w:tcPr>
          <w:p>
            <w:pPr>
              <w:spacing w:after="40" w:before="0" w:line="259" w:lineRule="auto"/>
            </w:pPr>
            <w:r>
              <w:rPr>
                <w:rFonts w:ascii="Calibri" w:hAnsi="Calibri"/>
                <w:b w:val="0"/>
                <w:i w:val="0"/>
                <w:color w:val="212121"/>
                <w:sz w:val="16"/>
              </w:rPr>
              <w:t>Intussusception with cystocele / uterine descent / enterocele</w:t>
            </w:r>
          </w:p>
        </w:tc>
        <w:tc>
          <w:tcPr>
            <w:tcW w:type="dxa" w:w="1036"/>
            <w:vAlign w:val="top"/>
          </w:tcPr>
          <w:p>
            <w:pPr>
              <w:spacing w:after="40" w:before="0" w:line="259" w:lineRule="auto"/>
            </w:pPr>
            <w:r>
              <w:rPr>
                <w:rFonts w:ascii="Calibri" w:hAnsi="Calibri"/>
                <w:b w:val="0"/>
                <w:i w:val="0"/>
                <w:color w:val="212121"/>
                <w:sz w:val="16"/>
              </w:rPr>
              <w:t>Assesses all three pelvic compartments without radiation when combined prolapse is suspected</w:t>
            </w:r>
          </w:p>
        </w:tc>
        <w:tc>
          <w:tcPr>
            <w:tcW w:type="dxa" w:w="1036"/>
            <w:vAlign w:val="top"/>
          </w:tcPr>
          <w:p>
            <w:pPr>
              <w:spacing w:after="40" w:before="0" w:line="259" w:lineRule="auto"/>
            </w:pPr>
            <w:r>
              <w:rPr>
                <w:rFonts w:ascii="Calibri" w:hAnsi="Calibri"/>
                <w:b w:val="0"/>
                <w:i w:val="0"/>
                <w:color w:val="212121"/>
                <w:sz w:val="16"/>
              </w:rPr>
              <w:t>Women with suspected multi-compartment prolapse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Complements proctography for surgical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Mucosa / lead-point lesion</w:t>
            </w:r>
          </w:p>
        </w:tc>
        <w:tc>
          <w:tcPr>
            <w:tcW w:type="dxa" w:w="892"/>
            <w:vAlign w:val="top"/>
          </w:tcPr>
          <w:p>
            <w:pPr>
              <w:spacing w:after="40" w:before="0" w:line="259" w:lineRule="auto"/>
            </w:pPr>
            <w:r>
              <w:rPr>
                <w:rFonts w:ascii="Calibri" w:hAnsi="Calibri"/>
                <w:b w:val="0"/>
                <w:i w:val="0"/>
                <w:color w:val="212121"/>
                <w:sz w:val="16"/>
              </w:rPr>
              <w:t>Colonoscopy or flexible sigmoidoscopy</w:t>
            </w:r>
          </w:p>
        </w:tc>
        <w:tc>
          <w:tcPr>
            <w:tcW w:type="dxa" w:w="950"/>
            <w:vAlign w:val="top"/>
          </w:tcPr>
          <w:p>
            <w:pPr>
              <w:spacing w:after="40" w:before="0" w:line="259" w:lineRule="auto"/>
            </w:pPr>
            <w:r>
              <w:rPr>
                <w:rFonts w:ascii="Calibri" w:hAnsi="Calibri"/>
                <w:b w:val="0"/>
                <w:i w:val="0"/>
                <w:color w:val="212121"/>
                <w:sz w:val="16"/>
              </w:rPr>
              <w:t>Normal mucosa, no mass</w:t>
            </w:r>
          </w:p>
        </w:tc>
        <w:tc>
          <w:tcPr>
            <w:tcW w:type="dxa" w:w="950"/>
            <w:vAlign w:val="top"/>
          </w:tcPr>
          <w:p>
            <w:pPr>
              <w:spacing w:after="40" w:before="0" w:line="259" w:lineRule="auto"/>
            </w:pPr>
            <w:r>
              <w:rPr>
                <w:rFonts w:ascii="Calibri" w:hAnsi="Calibri"/>
                <w:b w:val="0"/>
                <w:i w:val="0"/>
                <w:color w:val="212121"/>
                <w:sz w:val="16"/>
              </w:rPr>
              <w:t>Neoplasm / polyp lead point; solitary rectal ulcer</w:t>
            </w:r>
          </w:p>
        </w:tc>
        <w:tc>
          <w:tcPr>
            <w:tcW w:type="dxa" w:w="1036"/>
            <w:vAlign w:val="top"/>
          </w:tcPr>
          <w:p>
            <w:pPr>
              <w:spacing w:after="40" w:before="0" w:line="259" w:lineRule="auto"/>
            </w:pPr>
            <w:r>
              <w:rPr>
                <w:rFonts w:ascii="Calibri" w:hAnsi="Calibri"/>
                <w:b w:val="0"/>
                <w:i w:val="0"/>
                <w:color w:val="212121"/>
                <w:sz w:val="16"/>
              </w:rPr>
              <w:t>Excludes a tumour acting as a lead point and identifies solitary rectal ulcer syndrome</w:t>
            </w:r>
          </w:p>
        </w:tc>
        <w:tc>
          <w:tcPr>
            <w:tcW w:type="dxa" w:w="1036"/>
            <w:vAlign w:val="top"/>
          </w:tcPr>
          <w:p>
            <w:pPr>
              <w:spacing w:after="40" w:before="0" w:line="259" w:lineRule="auto"/>
            </w:pPr>
            <w:r>
              <w:rPr>
                <w:rFonts w:ascii="Calibri" w:hAnsi="Calibri"/>
                <w:b w:val="0"/>
                <w:i w:val="0"/>
                <w:color w:val="212121"/>
                <w:sz w:val="16"/>
              </w:rPr>
              <w:t>All adults before repair; bleeding / mucus discharge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 (rule-out)</w:t>
            </w:r>
          </w:p>
        </w:tc>
        <w:tc>
          <w:tcPr>
            <w:tcW w:type="dxa" w:w="720"/>
            <w:vAlign w:val="top"/>
          </w:tcPr>
          <w:p>
            <w:pPr>
              <w:spacing w:after="40" w:before="0" w:line="259" w:lineRule="auto"/>
            </w:pPr>
            <w:r>
              <w:rPr>
                <w:rFonts w:ascii="Calibri" w:hAnsi="Calibri"/>
                <w:b w:val="0"/>
                <w:i w:val="0"/>
                <w:color w:val="212121"/>
                <w:sz w:val="16"/>
              </w:rPr>
              <w:t>A lead-point lesion changes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Resting / squeeze pressures; rectoanal inhibitory reflex</w:t>
            </w:r>
          </w:p>
        </w:tc>
        <w:tc>
          <w:tcPr>
            <w:tcW w:type="dxa" w:w="892"/>
            <w:vAlign w:val="top"/>
          </w:tcPr>
          <w:p>
            <w:pPr>
              <w:spacing w:after="40" w:before="0" w:line="259" w:lineRule="auto"/>
            </w:pPr>
            <w:r>
              <w:rPr>
                <w:rFonts w:ascii="Calibri" w:hAnsi="Calibri"/>
                <w:b w:val="0"/>
                <w:i w:val="0"/>
                <w:color w:val="212121"/>
                <w:sz w:val="16"/>
              </w:rPr>
              <w:t>Anorectal manometry</w:t>
            </w:r>
          </w:p>
        </w:tc>
        <w:tc>
          <w:tcPr>
            <w:tcW w:type="dxa" w:w="950"/>
            <w:vAlign w:val="top"/>
          </w:tcPr>
          <w:p>
            <w:pPr>
              <w:spacing w:after="40" w:before="0" w:line="259" w:lineRule="auto"/>
            </w:pPr>
            <w:r>
              <w:rPr>
                <w:rFonts w:ascii="Calibri" w:hAnsi="Calibri"/>
                <w:b w:val="0"/>
                <w:i w:val="0"/>
                <w:color w:val="212121"/>
                <w:sz w:val="16"/>
              </w:rPr>
              <w:t>Normal resting and squeeze pressures; present RAIR</w:t>
            </w:r>
          </w:p>
        </w:tc>
        <w:tc>
          <w:tcPr>
            <w:tcW w:type="dxa" w:w="950"/>
            <w:vAlign w:val="top"/>
          </w:tcPr>
          <w:p>
            <w:pPr>
              <w:spacing w:after="40" w:before="0" w:line="259" w:lineRule="auto"/>
            </w:pPr>
            <w:r>
              <w:rPr>
                <w:rFonts w:ascii="Calibri" w:hAnsi="Calibri"/>
                <w:b w:val="0"/>
                <w:i w:val="0"/>
                <w:color w:val="212121"/>
                <w:sz w:val="16"/>
              </w:rPr>
              <w:t>Low sphincter pressures; absent / impaired RAIR</w:t>
            </w:r>
          </w:p>
        </w:tc>
        <w:tc>
          <w:tcPr>
            <w:tcW w:type="dxa" w:w="1036"/>
            <w:vAlign w:val="top"/>
          </w:tcPr>
          <w:p>
            <w:pPr>
              <w:spacing w:after="40" w:before="0" w:line="259" w:lineRule="auto"/>
            </w:pPr>
            <w:r>
              <w:rPr>
                <w:rFonts w:ascii="Calibri" w:hAnsi="Calibri"/>
                <w:b w:val="0"/>
                <w:i w:val="0"/>
                <w:color w:val="212121"/>
                <w:sz w:val="16"/>
              </w:rPr>
              <w:t>Quantifies sphincter weakness and neural dysfunction; absent/impaired RAIR is common in high-grade prolapse</w:t>
            </w:r>
          </w:p>
        </w:tc>
        <w:tc>
          <w:tcPr>
            <w:tcW w:type="dxa" w:w="1036"/>
            <w:vAlign w:val="top"/>
          </w:tcPr>
          <w:p>
            <w:pPr>
              <w:spacing w:after="40" w:before="0" w:line="259" w:lineRule="auto"/>
            </w:pPr>
            <w:r>
              <w:rPr>
                <w:rFonts w:ascii="Calibri" w:hAnsi="Calibri"/>
                <w:b w:val="0"/>
                <w:i w:val="0"/>
                <w:color w:val="212121"/>
                <w:sz w:val="16"/>
              </w:rPr>
              <w:t>Prolapse with faecal incontinence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Absent/impaired RAIR seen in ~63% of high-grade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Pudendal nerve terminal motor latency / EMG</w:t>
            </w:r>
          </w:p>
        </w:tc>
        <w:tc>
          <w:tcPr>
            <w:tcW w:type="dxa" w:w="892"/>
            <w:vAlign w:val="top"/>
          </w:tcPr>
          <w:p>
            <w:pPr>
              <w:spacing w:after="40" w:before="0" w:line="259" w:lineRule="auto"/>
            </w:pPr>
            <w:r>
              <w:rPr>
                <w:rFonts w:ascii="Calibri" w:hAnsi="Calibri"/>
                <w:b w:val="0"/>
                <w:i w:val="0"/>
                <w:color w:val="212121"/>
                <w:sz w:val="16"/>
              </w:rPr>
              <w:t>Pelvic floor neurophysiology</w:t>
            </w:r>
          </w:p>
        </w:tc>
        <w:tc>
          <w:tcPr>
            <w:tcW w:type="dxa" w:w="950"/>
            <w:vAlign w:val="top"/>
          </w:tcPr>
          <w:p>
            <w:pPr>
              <w:spacing w:after="40" w:before="0" w:line="259" w:lineRule="auto"/>
            </w:pPr>
            <w:r>
              <w:rPr>
                <w:rFonts w:ascii="Calibri" w:hAnsi="Calibri"/>
                <w:b w:val="0"/>
                <w:i w:val="0"/>
                <w:color w:val="212121"/>
                <w:sz w:val="16"/>
              </w:rPr>
              <w:t>Normal latency</w:t>
            </w:r>
          </w:p>
        </w:tc>
        <w:tc>
          <w:tcPr>
            <w:tcW w:type="dxa" w:w="950"/>
            <w:vAlign w:val="top"/>
          </w:tcPr>
          <w:p>
            <w:pPr>
              <w:spacing w:after="40" w:before="0" w:line="259" w:lineRule="auto"/>
            </w:pPr>
            <w:r>
              <w:rPr>
                <w:rFonts w:ascii="Calibri" w:hAnsi="Calibri"/>
                <w:b w:val="0"/>
                <w:i w:val="0"/>
                <w:color w:val="212121"/>
                <w:sz w:val="16"/>
              </w:rPr>
              <w:t>Prolonged latency (pudendal neuropathy)</w:t>
            </w:r>
          </w:p>
        </w:tc>
        <w:tc>
          <w:tcPr>
            <w:tcW w:type="dxa" w:w="1036"/>
            <w:vAlign w:val="top"/>
          </w:tcPr>
          <w:p>
            <w:pPr>
              <w:spacing w:after="40" w:before="0" w:line="259" w:lineRule="auto"/>
            </w:pPr>
            <w:r>
              <w:rPr>
                <w:rFonts w:ascii="Calibri" w:hAnsi="Calibri"/>
                <w:b w:val="0"/>
                <w:i w:val="0"/>
                <w:color w:val="212121"/>
                <w:sz w:val="16"/>
              </w:rPr>
              <w:t>Detects pudendal neuropathy that worsens incontinence and predicts poorer continence outcome after repair</w:t>
            </w:r>
          </w:p>
        </w:tc>
        <w:tc>
          <w:tcPr>
            <w:tcW w:type="dxa" w:w="1036"/>
            <w:vAlign w:val="top"/>
          </w:tcPr>
          <w:p>
            <w:pPr>
              <w:spacing w:after="40" w:before="0" w:line="259" w:lineRule="auto"/>
            </w:pPr>
            <w:r>
              <w:rPr>
                <w:rFonts w:ascii="Calibri" w:hAnsi="Calibri"/>
                <w:b w:val="0"/>
                <w:i w:val="0"/>
                <w:color w:val="212121"/>
                <w:sz w:val="16"/>
              </w:rPr>
              <w:t>Incontinent prolapse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Informs prognosis and 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Colonic transit time</w:t>
            </w:r>
          </w:p>
        </w:tc>
        <w:tc>
          <w:tcPr>
            <w:tcW w:type="dxa" w:w="892"/>
            <w:vAlign w:val="top"/>
          </w:tcPr>
          <w:p>
            <w:pPr>
              <w:spacing w:after="40" w:before="0" w:line="259" w:lineRule="auto"/>
            </w:pPr>
            <w:r>
              <w:rPr>
                <w:rFonts w:ascii="Calibri" w:hAnsi="Calibri"/>
                <w:b w:val="0"/>
                <w:i w:val="0"/>
                <w:color w:val="212121"/>
                <w:sz w:val="16"/>
              </w:rPr>
              <w:t>Colonic transit (radio-opaque marker) study</w:t>
            </w:r>
          </w:p>
        </w:tc>
        <w:tc>
          <w:tcPr>
            <w:tcW w:type="dxa" w:w="950"/>
            <w:vAlign w:val="top"/>
          </w:tcPr>
          <w:p>
            <w:pPr>
              <w:spacing w:after="40" w:before="0" w:line="259" w:lineRule="auto"/>
            </w:pPr>
            <w:r>
              <w:rPr>
                <w:rFonts w:ascii="Calibri" w:hAnsi="Calibri"/>
                <w:b w:val="0"/>
                <w:i w:val="0"/>
                <w:color w:val="212121"/>
                <w:sz w:val="16"/>
              </w:rPr>
              <w:t>Normal transit</w:t>
            </w:r>
          </w:p>
        </w:tc>
        <w:tc>
          <w:tcPr>
            <w:tcW w:type="dxa" w:w="950"/>
            <w:vAlign w:val="top"/>
          </w:tcPr>
          <w:p>
            <w:pPr>
              <w:spacing w:after="40" w:before="0" w:line="259" w:lineRule="auto"/>
            </w:pPr>
            <w:r>
              <w:rPr>
                <w:rFonts w:ascii="Calibri" w:hAnsi="Calibri"/>
                <w:b w:val="0"/>
                <w:i w:val="0"/>
                <w:color w:val="212121"/>
                <w:sz w:val="16"/>
              </w:rPr>
              <w:t>Delayed transit (slow-transit constipation)</w:t>
            </w:r>
          </w:p>
        </w:tc>
        <w:tc>
          <w:tcPr>
            <w:tcW w:type="dxa" w:w="1036"/>
            <w:vAlign w:val="top"/>
          </w:tcPr>
          <w:p>
            <w:pPr>
              <w:spacing w:after="40" w:before="0" w:line="259" w:lineRule="auto"/>
            </w:pPr>
            <w:r>
              <w:rPr>
                <w:rFonts w:ascii="Calibri" w:hAnsi="Calibri"/>
                <w:b w:val="0"/>
                <w:i w:val="0"/>
                <w:color w:val="212121"/>
                <w:sz w:val="16"/>
              </w:rPr>
              <w:t>Identifies coexisting slow-transit constipation that may need resection rectopexy</w:t>
            </w:r>
          </w:p>
        </w:tc>
        <w:tc>
          <w:tcPr>
            <w:tcW w:type="dxa" w:w="1036"/>
            <w:vAlign w:val="top"/>
          </w:tcPr>
          <w:p>
            <w:pPr>
              <w:spacing w:after="40" w:before="0" w:line="259" w:lineRule="auto"/>
            </w:pPr>
            <w:r>
              <w:rPr>
                <w:rFonts w:ascii="Calibri" w:hAnsi="Calibri"/>
                <w:b w:val="0"/>
                <w:i w:val="0"/>
                <w:color w:val="212121"/>
                <w:sz w:val="16"/>
              </w:rPr>
              <w:t>Prolapse with severe constipation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Guides whether to add sigmoid resection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Anal sphincter integrity</w:t>
            </w:r>
          </w:p>
        </w:tc>
        <w:tc>
          <w:tcPr>
            <w:tcW w:type="dxa" w:w="892"/>
            <w:vAlign w:val="top"/>
          </w:tcPr>
          <w:p>
            <w:pPr>
              <w:spacing w:after="40" w:before="0" w:line="259" w:lineRule="auto"/>
            </w:pPr>
            <w:r>
              <w:rPr>
                <w:rFonts w:ascii="Calibri" w:hAnsi="Calibri"/>
                <w:b w:val="0"/>
                <w:i w:val="0"/>
                <w:color w:val="212121"/>
                <w:sz w:val="16"/>
              </w:rPr>
              <w:t>Endoanal ultrasound</w:t>
            </w:r>
          </w:p>
        </w:tc>
        <w:tc>
          <w:tcPr>
            <w:tcW w:type="dxa" w:w="950"/>
            <w:vAlign w:val="top"/>
          </w:tcPr>
          <w:p>
            <w:pPr>
              <w:spacing w:after="40" w:before="0" w:line="259" w:lineRule="auto"/>
            </w:pPr>
            <w:r>
              <w:rPr>
                <w:rFonts w:ascii="Calibri" w:hAnsi="Calibri"/>
                <w:b w:val="0"/>
                <w:i w:val="0"/>
                <w:color w:val="212121"/>
                <w:sz w:val="16"/>
              </w:rPr>
              <w:t>Intact internal and external sphincters</w:t>
            </w:r>
          </w:p>
        </w:tc>
        <w:tc>
          <w:tcPr>
            <w:tcW w:type="dxa" w:w="950"/>
            <w:vAlign w:val="top"/>
          </w:tcPr>
          <w:p>
            <w:pPr>
              <w:spacing w:after="40" w:before="0" w:line="259" w:lineRule="auto"/>
            </w:pPr>
            <w:r>
              <w:rPr>
                <w:rFonts w:ascii="Calibri" w:hAnsi="Calibri"/>
                <w:b w:val="0"/>
                <w:i w:val="0"/>
                <w:color w:val="212121"/>
                <w:sz w:val="16"/>
              </w:rPr>
              <w:t>Sphincter defect / thinning</w:t>
            </w:r>
          </w:p>
        </w:tc>
        <w:tc>
          <w:tcPr>
            <w:tcW w:type="dxa" w:w="1036"/>
            <w:vAlign w:val="top"/>
          </w:tcPr>
          <w:p>
            <w:pPr>
              <w:spacing w:after="40" w:before="0" w:line="259" w:lineRule="auto"/>
            </w:pPr>
            <w:r>
              <w:rPr>
                <w:rFonts w:ascii="Calibri" w:hAnsi="Calibri"/>
                <w:b w:val="0"/>
                <w:i w:val="0"/>
                <w:color w:val="212121"/>
                <w:sz w:val="16"/>
              </w:rPr>
              <w:t>Defines sphincter defects contributing to incontinence and informs repair</w:t>
            </w:r>
          </w:p>
        </w:tc>
        <w:tc>
          <w:tcPr>
            <w:tcW w:type="dxa" w:w="1036"/>
            <w:vAlign w:val="top"/>
          </w:tcPr>
          <w:p>
            <w:pPr>
              <w:spacing w:after="40" w:before="0" w:line="259" w:lineRule="auto"/>
            </w:pPr>
            <w:r>
              <w:rPr>
                <w:rFonts w:ascii="Calibri" w:hAnsi="Calibri"/>
                <w:b w:val="0"/>
                <w:i w:val="0"/>
                <w:color w:val="212121"/>
                <w:sz w:val="16"/>
              </w:rPr>
              <w:t>Incontinent and parous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Often combined with manometry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Sweat chloride; stool for ova/parasites; haemoglobin</w:t>
            </w:r>
          </w:p>
        </w:tc>
        <w:tc>
          <w:tcPr>
            <w:tcW w:type="dxa" w:w="892"/>
            <w:vAlign w:val="top"/>
          </w:tcPr>
          <w:p>
            <w:pPr>
              <w:spacing w:after="40" w:before="0" w:line="259" w:lineRule="auto"/>
            </w:pPr>
            <w:r>
              <w:rPr>
                <w:rFonts w:ascii="Calibri" w:hAnsi="Calibri"/>
                <w:b w:val="0"/>
                <w:i w:val="0"/>
                <w:color w:val="212121"/>
                <w:sz w:val="16"/>
              </w:rPr>
              <w:t>Paediatric / secondary-cause work-up</w:t>
            </w:r>
          </w:p>
        </w:tc>
        <w:tc>
          <w:tcPr>
            <w:tcW w:type="dxa" w:w="950"/>
            <w:vAlign w:val="top"/>
          </w:tcPr>
          <w:p>
            <w:pPr>
              <w:spacing w:after="40" w:before="0" w:line="259" w:lineRule="auto"/>
            </w:pPr>
            <w:r>
              <w:rPr>
                <w:rFonts w:ascii="Calibri" w:hAnsi="Calibri"/>
                <w:b w:val="0"/>
                <w:i w:val="0"/>
                <w:color w:val="212121"/>
                <w:sz w:val="16"/>
              </w:rPr>
              <w:t>Sweat chloride normal; no parasites; normal Hb</w:t>
            </w:r>
          </w:p>
        </w:tc>
        <w:tc>
          <w:tcPr>
            <w:tcW w:type="dxa" w:w="950"/>
            <w:vAlign w:val="top"/>
          </w:tcPr>
          <w:p>
            <w:pPr>
              <w:spacing w:after="40" w:before="0" w:line="259" w:lineRule="auto"/>
            </w:pPr>
            <w:r>
              <w:rPr>
                <w:rFonts w:ascii="Calibri" w:hAnsi="Calibri"/>
                <w:b w:val="0"/>
                <w:i w:val="0"/>
                <w:color w:val="212121"/>
                <w:sz w:val="16"/>
              </w:rPr>
              <w:t>Raised sweat chloride (CF); parasites; anaemia from bleeding</w:t>
            </w:r>
          </w:p>
        </w:tc>
        <w:tc>
          <w:tcPr>
            <w:tcW w:type="dxa" w:w="1036"/>
            <w:vAlign w:val="top"/>
          </w:tcPr>
          <w:p>
            <w:pPr>
              <w:spacing w:after="40" w:before="0" w:line="259" w:lineRule="auto"/>
            </w:pPr>
            <w:r>
              <w:rPr>
                <w:rFonts w:ascii="Calibri" w:hAnsi="Calibri"/>
                <w:b w:val="0"/>
                <w:i w:val="0"/>
                <w:color w:val="212121"/>
                <w:sz w:val="16"/>
              </w:rPr>
              <w:t>Identifies cystic fibrosis, parasitic infestation and blood loss driving prolapse, especially in children</w:t>
            </w:r>
          </w:p>
        </w:tc>
        <w:tc>
          <w:tcPr>
            <w:tcW w:type="dxa" w:w="1036"/>
            <w:vAlign w:val="top"/>
          </w:tcPr>
          <w:p>
            <w:pPr>
              <w:spacing w:after="40" w:before="0" w:line="259" w:lineRule="auto"/>
            </w:pPr>
            <w:r>
              <w:rPr>
                <w:rFonts w:ascii="Calibri" w:hAnsi="Calibri"/>
                <w:b w:val="0"/>
                <w:i w:val="0"/>
                <w:color w:val="212121"/>
                <w:sz w:val="16"/>
              </w:rPr>
              <w:t>Children; recurrent prolapse; bleeding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India-relevant: test for parasites and malnutrition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Protruding anal mass on defecation / straining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Reducible or persistent protruding mass</w:t>
            </w:r>
          </w:p>
        </w:tc>
        <w:tc>
          <w:tcPr>
            <w:tcW w:type="dxa" w:w="1036"/>
            <w:vAlign w:val="top"/>
          </w:tcPr>
          <w:p>
            <w:pPr>
              <w:spacing w:after="40" w:before="0" w:line="259" w:lineRule="auto"/>
            </w:pPr>
            <w:r>
              <w:rPr>
                <w:rFonts w:ascii="Calibri" w:hAnsi="Calibri"/>
                <w:b w:val="0"/>
                <w:i w:val="0"/>
                <w:color w:val="212121"/>
                <w:sz w:val="16"/>
              </w:rPr>
              <w:t>Hallmark symptom; note whether it reduces spontaneously or needs manual reduction</w:t>
            </w:r>
          </w:p>
        </w:tc>
        <w:tc>
          <w:tcPr>
            <w:tcW w:type="dxa" w:w="1036"/>
            <w:vAlign w:val="top"/>
          </w:tcPr>
          <w:p>
            <w:pPr>
              <w:spacing w:after="40" w:before="0" w:line="259" w:lineRule="auto"/>
            </w:pPr>
            <w:r>
              <w:rPr>
                <w:rFonts w:ascii="Calibri" w:hAnsi="Calibri"/>
                <w:b w:val="0"/>
                <w:i w:val="0"/>
                <w:color w:val="212121"/>
                <w:sz w:val="16"/>
              </w:rPr>
              <w:t>Adults, especially elderly women; children</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patient to strain / squat if not seen at rest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symptom history</w:t>
            </w:r>
          </w:p>
        </w:tc>
        <w:tc>
          <w:tcPr>
            <w:tcW w:type="dxa" w:w="979"/>
            <w:vAlign w:val="top"/>
          </w:tcPr>
          <w:p>
            <w:pPr>
              <w:spacing w:after="40" w:before="0" w:line="259" w:lineRule="auto"/>
            </w:pPr>
            <w:r>
              <w:rPr>
                <w:rFonts w:ascii="Calibri" w:hAnsi="Calibri"/>
                <w:b w:val="0"/>
                <w:i w:val="0"/>
                <w:color w:val="212121"/>
                <w:sz w:val="16"/>
              </w:rPr>
              <w:t>Incontinence, constipation, mucus, bleeding, incomplete evacuation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Defines functional burden; incontinence and obstructed defecation guide operative choice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Incontinence coexists in ~50-75%</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and obstetric history</w:t>
            </w:r>
          </w:p>
        </w:tc>
        <w:tc>
          <w:tcPr>
            <w:tcW w:type="dxa" w:w="979"/>
            <w:vAlign w:val="top"/>
          </w:tcPr>
          <w:p>
            <w:pPr>
              <w:spacing w:after="40" w:before="0" w:line="259" w:lineRule="auto"/>
            </w:pPr>
            <w:r>
              <w:rPr>
                <w:rFonts w:ascii="Calibri" w:hAnsi="Calibri"/>
                <w:b w:val="0"/>
                <w:i w:val="0"/>
                <w:color w:val="212121"/>
                <w:sz w:val="16"/>
              </w:rPr>
              <w:t>Parity, chronic straining, laxative use, prior pelvic surgery, cough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Identifies contributory pelvic-floor injury and straining; ~30-35% of women are nulliparous</w:t>
            </w:r>
          </w:p>
        </w:tc>
        <w:tc>
          <w:tcPr>
            <w:tcW w:type="dxa" w:w="1036"/>
            <w:vAlign w:val="top"/>
          </w:tcPr>
          <w:p>
            <w:pPr>
              <w:spacing w:after="40" w:before="0" w:line="259" w:lineRule="auto"/>
            </w:pPr>
            <w:r>
              <w:rPr>
                <w:rFonts w:ascii="Calibri" w:hAnsi="Calibri"/>
                <w:b w:val="0"/>
                <w:i w:val="0"/>
                <w:color w:val="212121"/>
                <w:sz w:val="16"/>
              </w:rPr>
              <w:t>Parous and nulliparous women; chronic strainers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Childbirth is contributory, not essential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Inspection on straining</w:t>
            </w:r>
          </w:p>
        </w:tc>
        <w:tc>
          <w:tcPr>
            <w:tcW w:type="dxa" w:w="979"/>
            <w:vAlign w:val="top"/>
          </w:tcPr>
          <w:p>
            <w:pPr>
              <w:spacing w:after="40" w:before="0" w:line="259" w:lineRule="auto"/>
            </w:pPr>
            <w:r>
              <w:rPr>
                <w:rFonts w:ascii="Calibri" w:hAnsi="Calibri"/>
                <w:b w:val="0"/>
                <w:i w:val="0"/>
                <w:color w:val="212121"/>
                <w:sz w:val="16"/>
              </w:rPr>
              <w:t>Concentric rings + sulcus (full-thickness) vs radial folds (mucosal)</w:t>
            </w:r>
          </w:p>
        </w:tc>
        <w:tc>
          <w:tcPr>
            <w:tcW w:type="dxa" w:w="950"/>
            <w:vAlign w:val="top"/>
          </w:tcPr>
          <w:p>
            <w:pPr>
              <w:spacing w:after="40" w:before="0" w:line="259" w:lineRule="auto"/>
            </w:pPr>
            <w:r>
              <w:rPr>
                <w:rFonts w:ascii="Calibri" w:hAnsi="Calibri"/>
                <w:b w:val="0"/>
                <w:i w:val="0"/>
                <w:color w:val="212121"/>
                <w:sz w:val="16"/>
              </w:rPr>
              <w:t>No prolapse</w:t>
            </w:r>
          </w:p>
        </w:tc>
        <w:tc>
          <w:tcPr>
            <w:tcW w:type="dxa" w:w="950"/>
            <w:vAlign w:val="top"/>
          </w:tcPr>
          <w:p>
            <w:pPr>
              <w:spacing w:after="40" w:before="0" w:line="259" w:lineRule="auto"/>
            </w:pPr>
            <w:r>
              <w:rPr>
                <w:rFonts w:ascii="Calibri" w:hAnsi="Calibri"/>
                <w:b w:val="0"/>
                <w:i w:val="0"/>
                <w:color w:val="212121"/>
                <w:sz w:val="16"/>
              </w:rPr>
              <w:t>Prolapse visible on Valsalva / squatting</w:t>
            </w:r>
          </w:p>
        </w:tc>
        <w:tc>
          <w:tcPr>
            <w:tcW w:type="dxa" w:w="1036"/>
            <w:vAlign w:val="top"/>
          </w:tcPr>
          <w:p>
            <w:pPr>
              <w:spacing w:after="40" w:before="0" w:line="259" w:lineRule="auto"/>
            </w:pPr>
            <w:r>
              <w:rPr>
                <w:rFonts w:ascii="Calibri" w:hAnsi="Calibri"/>
                <w:b w:val="0"/>
                <w:i w:val="0"/>
                <w:color w:val="212121"/>
                <w:sz w:val="16"/>
              </w:rPr>
              <w:t>Distinguishes full-thickness procidentia from mucosal prolapse and prolapsing haemorrhoids</w:t>
            </w:r>
          </w:p>
        </w:tc>
        <w:tc>
          <w:tcPr>
            <w:tcW w:type="dxa" w:w="1036"/>
            <w:vAlign w:val="top"/>
          </w:tcPr>
          <w:p>
            <w:pPr>
              <w:spacing w:after="40" w:before="0" w:line="259" w:lineRule="auto"/>
            </w:pPr>
            <w:r>
              <w:rPr>
                <w:rFonts w:ascii="Calibri" w:hAnsi="Calibri"/>
                <w:b w:val="0"/>
                <w:i w:val="0"/>
                <w:color w:val="212121"/>
                <w:sz w:val="16"/>
              </w:rPr>
              <w:t>All suspected prolapse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Sulcus present in complete prolapse, absent in mucosal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Digital rectal examination</w:t>
            </w:r>
          </w:p>
        </w:tc>
        <w:tc>
          <w:tcPr>
            <w:tcW w:type="dxa" w:w="979"/>
            <w:vAlign w:val="top"/>
          </w:tcPr>
          <w:p>
            <w:pPr>
              <w:spacing w:after="40" w:before="0" w:line="259" w:lineRule="auto"/>
            </w:pPr>
            <w:r>
              <w:rPr>
                <w:rFonts w:ascii="Calibri" w:hAnsi="Calibri"/>
                <w:b w:val="0"/>
                <w:i w:val="0"/>
                <w:color w:val="212121"/>
                <w:sz w:val="16"/>
              </w:rPr>
              <w:t>Resting and squeeze sphincter tone; reducibility</w:t>
            </w:r>
          </w:p>
        </w:tc>
        <w:tc>
          <w:tcPr>
            <w:tcW w:type="dxa" w:w="950"/>
            <w:vAlign w:val="top"/>
          </w:tcPr>
          <w:p>
            <w:pPr>
              <w:spacing w:after="40" w:before="0" w:line="259" w:lineRule="auto"/>
            </w:pPr>
            <w:r>
              <w:rPr>
                <w:rFonts w:ascii="Calibri" w:hAnsi="Calibri"/>
                <w:b w:val="0"/>
                <w:i w:val="0"/>
                <w:color w:val="212121"/>
                <w:sz w:val="16"/>
              </w:rPr>
              <w:t>Normal tone; easily reduced</w:t>
            </w:r>
          </w:p>
        </w:tc>
        <w:tc>
          <w:tcPr>
            <w:tcW w:type="dxa" w:w="950"/>
            <w:vAlign w:val="top"/>
          </w:tcPr>
          <w:p>
            <w:pPr>
              <w:spacing w:after="40" w:before="0" w:line="259" w:lineRule="auto"/>
            </w:pPr>
            <w:r>
              <w:rPr>
                <w:rFonts w:ascii="Calibri" w:hAnsi="Calibri"/>
                <w:b w:val="0"/>
                <w:i w:val="0"/>
                <w:color w:val="212121"/>
                <w:sz w:val="16"/>
              </w:rPr>
              <w:t>Weak / patulous sphincter; irreducible mass</w:t>
            </w:r>
          </w:p>
        </w:tc>
        <w:tc>
          <w:tcPr>
            <w:tcW w:type="dxa" w:w="1036"/>
            <w:vAlign w:val="top"/>
          </w:tcPr>
          <w:p>
            <w:pPr>
              <w:spacing w:after="40" w:before="0" w:line="259" w:lineRule="auto"/>
            </w:pPr>
            <w:r>
              <w:rPr>
                <w:rFonts w:ascii="Calibri" w:hAnsi="Calibri"/>
                <w:b w:val="0"/>
                <w:i w:val="0"/>
                <w:color w:val="212121"/>
                <w:sz w:val="16"/>
              </w:rPr>
              <w:t>Assesses sphincter function and detects incarceration needing urgent care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patulous anus indicates chronicity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Assessment of coexisting pelvic organ prolapse</w:t>
            </w:r>
          </w:p>
        </w:tc>
        <w:tc>
          <w:tcPr>
            <w:tcW w:type="dxa" w:w="979"/>
            <w:vAlign w:val="top"/>
          </w:tcPr>
          <w:p>
            <w:pPr>
              <w:spacing w:after="40" w:before="0" w:line="259" w:lineRule="auto"/>
            </w:pPr>
            <w:r>
              <w:rPr>
                <w:rFonts w:ascii="Calibri" w:hAnsi="Calibri"/>
                <w:b w:val="0"/>
                <w:i w:val="0"/>
                <w:color w:val="212121"/>
                <w:sz w:val="16"/>
              </w:rPr>
              <w:t>Cystocele, uterine / vaginal prolapse, rectocele, perineal descent</w:t>
            </w:r>
          </w:p>
        </w:tc>
        <w:tc>
          <w:tcPr>
            <w:tcW w:type="dxa" w:w="950"/>
            <w:vAlign w:val="top"/>
          </w:tcPr>
          <w:p>
            <w:pPr>
              <w:spacing w:after="40" w:before="0" w:line="259" w:lineRule="auto"/>
            </w:pPr>
            <w:r>
              <w:rPr>
                <w:rFonts w:ascii="Calibri" w:hAnsi="Calibri"/>
                <w:b w:val="0"/>
                <w:i w:val="0"/>
                <w:color w:val="212121"/>
                <w:sz w:val="16"/>
              </w:rPr>
              <w:t>No additional prolapse</w:t>
            </w:r>
          </w:p>
        </w:tc>
        <w:tc>
          <w:tcPr>
            <w:tcW w:type="dxa" w:w="950"/>
            <w:vAlign w:val="top"/>
          </w:tcPr>
          <w:p>
            <w:pPr>
              <w:spacing w:after="40" w:before="0" w:line="259" w:lineRule="auto"/>
            </w:pPr>
            <w:r>
              <w:rPr>
                <w:rFonts w:ascii="Calibri" w:hAnsi="Calibri"/>
                <w:b w:val="0"/>
                <w:i w:val="0"/>
                <w:color w:val="212121"/>
                <w:sz w:val="16"/>
              </w:rPr>
              <w:t>Coexisting compartment prolapse</w:t>
            </w:r>
          </w:p>
        </w:tc>
        <w:tc>
          <w:tcPr>
            <w:tcW w:type="dxa" w:w="1036"/>
            <w:vAlign w:val="top"/>
          </w:tcPr>
          <w:p>
            <w:pPr>
              <w:spacing w:after="40" w:before="0" w:line="259" w:lineRule="auto"/>
            </w:pPr>
            <w:r>
              <w:rPr>
                <w:rFonts w:ascii="Calibri" w:hAnsi="Calibri"/>
                <w:b w:val="0"/>
                <w:i w:val="0"/>
                <w:color w:val="212121"/>
                <w:sz w:val="16"/>
              </w:rPr>
              <w:t>Detects multi-compartment prolapse requiring combined repair</w:t>
            </w:r>
          </w:p>
        </w:tc>
        <w:tc>
          <w:tcPr>
            <w:tcW w:type="dxa" w:w="1036"/>
            <w:vAlign w:val="top"/>
          </w:tcPr>
          <w:p>
            <w:pPr>
              <w:spacing w:after="40" w:before="0" w:line="259" w:lineRule="auto"/>
            </w:pPr>
            <w:r>
              <w:rPr>
                <w:rFonts w:ascii="Calibri" w:hAnsi="Calibri"/>
                <w:b w:val="0"/>
                <w:i w:val="0"/>
                <w:color w:val="212121"/>
                <w:sz w:val="16"/>
              </w:rPr>
              <w:t>Elderly and parous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~30% have concurrent pelvic organ prolapse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Inspection of the prolapsed mucosa</w:t>
            </w:r>
          </w:p>
        </w:tc>
        <w:tc>
          <w:tcPr>
            <w:tcW w:type="dxa" w:w="979"/>
            <w:vAlign w:val="top"/>
          </w:tcPr>
          <w:p>
            <w:pPr>
              <w:spacing w:after="40" w:before="0" w:line="259" w:lineRule="auto"/>
            </w:pPr>
            <w:r>
              <w:rPr>
                <w:rFonts w:ascii="Calibri" w:hAnsi="Calibri"/>
                <w:b w:val="0"/>
                <w:i w:val="0"/>
                <w:color w:val="212121"/>
                <w:sz w:val="16"/>
              </w:rPr>
              <w:t>Ulceration, ischaemia, oedema, strangulation</w:t>
            </w:r>
          </w:p>
        </w:tc>
        <w:tc>
          <w:tcPr>
            <w:tcW w:type="dxa" w:w="950"/>
            <w:vAlign w:val="top"/>
          </w:tcPr>
          <w:p>
            <w:pPr>
              <w:spacing w:after="40" w:before="0" w:line="259" w:lineRule="auto"/>
            </w:pPr>
            <w:r>
              <w:rPr>
                <w:rFonts w:ascii="Calibri" w:hAnsi="Calibri"/>
                <w:b w:val="0"/>
                <w:i w:val="0"/>
                <w:color w:val="212121"/>
                <w:sz w:val="16"/>
              </w:rPr>
              <w:t>Healthy pink mucosa</w:t>
            </w:r>
          </w:p>
        </w:tc>
        <w:tc>
          <w:tcPr>
            <w:tcW w:type="dxa" w:w="950"/>
            <w:vAlign w:val="top"/>
          </w:tcPr>
          <w:p>
            <w:pPr>
              <w:spacing w:after="40" w:before="0" w:line="259" w:lineRule="auto"/>
            </w:pPr>
            <w:r>
              <w:rPr>
                <w:rFonts w:ascii="Calibri" w:hAnsi="Calibri"/>
                <w:b w:val="0"/>
                <w:i w:val="0"/>
                <w:color w:val="212121"/>
                <w:sz w:val="16"/>
              </w:rPr>
              <w:t>Ulcer (SRUS), dusky / strangulated segment</w:t>
            </w:r>
          </w:p>
        </w:tc>
        <w:tc>
          <w:tcPr>
            <w:tcW w:type="dxa" w:w="1036"/>
            <w:vAlign w:val="top"/>
          </w:tcPr>
          <w:p>
            <w:pPr>
              <w:spacing w:after="40" w:before="0" w:line="259" w:lineRule="auto"/>
            </w:pPr>
            <w:r>
              <w:rPr>
                <w:rFonts w:ascii="Calibri" w:hAnsi="Calibri"/>
                <w:b w:val="0"/>
                <w:i w:val="0"/>
                <w:color w:val="212121"/>
                <w:sz w:val="16"/>
              </w:rPr>
              <w:t>Identifies solitary rectal ulcer and the surgical emergency of incarceration / strangulation</w:t>
            </w:r>
          </w:p>
        </w:tc>
        <w:tc>
          <w:tcPr>
            <w:tcW w:type="dxa" w:w="1036"/>
            <w:vAlign w:val="top"/>
          </w:tcPr>
          <w:p>
            <w:pPr>
              <w:spacing w:after="40" w:before="0" w:line="259" w:lineRule="auto"/>
            </w:pPr>
            <w:r>
              <w:rPr>
                <w:rFonts w:ascii="Calibri" w:hAnsi="Calibri"/>
                <w:b w:val="0"/>
                <w:i w:val="0"/>
                <w:color w:val="212121"/>
                <w:sz w:val="16"/>
              </w:rPr>
              <w:t>Long-standing or irreducible prolapse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Strangulation is a surgical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Paediatric and nutritional assessment</w:t>
            </w:r>
          </w:p>
        </w:tc>
        <w:tc>
          <w:tcPr>
            <w:tcW w:type="dxa" w:w="979"/>
            <w:vAlign w:val="top"/>
          </w:tcPr>
          <w:p>
            <w:pPr>
              <w:spacing w:after="40" w:before="0" w:line="259" w:lineRule="auto"/>
            </w:pPr>
            <w:r>
              <w:rPr>
                <w:rFonts w:ascii="Calibri" w:hAnsi="Calibri"/>
                <w:b w:val="0"/>
                <w:i w:val="0"/>
                <w:color w:val="212121"/>
                <w:sz w:val="16"/>
              </w:rPr>
              <w:t>Growth / wasting, diarrhoea, cough, cystic fibrosis features</w:t>
            </w:r>
          </w:p>
        </w:tc>
        <w:tc>
          <w:tcPr>
            <w:tcW w:type="dxa" w:w="950"/>
            <w:vAlign w:val="top"/>
          </w:tcPr>
          <w:p>
            <w:pPr>
              <w:spacing w:after="40" w:before="0" w:line="259" w:lineRule="auto"/>
            </w:pPr>
            <w:r>
              <w:rPr>
                <w:rFonts w:ascii="Calibri" w:hAnsi="Calibri"/>
                <w:b w:val="0"/>
                <w:i w:val="0"/>
                <w:color w:val="212121"/>
                <w:sz w:val="16"/>
              </w:rPr>
              <w:t>Well-nourished, no red flags</w:t>
            </w:r>
          </w:p>
        </w:tc>
        <w:tc>
          <w:tcPr>
            <w:tcW w:type="dxa" w:w="950"/>
            <w:vAlign w:val="top"/>
          </w:tcPr>
          <w:p>
            <w:pPr>
              <w:spacing w:after="40" w:before="0" w:line="259" w:lineRule="auto"/>
            </w:pPr>
            <w:r>
              <w:rPr>
                <w:rFonts w:ascii="Calibri" w:hAnsi="Calibri"/>
                <w:b w:val="0"/>
                <w:i w:val="0"/>
                <w:color w:val="212121"/>
                <w:sz w:val="16"/>
              </w:rPr>
              <w:t>Malnutrition, chronic diarrhoea, CF features</w:t>
            </w:r>
          </w:p>
        </w:tc>
        <w:tc>
          <w:tcPr>
            <w:tcW w:type="dxa" w:w="1036"/>
            <w:vAlign w:val="top"/>
          </w:tcPr>
          <w:p>
            <w:pPr>
              <w:spacing w:after="40" w:before="0" w:line="259" w:lineRule="auto"/>
            </w:pPr>
            <w:r>
              <w:rPr>
                <w:rFonts w:ascii="Calibri" w:hAnsi="Calibri"/>
                <w:b w:val="0"/>
                <w:i w:val="0"/>
                <w:color w:val="212121"/>
                <w:sz w:val="16"/>
              </w:rPr>
              <w:t>Directs work-up for malnutrition, parasites and cystic fibrosis in children</w:t>
            </w:r>
          </w:p>
        </w:tc>
        <w:tc>
          <w:tcPr>
            <w:tcW w:type="dxa" w:w="1036"/>
            <w:vAlign w:val="top"/>
          </w:tcPr>
          <w:p>
            <w:pPr>
              <w:spacing w:after="40" w:before="0" w:line="259" w:lineRule="auto"/>
            </w:pPr>
            <w:r>
              <w:rPr>
                <w:rFonts w:ascii="Calibri" w:hAnsi="Calibri"/>
                <w:b w:val="0"/>
                <w:i w:val="0"/>
                <w:color w:val="212121"/>
                <w:sz w:val="16"/>
              </w:rPr>
              <w:t>Children with prolapse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India-relevant secondary causes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Protruding anal mass on defecation / straining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red, moist mass that comes out on straining or defecation and initially reduces spontaneously; the cardinal symptom.</w:t>
            </w:r>
          </w:p>
        </w:tc>
      </w:tr>
      <w:tr>
        <w:trPr>
          <w:cantSplit/>
        </w:trPr>
        <w:tc>
          <w:tcPr>
            <w:tcW w:type="dxa" w:w="2304"/>
            <w:vAlign w:val="top"/>
          </w:tcPr>
          <w:p>
            <w:pPr>
              <w:spacing w:after="40" w:before="0" w:line="259" w:lineRule="auto"/>
            </w:pPr>
            <w:r>
              <w:rPr>
                <w:rFonts w:ascii="Calibri" w:hAnsi="Calibri"/>
                <w:b/>
                <w:i w:val="0"/>
                <w:color w:val="212121"/>
                <w:sz w:val="19"/>
              </w:rPr>
              <w:t>Faecal incontinence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Leakage of stool, flatus or mucus from sphincter stretch and pudendal neuropathy; present in roughly 50-75% of patients.</w:t>
            </w:r>
          </w:p>
        </w:tc>
      </w:tr>
      <w:tr>
        <w:trPr>
          <w:cantSplit/>
        </w:trPr>
        <w:tc>
          <w:tcPr>
            <w:tcW w:type="dxa" w:w="2304"/>
            <w:vAlign w:val="top"/>
          </w:tcPr>
          <w:p>
            <w:pPr>
              <w:spacing w:after="40" w:before="0" w:line="259" w:lineRule="auto"/>
            </w:pPr>
            <w:r>
              <w:rPr>
                <w:rFonts w:ascii="Calibri" w:hAnsi="Calibri"/>
                <w:b/>
                <w:i w:val="0"/>
                <w:color w:val="212121"/>
                <w:sz w:val="19"/>
              </w:rPr>
              <w:t>Mucus discharge and perianal wetness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Continuous mucus soiling from the exposed, everted rectal mucosa causing irritation.</w:t>
            </w:r>
          </w:p>
        </w:tc>
      </w:tr>
      <w:tr>
        <w:trPr>
          <w:cantSplit/>
        </w:trPr>
        <w:tc>
          <w:tcPr>
            <w:tcW w:type="dxa" w:w="2304"/>
            <w:vAlign w:val="top"/>
          </w:tcPr>
          <w:p>
            <w:pPr>
              <w:spacing w:after="40" w:before="0" w:line="259" w:lineRule="auto"/>
            </w:pPr>
            <w:r>
              <w:rPr>
                <w:rFonts w:ascii="Calibri" w:hAnsi="Calibri"/>
                <w:b/>
                <w:i w:val="0"/>
                <w:color w:val="212121"/>
                <w:sz w:val="19"/>
              </w:rPr>
              <w:t>Sensation of incomplete evacuation / obstructed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of blockage and repeated unproductive straining, especially with internal intussusception.</w:t>
            </w:r>
          </w:p>
        </w:tc>
      </w:tr>
      <w:tr>
        <w:trPr>
          <w:cantSplit/>
        </w:trPr>
        <w:tc>
          <w:tcPr>
            <w:tcW w:type="dxa" w:w="2304"/>
            <w:vAlign w:val="top"/>
          </w:tcPr>
          <w:p>
            <w:pPr>
              <w:spacing w:after="40" w:before="0" w:line="259" w:lineRule="auto"/>
            </w:pPr>
            <w:r>
              <w:rPr>
                <w:rFonts w:ascii="Calibri" w:hAnsi="Calibri"/>
                <w:b/>
                <w:i w:val="0"/>
                <w:color w:val="212121"/>
                <w:sz w:val="19"/>
              </w:rPr>
              <w:t>Constipation and excessive straining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Both a cause and a consequence; patients strain hard and may need to digitate to evacuate.</w:t>
            </w:r>
          </w:p>
        </w:tc>
      </w:tr>
      <w:tr>
        <w:trPr>
          <w:cantSplit/>
        </w:trPr>
        <w:tc>
          <w:tcPr>
            <w:tcW w:type="dxa" w:w="2304"/>
            <w:vAlign w:val="top"/>
          </w:tcPr>
          <w:p>
            <w:pPr>
              <w:spacing w:after="40" w:before="0" w:line="259" w:lineRule="auto"/>
            </w:pPr>
            <w:r>
              <w:rPr>
                <w:rFonts w:ascii="Calibri" w:hAnsi="Calibri"/>
                <w:b/>
                <w:i w:val="0"/>
                <w:color w:val="212121"/>
                <w:sz w:val="19"/>
              </w:rPr>
              <w:t>Rectal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Bright-red bleeding from the congested or ulcerated prolapsed mucosa.</w:t>
            </w:r>
          </w:p>
        </w:tc>
      </w:tr>
      <w:tr>
        <w:trPr>
          <w:cantSplit/>
        </w:trPr>
        <w:tc>
          <w:tcPr>
            <w:tcW w:type="dxa" w:w="2304"/>
            <w:vAlign w:val="top"/>
          </w:tcPr>
          <w:p>
            <w:pPr>
              <w:spacing w:after="40" w:before="0" w:line="259" w:lineRule="auto"/>
            </w:pPr>
            <w:r>
              <w:rPr>
                <w:rFonts w:ascii="Calibri" w:hAnsi="Calibri"/>
                <w:b/>
                <w:i w:val="0"/>
                <w:color w:val="212121"/>
                <w:sz w:val="19"/>
              </w:rPr>
              <w:t>Feeling of something coming down / tenesmus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dragging or bearing-down sensation with a persistent urge to defecate.</w:t>
            </w:r>
          </w:p>
        </w:tc>
      </w:tr>
      <w:tr>
        <w:trPr>
          <w:cantSplit/>
        </w:trPr>
        <w:tc>
          <w:tcPr>
            <w:tcW w:type="dxa" w:w="2304"/>
            <w:vAlign w:val="top"/>
          </w:tcPr>
          <w:p>
            <w:pPr>
              <w:spacing w:after="40" w:before="0" w:line="259" w:lineRule="auto"/>
            </w:pPr>
            <w:r>
              <w:rPr>
                <w:rFonts w:ascii="Calibri" w:hAnsi="Calibri"/>
                <w:b/>
                <w:i w:val="0"/>
                <w:color w:val="212121"/>
                <w:sz w:val="19"/>
              </w:rPr>
              <w:t>Need to manually reduce the prolapse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 the condition progresses the mass no longer reduces on its own and must be pushed back.</w:t>
            </w:r>
          </w:p>
        </w:tc>
      </w:tr>
      <w:tr>
        <w:trPr>
          <w:cantSplit/>
        </w:trPr>
        <w:tc>
          <w:tcPr>
            <w:tcW w:type="dxa" w:w="2304"/>
            <w:vAlign w:val="top"/>
          </w:tcPr>
          <w:p>
            <w:pPr>
              <w:spacing w:after="40" w:before="0" w:line="259" w:lineRule="auto"/>
            </w:pPr>
            <w:r>
              <w:rPr>
                <w:rFonts w:ascii="Calibri" w:hAnsi="Calibri"/>
                <w:b/>
                <w:i w:val="0"/>
                <w:color w:val="212121"/>
                <w:sz w:val="19"/>
              </w:rPr>
              <w:t>Faecal soiling of underwear / peri-anal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Passive soiling and pruritus ani from mucus and incontinence.</w:t>
            </w:r>
          </w:p>
        </w:tc>
      </w:tr>
      <w:tr>
        <w:trPr>
          <w:cantSplit/>
        </w:trPr>
        <w:tc>
          <w:tcPr>
            <w:tcW w:type="dxa" w:w="2304"/>
            <w:vAlign w:val="top"/>
          </w:tcPr>
          <w:p>
            <w:pPr>
              <w:spacing w:after="40" w:before="0" w:line="259" w:lineRule="auto"/>
            </w:pPr>
            <w:r>
              <w:rPr>
                <w:rFonts w:ascii="Calibri" w:hAnsi="Calibri"/>
                <w:b/>
                <w:i w:val="0"/>
                <w:color w:val="212121"/>
                <w:sz w:val="19"/>
              </w:rPr>
              <w:t>Anal / perineal discomfort or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Aching or dragging discomfort, worse on prolonged standing or after defecation.</w:t>
            </w:r>
          </w:p>
        </w:tc>
      </w:tr>
      <w:tr>
        <w:trPr>
          <w:cantSplit/>
        </w:trPr>
        <w:tc>
          <w:tcPr>
            <w:tcW w:type="dxa" w:w="2304"/>
            <w:vAlign w:val="top"/>
          </w:tcPr>
          <w:p>
            <w:pPr>
              <w:spacing w:after="40" w:before="0" w:line="259" w:lineRule="auto"/>
            </w:pPr>
            <w:r>
              <w:rPr>
                <w:rFonts w:ascii="Calibri" w:hAnsi="Calibri"/>
                <w:b/>
                <w:i w:val="0"/>
                <w:color w:val="212121"/>
                <w:sz w:val="19"/>
              </w:rPr>
              <w:t>Anaemia and fatigue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chronic low-grade bleeding of the ulcerated prolapsed mucosa.</w:t>
            </w:r>
          </w:p>
        </w:tc>
      </w:tr>
      <w:tr>
        <w:trPr>
          <w:cantSplit/>
        </w:trPr>
        <w:tc>
          <w:tcPr>
            <w:tcW w:type="dxa" w:w="2304"/>
            <w:vAlign w:val="top"/>
          </w:tcPr>
          <w:p>
            <w:pPr>
              <w:spacing w:after="40" w:before="0" w:line="259" w:lineRule="auto"/>
            </w:pPr>
            <w:r>
              <w:rPr>
                <w:rFonts w:ascii="Calibri" w:hAnsi="Calibri"/>
                <w:b/>
                <w:i w:val="0"/>
                <w:color w:val="212121"/>
                <w:sz w:val="19"/>
              </w:rPr>
              <w:t>Acute severe pain from irreducible / strangulated prolapse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incarcerated, oedematous prolapse that cannot be reduced is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Full-thickness prolapse with concentric mucosal rings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Circumferential rings of mucosa protruding through the anus, diagnostic of complete procidentia.</w:t>
            </w:r>
          </w:p>
        </w:tc>
      </w:tr>
      <w:tr>
        <w:trPr>
          <w:cantSplit/>
        </w:trPr>
        <w:tc>
          <w:tcPr>
            <w:tcW w:type="dxa" w:w="3456"/>
            <w:vAlign w:val="top"/>
          </w:tcPr>
          <w:p>
            <w:pPr>
              <w:spacing w:after="40" w:before="0" w:line="259" w:lineRule="auto"/>
            </w:pPr>
            <w:r>
              <w:rPr>
                <w:rFonts w:ascii="Calibri" w:hAnsi="Calibri"/>
                <w:b/>
                <w:i w:val="0"/>
                <w:color w:val="212121"/>
                <w:sz w:val="19"/>
              </w:rPr>
              <w:t>Sulcus between anal canal and protruding rectum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groove at the anal verge indicates full-thickness prolapse and distinguishes it from mucosal prolapse and haemorrhoids.</w:t>
            </w:r>
          </w:p>
        </w:tc>
      </w:tr>
      <w:tr>
        <w:trPr>
          <w:cantSplit/>
        </w:trPr>
        <w:tc>
          <w:tcPr>
            <w:tcW w:type="dxa" w:w="3456"/>
            <w:vAlign w:val="top"/>
          </w:tcPr>
          <w:p>
            <w:pPr>
              <w:spacing w:after="40" w:before="0" w:line="259" w:lineRule="auto"/>
            </w:pPr>
            <w:r>
              <w:rPr>
                <w:rFonts w:ascii="Calibri" w:hAnsi="Calibri"/>
                <w:b/>
                <w:i w:val="0"/>
                <w:color w:val="212121"/>
                <w:sz w:val="19"/>
              </w:rPr>
              <w:t>Prolapse reproduced on straining / squatting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When not visible at rest, the prolapse appears on Valsalva or squatting over a commode.</w:t>
            </w:r>
          </w:p>
        </w:tc>
      </w:tr>
      <w:tr>
        <w:trPr>
          <w:cantSplit/>
        </w:trPr>
        <w:tc>
          <w:tcPr>
            <w:tcW w:type="dxa" w:w="3456"/>
            <w:vAlign w:val="top"/>
          </w:tcPr>
          <w:p>
            <w:pPr>
              <w:spacing w:after="40" w:before="0" w:line="259" w:lineRule="auto"/>
            </w:pPr>
            <w:r>
              <w:rPr>
                <w:rFonts w:ascii="Calibri" w:hAnsi="Calibri"/>
                <w:b/>
                <w:i w:val="0"/>
                <w:color w:val="212121"/>
                <w:sz w:val="19"/>
              </w:rPr>
              <w:t>Weak / patulous anal sphincter on digital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resting and squeeze tone and a gaping anus reflect chronic sphincter stretch.</w:t>
            </w:r>
          </w:p>
        </w:tc>
      </w:tr>
      <w:tr>
        <w:trPr>
          <w:cantSplit/>
        </w:trPr>
        <w:tc>
          <w:tcPr>
            <w:tcW w:type="dxa" w:w="3456"/>
            <w:vAlign w:val="top"/>
          </w:tcPr>
          <w:p>
            <w:pPr>
              <w:spacing w:after="40" w:before="0" w:line="259" w:lineRule="auto"/>
            </w:pPr>
            <w:r>
              <w:rPr>
                <w:rFonts w:ascii="Calibri" w:hAnsi="Calibri"/>
                <w:b/>
                <w:i w:val="0"/>
                <w:color w:val="212121"/>
                <w:sz w:val="19"/>
              </w:rPr>
              <w:t>Mucosal congestion, oedema or ulceration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exposed mucosa is oedematous and may show a solitary rectal ulcer anteriorly.</w:t>
            </w:r>
          </w:p>
        </w:tc>
      </w:tr>
      <w:tr>
        <w:trPr>
          <w:cantSplit/>
        </w:trPr>
        <w:tc>
          <w:tcPr>
            <w:tcW w:type="dxa" w:w="3456"/>
            <w:vAlign w:val="top"/>
          </w:tcPr>
          <w:p>
            <w:pPr>
              <w:spacing w:after="40" w:before="0" w:line="259" w:lineRule="auto"/>
            </w:pPr>
            <w:r>
              <w:rPr>
                <w:rFonts w:ascii="Calibri" w:hAnsi="Calibri"/>
                <w:b/>
                <w:i w:val="0"/>
                <w:color w:val="212121"/>
                <w:sz w:val="19"/>
              </w:rPr>
              <w:t>Mucus and faecal soiling of the perineum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Perianal excoriation and incontinence-associated dermatitis from continuous discharge.</w:t>
            </w:r>
          </w:p>
        </w:tc>
      </w:tr>
      <w:tr>
        <w:trPr>
          <w:cantSplit/>
        </w:trPr>
        <w:tc>
          <w:tcPr>
            <w:tcW w:type="dxa" w:w="3456"/>
            <w:vAlign w:val="top"/>
          </w:tcPr>
          <w:p>
            <w:pPr>
              <w:spacing w:after="40" w:before="0" w:line="259" w:lineRule="auto"/>
            </w:pPr>
            <w:r>
              <w:rPr>
                <w:rFonts w:ascii="Calibri" w:hAnsi="Calibri"/>
                <w:b/>
                <w:i w:val="0"/>
                <w:color w:val="212121"/>
                <w:sz w:val="19"/>
              </w:rPr>
              <w:t>Radial folds without a sulcus (mucosal prolapse)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Distinguishes partial-thickness mucosal prolapse and prolapsing haemorrhoids from procidentia.</w:t>
            </w:r>
          </w:p>
        </w:tc>
      </w:tr>
      <w:tr>
        <w:trPr>
          <w:cantSplit/>
        </w:trPr>
        <w:tc>
          <w:tcPr>
            <w:tcW w:type="dxa" w:w="3456"/>
            <w:vAlign w:val="top"/>
          </w:tcPr>
          <w:p>
            <w:pPr>
              <w:spacing w:after="40" w:before="0" w:line="259" w:lineRule="auto"/>
            </w:pPr>
            <w:r>
              <w:rPr>
                <w:rFonts w:ascii="Calibri" w:hAnsi="Calibri"/>
                <w:b/>
                <w:i w:val="0"/>
                <w:color w:val="212121"/>
                <w:sz w:val="19"/>
              </w:rPr>
              <w:t>Coexisting pelvic organ prolapse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Cystocele, uterine or vaginal prolapse or rectocele found on pelvic examination in about 30% of elderly women.</w:t>
            </w:r>
          </w:p>
        </w:tc>
      </w:tr>
      <w:tr>
        <w:trPr>
          <w:cantSplit/>
        </w:trPr>
        <w:tc>
          <w:tcPr>
            <w:tcW w:type="dxa" w:w="3456"/>
            <w:vAlign w:val="top"/>
          </w:tcPr>
          <w:p>
            <w:pPr>
              <w:spacing w:after="40" w:before="0" w:line="259" w:lineRule="auto"/>
            </w:pPr>
            <w:r>
              <w:rPr>
                <w:rFonts w:ascii="Calibri" w:hAnsi="Calibri"/>
                <w:b/>
                <w:i w:val="0"/>
                <w:color w:val="212121"/>
                <w:sz w:val="19"/>
              </w:rPr>
              <w:t>Incarcerated / strangulated prolapse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dusky, oedematous, irreducible mass indicating compromised blood supply - a surgical emergency.</w:t>
            </w:r>
          </w:p>
        </w:tc>
      </w:tr>
      <w:tr>
        <w:trPr>
          <w:cantSplit/>
        </w:trPr>
        <w:tc>
          <w:tcPr>
            <w:tcW w:type="dxa" w:w="3456"/>
            <w:vAlign w:val="top"/>
          </w:tcPr>
          <w:p>
            <w:pPr>
              <w:spacing w:after="40" w:before="0" w:line="259" w:lineRule="auto"/>
            </w:pPr>
            <w:r>
              <w:rPr>
                <w:rFonts w:ascii="Calibri" w:hAnsi="Calibri"/>
                <w:b/>
                <w:i w:val="0"/>
                <w:color w:val="212121"/>
                <w:sz w:val="19"/>
              </w:rPr>
              <w:t>Solitary rectal ulcer on proctoscopy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shallow anterior rectal ulcer with surrounding hyperaemia, a marker of underlying intussusception.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enlargement and increasing frequency of the prolapse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Faecal incontinence from sphincter stretch and pudendal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Obstructed defecation and worsening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mucus discharge with perianal excoriation and dermatitis</w:t>
            </w:r>
          </w:p>
        </w:tc>
        <w:tc>
          <w:tcPr>
            <w:tcW w:type="dxa" w:w="2980"/>
            <w:vAlign w:val="top"/>
          </w:tcPr>
          <w:p>
            <w:pPr>
              <w:spacing w:after="40" w:before="0" w:line="259" w:lineRule="auto"/>
            </w:pPr>
            <w:r>
              <w:rPr>
                <w:rFonts w:ascii="Calibri" w:hAnsi="Calibri"/>
                <w:b w:val="0"/>
                <w:i w:val="0"/>
                <w:color w:val="212121"/>
                <w:sz w:val="19"/>
              </w:rPr>
              <w:t>Direct consequences of the descending rectum and stretched sphincter complex.</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Solitary rectal ulcer syndrome from chronic mucosal ischaemia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Rectal bleeding leading to iron-deficiency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Mucosal ulceration, oedema and infection of the exposed segment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 worsening pelvic organ prolapse (multi-compartment failure)</w:t>
            </w:r>
          </w:p>
        </w:tc>
        <w:tc>
          <w:tcPr>
            <w:tcW w:type="dxa" w:w="2980"/>
            <w:vAlign w:val="top"/>
          </w:tcPr>
          <w:p>
            <w:pPr>
              <w:spacing w:after="40" w:before="0" w:line="259" w:lineRule="auto"/>
            </w:pPr>
            <w:r>
              <w:rPr>
                <w:rFonts w:ascii="Calibri" w:hAnsi="Calibri"/>
                <w:b w:val="0"/>
                <w:i w:val="0"/>
                <w:color w:val="212121"/>
                <w:sz w:val="19"/>
              </w:rPr>
              <w:t>Arise from chronic exposure, ischaemia and shared pelvic-floor weakness.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Incarceration and strangulation of the prolapse with gangrene (surgical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faecal incontinence despite surgical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Prolapse recurrence after operation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embarrassment and depression from incontinence and a visible prolapse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Rarely, ulceration progressing to bleeding requiring transfusion or emergency surgery</w:t>
            </w:r>
          </w:p>
        </w:tc>
        <w:tc>
          <w:tcPr>
            <w:tcW w:type="dxa" w:w="2980"/>
            <w:vAlign w:val="top"/>
          </w:tcPr>
          <w:p>
            <w:pPr>
              <w:spacing w:after="40" w:before="0" w:line="259" w:lineRule="auto"/>
            </w:pPr>
            <w:r>
              <w:rPr>
                <w:rFonts w:ascii="Calibri" w:hAnsi="Calibri"/>
                <w:b w:val="0"/>
                <w:i w:val="0"/>
                <w:color w:val="212121"/>
                <w:sz w:val="19"/>
              </w:rPr>
              <w:t>Irreversible or life-altering outcomes of longstanding, complicated or recurrent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Faecal incontinence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prolapse stretches the sphincter and pudendal nerves; incontinence coexists in a large majority and often persists even after repair, shaping the choice of operation.</w:t>
            </w:r>
          </w:p>
          <w:p>
            <w:pPr>
              <w:spacing w:after="40" w:before="0" w:line="259" w:lineRule="auto"/>
            </w:pPr>
            <w:r>
              <w:rPr>
                <w:rFonts w:ascii="Calibri" w:hAnsi="Calibri"/>
                <w:b/>
                <w:i w:val="0"/>
                <w:color w:val="212121"/>
                <w:sz w:val="19"/>
              </w:rPr>
              <w:t>50-75%</w:t>
            </w:r>
          </w:p>
        </w:tc>
      </w:tr>
      <w:tr>
        <w:trPr>
          <w:cantSplit/>
        </w:trPr>
        <w:tc>
          <w:tcPr>
            <w:tcW w:type="dxa" w:w="2232"/>
            <w:vAlign w:val="top"/>
          </w:tcPr>
          <w:p>
            <w:pPr>
              <w:spacing w:after="40" w:before="0" w:line="259" w:lineRule="auto"/>
            </w:pPr>
            <w:r>
              <w:rPr>
                <w:rFonts w:ascii="Calibri" w:hAnsi="Calibri"/>
                <w:b/>
                <w:i w:val="0"/>
                <w:color w:val="212121"/>
                <w:sz w:val="19"/>
              </w:rPr>
              <w:t>Chronic constipation / obstructed defecation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Straining from constipation drives intussusception, and the established prolapse in turn obstructs evacuation - a self-perpetuating loop present in about half of patients.</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Pelvic organ prolapse (uterine / vaginal / bladder)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underlying global pelvic-floor failure, so it frequently coexists in women and may require combined multi-compartment repair.</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Solitary rectal ulcer syndrome (SRUS)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intussusception and straining cause ischaemic mucosal trauma producing SRUS; in SRUS series internal prolapse underlies ~56% and external prolapse ~39% of cases.</w:t>
            </w:r>
          </w:p>
        </w:tc>
      </w:tr>
      <w:tr>
        <w:trPr>
          <w:cantSplit/>
        </w:trPr>
        <w:tc>
          <w:tcPr>
            <w:tcW w:type="dxa" w:w="2232"/>
            <w:vAlign w:val="top"/>
          </w:tcPr>
          <w:p>
            <w:pPr>
              <w:spacing w:after="40" w:before="0" w:line="259" w:lineRule="auto"/>
            </w:pPr>
            <w:r>
              <w:rPr>
                <w:rFonts w:ascii="Calibri" w:hAnsi="Calibri"/>
                <w:b/>
                <w:i w:val="0"/>
                <w:color w:val="212121"/>
                <w:sz w:val="19"/>
              </w:rPr>
              <w:t>Rectocele / enterocele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Commonly coexist as part of posterior and middle compartment pelvic-floor weakness and are sought on defecography to plan repair.</w:t>
            </w:r>
          </w:p>
        </w:tc>
      </w:tr>
      <w:tr>
        <w:trPr>
          <w:cantSplit/>
        </w:trPr>
        <w:tc>
          <w:tcPr>
            <w:tcW w:type="dxa" w:w="2232"/>
            <w:vAlign w:val="top"/>
          </w:tcPr>
          <w:p>
            <w:pPr>
              <w:spacing w:after="40" w:before="0" w:line="259" w:lineRule="auto"/>
            </w:pPr>
            <w:r>
              <w:rPr>
                <w:rFonts w:ascii="Calibri" w:hAnsi="Calibri"/>
                <w:b/>
                <w:i w:val="0"/>
                <w:color w:val="212121"/>
                <w:sz w:val="19"/>
              </w:rPr>
              <w:t>Pudendal neuropathy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stretch injury to the pudendal nerves weakens the sphincter and predicts poorer continence outcome after prolapse surgery.</w:t>
            </w:r>
          </w:p>
        </w:tc>
      </w:tr>
      <w:tr>
        <w:trPr>
          <w:cantSplit/>
        </w:trPr>
        <w:tc>
          <w:tcPr>
            <w:tcW w:type="dxa" w:w="2232"/>
            <w:vAlign w:val="top"/>
          </w:tcPr>
          <w:p>
            <w:pPr>
              <w:spacing w:after="40" w:before="0" w:line="259" w:lineRule="auto"/>
            </w:pPr>
            <w:r>
              <w:rPr>
                <w:rFonts w:ascii="Calibri" w:hAnsi="Calibri"/>
                <w:b/>
                <w:i w:val="0"/>
                <w:color w:val="212121"/>
                <w:sz w:val="19"/>
              </w:rPr>
              <w:t>Rectal ulceration and 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low-grade bleeding from the ulcerated prolapsed mucosa can cause anaemia requiring evaluation and iron replacement.</w:t>
            </w:r>
          </w:p>
        </w:tc>
      </w:tr>
      <w:tr>
        <w:trPr>
          <w:cantSplit/>
        </w:trPr>
        <w:tc>
          <w:tcPr>
            <w:tcW w:type="dxa" w:w="2232"/>
            <w:vAlign w:val="top"/>
          </w:tcPr>
          <w:p>
            <w:pPr>
              <w:spacing w:after="40" w:before="0" w:line="259" w:lineRule="auto"/>
            </w:pPr>
            <w:r>
              <w:rPr>
                <w:rFonts w:ascii="Calibri" w:hAnsi="Calibri"/>
                <w:b/>
                <w:i w:val="0"/>
                <w:color w:val="212121"/>
                <w:sz w:val="19"/>
              </w:rPr>
              <w:t>Connective tissue disorders (Ehlers-Danlos, hypermobility)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Heritable tissue laxity weakens pelvic supports and predisposes younger patients to prolapse and to recurrence.</w:t>
            </w:r>
          </w:p>
        </w:tc>
      </w:tr>
      <w:tr>
        <w:trPr>
          <w:cantSplit/>
        </w:trPr>
        <w:tc>
          <w:tcPr>
            <w:tcW w:type="dxa" w:w="2232"/>
            <w:vAlign w:val="top"/>
          </w:tcPr>
          <w:p>
            <w:pPr>
              <w:spacing w:after="40" w:before="0" w:line="259" w:lineRule="auto"/>
            </w:pPr>
            <w:r>
              <w:rPr>
                <w:rFonts w:ascii="Calibri" w:hAnsi="Calibri"/>
                <w:b/>
                <w:i w:val="0"/>
                <w:color w:val="212121"/>
                <w:sz w:val="19"/>
              </w:rPr>
              <w:t>Cystic fibrosis (children)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Bulky stools, malabsorption and chronic cough provoke prolapse; a child with rectal prolapse warrants sweat-chloride testing, as about 20% of CF children develop prolapse.</w:t>
            </w:r>
          </w:p>
          <w:p>
            <w:pPr>
              <w:spacing w:after="40" w:before="0" w:line="259" w:lineRule="auto"/>
            </w:pPr>
            <w:r>
              <w:rPr>
                <w:rFonts w:ascii="Calibri" w:hAnsi="Calibri"/>
                <w:b/>
                <w:i w:val="0"/>
                <w:color w:val="212121"/>
                <w:sz w:val="19"/>
              </w:rPr>
              <w:t>~20% of CF children</w:t>
            </w:r>
          </w:p>
        </w:tc>
      </w:tr>
      <w:tr>
        <w:trPr>
          <w:cantSplit/>
        </w:trPr>
        <w:tc>
          <w:tcPr>
            <w:tcW w:type="dxa" w:w="2232"/>
            <w:vAlign w:val="top"/>
          </w:tcPr>
          <w:p>
            <w:pPr>
              <w:spacing w:after="40" w:before="0" w:line="259" w:lineRule="auto"/>
            </w:pPr>
            <w:r>
              <w:rPr>
                <w:rFonts w:ascii="Calibri" w:hAnsi="Calibri"/>
                <w:b/>
                <w:i w:val="0"/>
                <w:color w:val="212121"/>
                <w:sz w:val="19"/>
              </w:rPr>
              <w:t>Chronic cough / COPD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Repetitive coughing raises intra-abdominal pressure and stresses the pelvic floor, contributing to prolapse and to recurrence after repair.</w:t>
            </w:r>
          </w:p>
        </w:tc>
      </w:tr>
      <w:tr>
        <w:trPr>
          <w:cantSplit/>
        </w:trPr>
        <w:tc>
          <w:tcPr>
            <w:tcW w:type="dxa" w:w="2232"/>
            <w:vAlign w:val="top"/>
          </w:tcPr>
          <w:p>
            <w:pPr>
              <w:spacing w:after="40" w:before="0" w:line="259" w:lineRule="auto"/>
            </w:pPr>
            <w:r>
              <w:rPr>
                <w:rFonts w:ascii="Calibri" w:hAnsi="Calibri"/>
                <w:b/>
                <w:i w:val="0"/>
                <w:color w:val="212121"/>
                <w:sz w:val="19"/>
              </w:rPr>
              <w:t>Colorectal neoplasm or polyp (lead point)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tumour or large polyp can act as the lead point of an intussusception; colonoscopy is mandatory to exclude it before repair.</w:t>
            </w:r>
          </w:p>
        </w:tc>
      </w:tr>
      <w:tr>
        <w:trPr>
          <w:cantSplit/>
        </w:trPr>
        <w:tc>
          <w:tcPr>
            <w:tcW w:type="dxa" w:w="2232"/>
            <w:vAlign w:val="top"/>
          </w:tcPr>
          <w:p>
            <w:pPr>
              <w:spacing w:after="40" w:before="0" w:line="259" w:lineRule="auto"/>
            </w:pPr>
            <w:r>
              <w:rPr>
                <w:rFonts w:ascii="Calibri" w:hAnsi="Calibri"/>
                <w:b/>
                <w:i w:val="0"/>
                <w:color w:val="212121"/>
                <w:sz w:val="19"/>
              </w:rPr>
              <w:t>Depression and social isolation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Living with a visible prolapse and faecal incontinence causes embarrassment, withdrawal and depression that must be addressed as part of holistic care.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repeated, forceful straining at stool is the main driver of prolapse - do not strain, and do not sit on the toilet for long periods reading or using a phone.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symptoms (a lump appearing on defecation, mucus, leakage, incomplete evacuation) and seek assessment early rather than waiting until the prolapse is large.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constipation promptly with fibre, fluids and correct toileting technique to break the strain-prolapse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a protruding mass that becomes painful, dusky or irreducible is an emergency needing immediate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definitive treatment in adults is surgical, that several options exist (perineal Delorme / Altemeier and abdominal / ventral mesh rectopexy), and that recurrence and persistent incontinence are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children, learn that most prolapse resolves with bowel management and nutrition and that surgery is rarely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prolapse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strainers / constipated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pre-operative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(25-35 g/day) rich in whole grains, millets, pulses, fruit and vegetables to keep stool soft and formed.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adequate fluids (about 2-3 litres/day) to prevent hard stool and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Bristol type 3-4 stool; add a bulking agent (psyllium / isabgol) if fibre alone is insufficient.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nutrition, especially in children and cachectic adults, to preserve the fat that supports the rectum.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low-residue refined and fast foods that promote constipation.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Cachectic / 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pelvic-floor muscle (Kegel) exercises, ideally guided by biofeedback, to strengthen the sphincter and support 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physically active and avoid prolonged immobility, which worsens constipation and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lifting and activities that involve repeated hard straining or breath-holding.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biofeedback / pelvic-floor retraining for dyssynergic defecation to reduce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post-operative recovery and mobilisation as advised by the surgical team.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faecal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Dyssynergic defecation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 deconditioned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Post-repair recovery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correct defecation posture - use a foot-stool to raise the knees and open the anorectal angle, and evacuate without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any external prolapse gently and promptly (a little sugar or cold compress can reduce oedema) and seek urgent care if it will not reduce.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perineum clean and dry and use a barrier cream to prevent excoriation and incontinence-associated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consider surgical referral for full-thickness prolapse, which does not resolve on its own in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bleeding, severe pain or an irreducible prolapse without delay.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external prolapse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mucosal soiling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routine and adequate sleep, which supports a healthy bowel pattern and reduces daytime constipation-related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an unhurried morning toilet routine (using the gastrocolic reflex after breakfast) to avoid rushed straining later.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any nocturnal cough that repeatedly raises intra-abdominal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cough</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the chronic cough and COPD that repeatedly raise intra-abdominal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smoking impairs wound healing and increases the risk of recurrence after prolapse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especially before any operation.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COPD / 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heavy alcohol intake, which can cause chronic diarrhoea and urgent straining and worsens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alcohol to reduce peri-operative and healing risks.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good hydration and fibre for bowel regularity.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the embarrassment, social withdrawal and depression that commonly accompany incontinence and a visible prolapse.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reassurance that the condition is treatable, and refer for psychological support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patients with psychiatric illness, dementia or autism, correct laxative / enema misuse and disordered toileting that provoke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carers in bowel-management routines for dependent and institutionalised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faecal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 depressed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psychiatric or neurological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Institutionalised / dependent adults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6929/" TargetMode="External"/><Relationship Id="rId10" Type="http://schemas.openxmlformats.org/officeDocument/2006/relationships/hyperlink" Target="https://tgh.amegroups.org/article/view/8810/html" TargetMode="External"/><Relationship Id="rId11" Type="http://schemas.openxmlformats.org/officeDocument/2006/relationships/hyperlink" Target="https://emedicine.medscape.com/article/2026460-overview" TargetMode="External"/><Relationship Id="rId12" Type="http://schemas.openxmlformats.org/officeDocument/2006/relationships/hyperlink" Target="https://ales.amegroups.org/article/view/8260/html" TargetMode="External"/><Relationship Id="rId13" Type="http://schemas.openxmlformats.org/officeDocument/2006/relationships/hyperlink" Target="https://link.springer.com/article/10.1186/s12889-024-21271-5" TargetMode="External"/><Relationship Id="rId14" Type="http://schemas.openxmlformats.org/officeDocument/2006/relationships/hyperlink" Target="https://my.clevelandclinic.org/health/diseases/14615-rectal-prolapse" TargetMode="External"/><Relationship Id="rId15" Type="http://schemas.openxmlformats.org/officeDocument/2006/relationships/hyperlink" Target="https://en.wikipedia.org/wiki/Solitary_rectal_ulcer_syndr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