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Liver Disease / Cirrhosis</w:t>
      </w:r>
    </w:p>
    <w:p>
      <w:pPr>
        <w:spacing w:before="0" w:after="160"/>
      </w:pPr>
      <w:r>
        <w:rPr>
          <w:rFonts w:ascii="Calibri" w:hAnsi="Calibri"/>
          <w:b/>
          <w:i w:val="0"/>
          <w:color w:val="212121"/>
          <w:sz w:val="22"/>
        </w:rPr>
        <w:t xml:space="preserve">AKA </w:t>
      </w:r>
      <w:r>
        <w:rPr>
          <w:rFonts w:ascii="Calibri" w:hAnsi="Calibri"/>
          <w:b w:val="0"/>
          <w:i w:val="0"/>
          <w:color w:val="212121"/>
          <w:sz w:val="22"/>
        </w:rPr>
        <w:t>i.e., Cirrhosis of the liver, Hepatic cirrhosis, End-stage liver disease (ESLD), Chronic liver failure, Liver scarring, Yakrit Vikara / Kumbhakamala (Ayurveda)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liver disease (CLD) is the progressive deterioration of liver function over more than six months, in which continuing hepatocellular injury, inflammation and regeneration drive fibrogenesis. Cirrhosis is its end stage - the diffuse replacement of normal hepatic architecture by fibrous scar tissue and regenerative nodules, producing portal hypertension and progressive hepatocellular failure. It evolves through a long, largely asymptomatic compensated phase into a decompensated phase marked by ascites, variceal bleeding, jaundice and hepatic encephalopathy, and carries a high risk of hepatocellular carcinoma. In India the three leading causes are alcohol, metabolic dysfunction-associated steatotic liver disease (MASLD, formerly NAFLD) and chronic hepatitis B and C.</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Cirrhosis and chronic liver disease are a major cause of death in India. India carries almost one-fifth (about 18.3%) of the global cirrhosis death toll, with an estimated 188,575 cirrhosis deaths in 2010, and roughly two lakh (200,000) people are estimated to reach end-stage liver disease each year. In a large multicentric Indian study, chronic liver disease accounted for about 20% of newly diagnosed liver disease and a third of these patients (33.9%) already had decompensated cirrhosis at presentation; alcohol (34.3%) was the commonest cause of cirrhosis and hepatitis B (33.3%) the leading overall cause, with striking regional variation - hepatitis C dominating the north, hepatitis B the east and south, alcohol the north-east, and NAFLD/MASLD the west and central regions. Chronic hepatitis B affects an estimated 29.8 million Indians (about 0.95% HBsAg positivity on NFHS-4) and chronic hepatitis C around 12 million, while MASLD - the fastest-rising driver - has a pooled adult prevalence of roughly 25-30% across South Asia and is even higher in people with obesity or type 2 diabetes. Patients present at a relatively young median age (about 43 years) and are predominantly male (around 73%).</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Cirrhosis is a clinico-pathological diagnosis established by combining clinical stigmata, laboratory evidence of impaired hepatic synthetic function, imaging of a nodular liver with features of portal hypertension, and non-invasive fibrosis assessment; liver biopsy remains the histological gold standard but is reserved for uncertain cases. Alongside confirming cirrhosis, the work-up must identify the aetiology, stage severity (Child-Pugh, MELD) and screen for complications: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stigmata of chronic liver disease (jaundice, spider naevi, palmar erythema, gynaecomastia, splenomegaly, ascites) together with a compatible history of alcohol use, viral hepatitis or metabolic risk;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Liver function and synthetic tests: a low serum albumin, prolonged prothrombin time / raised INR and elevated bilirubin indicate impaired synthetic function; transaminases (AST/ALT) may be only mildly raised or normal in established cirrhosis, with an AST:ALT ratio &gt; 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Thrombocytopenia (platelet count often &lt; 150,000/microL) reflecting portal hypertension and hypersplenism, a useful early marker;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Abdominal ultrasound showing a small, coarse, nodular liver with an irregular surface, caudate lobe hypertrophy, splenomegaly, ascites, a dilated portal vein and portosystemic collaterals;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Non-invasive fibrosis assessment: transient elastography (FibroScan) with liver stiffness &gt;= 12-15 kPa strongly suggests cirrhosis, and simple serum scores (FIB-4, APRI) help risk-stratify and reduce the need for biopsy;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Upper gastrointestinal endoscopy to detect and grade oesophageal / gastric varices and portal hypertensive gastropathy;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Aetiological panel: HBsAg and anti-HCV, autoimmune markers (ANA, ASMA, immunoglobulins), serum ferritin / transferrin saturation, ceruloplasmin (Wilson disease in the young), alpha-1 antitrypsin and a careful alcohol history;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alpha-fetoprotein (AFP) with six-monthly ultrasound surveillance for hepatocellular carcinoma in all cirrhotics;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Liver biopsy (METAVIR stage F4) - histological gold standard, used when the diagnosis or aetiology remains unclear after non-invasive work-up;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and prognostic scoring with the Child-Turcotte-Pugh class (A/B/C) and MELD / MELD-Na score to guide management and transplant listing.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Cirrhosis is classified by clinical stage, by prognostic severity score and by underlying aetiology, and increasingly by the presence of clinically significant portal hypertension, all of which shape prognosis and treatment:</w:t>
      </w:r>
    </w:p>
    <w:p>
      <w:pPr>
        <w:spacing w:before="0" w:after="80"/>
      </w:pPr>
      <w:r>
        <w:rPr>
          <w:rFonts w:ascii="Calibri" w:hAnsi="Calibri"/>
          <w:b w:val="0"/>
          <w:i w:val="0"/>
          <w:color w:val="212121"/>
          <w:sz w:val="21"/>
        </w:rPr>
        <w:t>(1) By clinical stage - compensated cirrhosis (often asymptomatic, patient still synthesising and detoxifying adequately) versus decompensated cirrhosis, defined by the appearance of ascites, variceal bleeding, hepatic encephalopathy or jaundice; the term 'compensated advanced chronic liver disease (cACLD)' is now used for the spectrum of severe fibrosis to early cirrhosis identified on elastography;</w:t>
      </w:r>
    </w:p>
    <w:p>
      <w:pPr>
        <w:spacing w:before="0" w:after="80"/>
      </w:pPr>
      <w:r>
        <w:rPr>
          <w:rFonts w:ascii="Calibri" w:hAnsi="Calibri"/>
          <w:b w:val="0"/>
          <w:i w:val="0"/>
          <w:color w:val="212121"/>
          <w:sz w:val="21"/>
        </w:rPr>
        <w:t>(2) By severity / prognosis - the Child-Turcotte-Pugh classification (Class A = 5-6 points, well-compensated; Class B = 7-9, significant compromise; Class C = 10-15, decompensated) using bilirubin, albumin, INR, ascites and encephalopathy; and the MELD / MELD-Na score, which predicts 90-day mortality and prioritises liver transplantation;</w:t>
      </w:r>
    </w:p>
    <w:p>
      <w:pPr>
        <w:spacing w:before="0" w:after="80"/>
      </w:pPr>
      <w:r>
        <w:rPr>
          <w:rFonts w:ascii="Calibri" w:hAnsi="Calibri"/>
          <w:b w:val="0"/>
          <w:i w:val="0"/>
          <w:color w:val="212121"/>
          <w:sz w:val="21"/>
        </w:rPr>
        <w:t>(3) By aetiology - alcohol-related liver disease; metabolic dysfunction-associated steatotic liver disease (MASLD/MASH); chronic viral hepatitis B and C; autoimmune hepatitis; cholestatic diseases (primary biliary cholangitis, primary sclerosing cholangitis, biliary atresia); inherited/metabolic disorders (Wilson disease, hereditary haemochromatosis, alpha-1 antitrypsin deficiency); vascular causes (Budd-Chiari syndrome); drug- and toxin-induced; and cryptogenic cirrhosis (much of which is now recognised as burnt-out MASH);</w:t>
      </w:r>
    </w:p>
    <w:p>
      <w:pPr>
        <w:spacing w:before="0" w:after="80"/>
      </w:pPr>
      <w:r>
        <w:rPr>
          <w:rFonts w:ascii="Calibri" w:hAnsi="Calibri"/>
          <w:b w:val="0"/>
          <w:i w:val="0"/>
          <w:color w:val="212121"/>
          <w:sz w:val="21"/>
        </w:rPr>
        <w:t>(4) By portal pressure - the presence of clinically significant portal hypertension (hepatic venous pressure gradient &gt;= 10 mmHg, or surrogate markers such as varices, splenomegaly with thrombocytopenia, or high liver stiffness) marks the transition to a high risk of decompensation;</w:t>
      </w:r>
    </w:p>
    <w:p>
      <w:pPr>
        <w:spacing w:before="0" w:after="80"/>
      </w:pPr>
      <w:r>
        <w:rPr>
          <w:rFonts w:ascii="Calibri" w:hAnsi="Calibri"/>
          <w:b w:val="0"/>
          <w:i w:val="0"/>
          <w:color w:val="212121"/>
          <w:sz w:val="21"/>
        </w:rPr>
        <w:t>(5) By acuity of deterioration - stable chronic cirrhosis versus acute-on-chronic liver failure (ACLF), in which a precipitant (infection, variceal bleed, alcoholic hepatitis, drug injury) causes rapid multi-organ failure superimposed on chronic disease, carrying very high short-term mortality.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Alcohol-related liver disease: Chronic heavy alcohol intake (broadly &gt; 60 g/day in men and &gt; 20 g/day in women) is the commonest cause of cirrhosis in India; ethanol and its metabolite acetaldehyde cause steatosis, oxidative stress, hepatocyte injury and progressive fibrosis, though only about 1 in 4 heavy drinkers develops cirrhosis, reflecting genetic and nutritional cofactors.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MASLD / MASH (metabolic dysfunction-associated steatotic liver disease): Insulin resistance, obesity, type 2 diabetes and atherogenic dyslipidaemia drive hepatic fat accumulation, lipotoxicity and steatohepatitis that progress to fibrosis and cirrhosis; it is the fastest-growing cause and frequently affects lean, centrally-obese Asian Indians.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Chronic viral hepatitis B and C: Persistent HBV or HCV infection causes ongoing immune-mediated hepatocyte injury and fibrosis; hepatitis B (largely perinatally/horizontally acquired) predominates in eastern and southern India, and hepatitis C, often transmitted through unsafe injections and blood, predominates in the north.</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Autoimmune and cholestatic liver disease: Autoimmune hepatitis, primary biliary cholangitis and primary sclerosing cholangitis produce chronic inflammation or bile-duct destruction leading to fibrosis; these disproportionately affect women (autoimmune hepatitis, PBC).</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Inherited and metabolic disorders: Wilson disease (copper overload, important in young Indian patients), hereditary haemochromatosis (iron overload) and alpha-1 antitrypsin deficiency cause parenchymal injury and cirrhosis, often with a family history.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Vascular, drug and toxin causes: Budd-Chiari syndrome and veno-occlusive disease, prolonged right heart failure (cardiac cirrhosis), hepatotoxic drugs (methotrexate, isoniazid), indigenous / herbal remedies and aflatoxin-contaminated food contribute in the Indian context.</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Cryptogenic cirrhosis: A diagnosis of exclusion when no cause is found, a substantial proportion of which represents burnt-out MASH with prior metabolic risk factors.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(40-60 years)</w:t>
            </w:r>
          </w:p>
        </w:tc>
        <w:tc>
          <w:tcPr>
            <w:tcW w:type="dxa" w:w="4276"/>
            <w:vAlign w:val="top"/>
          </w:tcPr>
          <w:p>
            <w:pPr>
              <w:spacing w:after="60" w:line="259" w:lineRule="auto"/>
            </w:pPr>
            <w:r>
              <w:rPr>
                <w:rFonts w:ascii="Calibri" w:hAnsi="Calibri"/>
                <w:b w:val="0"/>
                <w:i w:val="0"/>
                <w:color w:val="212121"/>
                <w:sz w:val="19"/>
              </w:rPr>
              <w:t>Cirrhosis typically becomes clinically apparent in midlife after years of cumulative alcohol, viral or metabolic injury silently progress through fibrosis; Indian patients decompensate relatively young. Works by allowing decades of hepatocellular injury to accumulate into irreversible scarring and portal hypertension.</w:t>
            </w:r>
          </w:p>
          <w:p>
            <w:pPr>
              <w:spacing w:after="40" w:before="60" w:line="259" w:lineRule="auto"/>
            </w:pPr>
            <w:r>
              <w:rPr>
                <w:rFonts w:ascii="Calibri" w:hAnsi="Calibri"/>
                <w:b w:val="0"/>
                <w:i w:val="0"/>
                <w:color w:val="212121"/>
                <w:sz w:val="19"/>
              </w:rPr>
              <w:t>In a large multicentric Indian study the median age of chronic liver disease patients was 43 years, with alcohol- and NAFLD-related disease peaking around 45-46 years.</w:t>
            </w:r>
          </w:p>
          <w:p>
            <w:pPr>
              <w:spacing w:after="40" w:line="252" w:lineRule="auto"/>
            </w:pPr>
            <w:hyperlink r:id="rId9">
              <w:r>
                <w:rPr>
                  <w:rFonts w:ascii="Calibri" w:hAnsi="Calibri" w:cs="Calibri"/>
                  <w:sz w:val="18"/>
                  <w:color w:val="1155CC"/>
                  <w:u w:val="single"/>
                </w:rPr>
                <w:t xml:space="preserve">journals.plos.org - Etiology of chronic liver diseases in India (multicentric)</w:t>
              </w:r>
            </w:hyperlink>
          </w:p>
          <w:p>
            <w:pPr>
              <w:spacing w:before="60" w:after="40"/>
            </w:pPr>
            <w:r>
              <w:rPr>
                <w:rFonts w:ascii="Calibri" w:hAnsi="Calibri"/>
                <w:b w:val="0"/>
                <w:i w:val="0"/>
                <w:color w:val="5A5A5A"/>
                <w:sz w:val="18"/>
              </w:rPr>
              <w:t>#cirrhosis  #midlife  #fibrosis  #alcohol  #youngdecompensation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60 years)</w:t>
            </w:r>
          </w:p>
        </w:tc>
        <w:tc>
          <w:tcPr>
            <w:tcW w:type="dxa" w:w="4276"/>
            <w:vAlign w:val="top"/>
          </w:tcPr>
          <w:p>
            <w:pPr>
              <w:spacing w:after="60" w:line="259" w:lineRule="auto"/>
            </w:pPr>
            <w:r>
              <w:rPr>
                <w:rFonts w:ascii="Calibri" w:hAnsi="Calibri"/>
                <w:b w:val="0"/>
                <w:i w:val="0"/>
                <w:color w:val="212121"/>
                <w:sz w:val="19"/>
              </w:rPr>
              <w:t>Older adults have longer cumulative exposure, reduced hepatic regenerative reserve, more advanced fibrosis and higher hepatocellular carcinoma risk; they also tolerate decompensation and procedures poorly because of frailty and comorbidity.</w:t>
            </w:r>
          </w:p>
          <w:p>
            <w:pPr>
              <w:spacing w:after="40" w:before="60" w:line="259" w:lineRule="auto"/>
            </w:pPr>
            <w:r>
              <w:rPr>
                <w:rFonts w:ascii="Calibri" w:hAnsi="Calibri"/>
                <w:b w:val="0"/>
                <w:i w:val="0"/>
                <w:color w:val="212121"/>
                <w:sz w:val="19"/>
              </w:rPr>
              <w:t>Cirrhosis prevalence and cirrhosis-related mortality rise with age, and the risk of hepatocellular carcinoma in cirrhosis increases steadily in older patients.</w:t>
            </w:r>
          </w:p>
          <w:p>
            <w:pPr>
              <w:spacing w:after="40" w:line="252" w:lineRule="auto"/>
            </w:pPr>
            <w:hyperlink r:id="rId10">
              <w:r>
                <w:rPr>
                  <w:rFonts w:ascii="Calibri" w:hAnsi="Calibri" w:cs="Calibri"/>
                  <w:sz w:val="18"/>
                  <w:color w:val="1155CC"/>
                  <w:u w:val="single"/>
                </w:rPr>
                <w:t xml:space="preserve">pmc.ncbi.nlm.nih.gov - Liver cirrhosis in 2021: Global Burden of Disease</w:t>
              </w:r>
            </w:hyperlink>
          </w:p>
          <w:p>
            <w:pPr>
              <w:spacing w:before="60" w:after="40"/>
            </w:pPr>
            <w:r>
              <w:rPr>
                <w:rFonts w:ascii="Calibri" w:hAnsi="Calibri"/>
                <w:b w:val="0"/>
                <w:i w:val="0"/>
                <w:color w:val="5A5A5A"/>
                <w:sz w:val="18"/>
              </w:rPr>
              <w:t>#elderly  #ageing  #HCCrisk  #frailty  #reducedreserve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bear the great majority of cirrhosis, chiefly because of far higher rates of heavy alcohol use, and also higher hepatitis B prevalence and visceral adiposity; testosterone-related fat distribution adds metabolic risk.</w:t>
            </w:r>
          </w:p>
          <w:p>
            <w:pPr>
              <w:spacing w:after="40" w:before="60" w:line="259" w:lineRule="auto"/>
            </w:pPr>
            <w:r>
              <w:rPr>
                <w:rFonts w:ascii="Calibri" w:hAnsi="Calibri"/>
                <w:b w:val="0"/>
                <w:i w:val="0"/>
                <w:color w:val="212121"/>
                <w:sz w:val="19"/>
              </w:rPr>
              <w:t>About 73% of chronic liver disease patients in the Indian multicentric cohort were male, mirroring the male dominance of alcohol-related liver disease.</w:t>
            </w:r>
          </w:p>
          <w:p>
            <w:pPr>
              <w:spacing w:after="40" w:line="252" w:lineRule="auto"/>
            </w:pPr>
            <w:hyperlink r:id="rId9">
              <w:r>
                <w:rPr>
                  <w:rFonts w:ascii="Calibri" w:hAnsi="Calibri" w:cs="Calibri"/>
                  <w:sz w:val="18"/>
                  <w:color w:val="1155CC"/>
                  <w:u w:val="single"/>
                </w:rPr>
                <w:t xml:space="preserve">journals.plos.org - Etiology of chronic liver diseases in India (multicentric)</w:t>
              </w:r>
            </w:hyperlink>
          </w:p>
          <w:p>
            <w:pPr>
              <w:spacing w:before="60" w:after="40"/>
            </w:pPr>
            <w:r>
              <w:rPr>
                <w:rFonts w:ascii="Calibri" w:hAnsi="Calibri"/>
                <w:b w:val="0"/>
                <w:i w:val="0"/>
                <w:color w:val="5A5A5A"/>
                <w:sz w:val="18"/>
              </w:rPr>
              <w:t>#male  #alcohol  #visceralfat  #hepatitisB  #sexdifference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(lower dose, faster injury)</w:t>
            </w:r>
          </w:p>
        </w:tc>
        <w:tc>
          <w:tcPr>
            <w:tcW w:type="dxa" w:w="4276"/>
            <w:vAlign w:val="top"/>
          </w:tcPr>
          <w:p>
            <w:pPr>
              <w:spacing w:after="60" w:line="259" w:lineRule="auto"/>
            </w:pPr>
            <w:r>
              <w:rPr>
                <w:rFonts w:ascii="Calibri" w:hAnsi="Calibri"/>
                <w:b w:val="0"/>
                <w:i w:val="0"/>
                <w:color w:val="212121"/>
                <w:sz w:val="19"/>
              </w:rPr>
              <w:t>Women are a minority of cases but develop alcohol-related liver injury at lower doses and shorter durations because of smaller volume of distribution, lower gastric alcohol dehydrogenase and oestrogen effects; they also predominate in autoimmune hepatitis and primary biliary cholangitis and in post-menopausal MASLD.</w:t>
            </w:r>
          </w:p>
          <w:p>
            <w:pPr>
              <w:spacing w:after="40" w:before="60" w:line="259" w:lineRule="auto"/>
            </w:pPr>
            <w:r>
              <w:rPr>
                <w:rFonts w:ascii="Calibri" w:hAnsi="Calibri"/>
                <w:b w:val="0"/>
                <w:i w:val="0"/>
                <w:color w:val="212121"/>
                <w:sz w:val="19"/>
              </w:rPr>
              <w:t>Cirrhosis risk rises significantly in women at alcohol intakes above about 20 g/day, roughly a third of the threshold quoted for men (&gt; 60 g/day).</w:t>
            </w:r>
          </w:p>
          <w:p>
            <w:pPr>
              <w:spacing w:after="40" w:line="252" w:lineRule="auto"/>
            </w:pPr>
            <w:hyperlink r:id="rId11">
              <w:r>
                <w:rPr>
                  <w:rFonts w:ascii="Calibri" w:hAnsi="Calibri" w:cs="Calibri"/>
                  <w:sz w:val="18"/>
                  <w:color w:val="1155CC"/>
                  <w:u w:val="single"/>
                </w:rPr>
                <w:t xml:space="preserve">my.clevelandclinic.org - Alcoholic liver disease</w:t>
              </w:r>
            </w:hyperlink>
          </w:p>
          <w:p>
            <w:pPr>
              <w:spacing w:before="60" w:after="40"/>
            </w:pPr>
            <w:r>
              <w:rPr>
                <w:rFonts w:ascii="Calibri" w:hAnsi="Calibri"/>
                <w:b w:val="0"/>
                <w:i w:val="0"/>
                <w:color w:val="5A5A5A"/>
                <w:sz w:val="18"/>
              </w:rPr>
              <w:t>#female  #lowerthreshold  #autoimmune  #PBC  #postmenopausal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rural populations</w:t>
            </w:r>
          </w:p>
        </w:tc>
        <w:tc>
          <w:tcPr>
            <w:tcW w:type="dxa" w:w="4276"/>
            <w:vAlign w:val="top"/>
          </w:tcPr>
          <w:p>
            <w:pPr>
              <w:spacing w:after="60" w:line="259" w:lineRule="auto"/>
            </w:pPr>
            <w:r>
              <w:rPr>
                <w:rFonts w:ascii="Calibri" w:hAnsi="Calibri"/>
                <w:b w:val="0"/>
                <w:i w:val="0"/>
                <w:color w:val="212121"/>
                <w:sz w:val="19"/>
              </w:rPr>
              <w:t>Cheap country / unrecorded liquor, higher hepatitis B and C exposure through unsafe injections and limited vaccination, poor nutrition and late presentation concentrate advanced, decompensated cirrhosis among the poor, who also have least access to surveillance and transplantation.</w:t>
            </w:r>
          </w:p>
          <w:p>
            <w:pPr>
              <w:spacing w:after="40" w:before="60" w:line="259" w:lineRule="auto"/>
            </w:pPr>
            <w:r>
              <w:rPr>
                <w:rFonts w:ascii="Calibri" w:hAnsi="Calibri"/>
                <w:b w:val="0"/>
                <w:i w:val="0"/>
                <w:color w:val="212121"/>
                <w:sz w:val="19"/>
              </w:rPr>
              <w:t>A third of Indian CLD patients (33.9%) already had decompensated cirrhosis at first presentation, reflecting late diagnosis.</w:t>
            </w:r>
          </w:p>
          <w:p>
            <w:pPr>
              <w:spacing w:after="40" w:line="252" w:lineRule="auto"/>
            </w:pPr>
            <w:hyperlink r:id="rId9">
              <w:r>
                <w:rPr>
                  <w:rFonts w:ascii="Calibri" w:hAnsi="Calibri" w:cs="Calibri"/>
                  <w:sz w:val="18"/>
                  <w:color w:val="1155CC"/>
                  <w:u w:val="single"/>
                </w:rPr>
                <w:t xml:space="preserve">journals.plos.org - Etiology of chronic liver diseases in India (multicentric)</w:t>
              </w:r>
            </w:hyperlink>
          </w:p>
          <w:p>
            <w:pPr>
              <w:spacing w:before="60" w:after="40"/>
            </w:pPr>
            <w:r>
              <w:rPr>
                <w:rFonts w:ascii="Calibri" w:hAnsi="Calibri"/>
                <w:b w:val="0"/>
                <w:i w:val="0"/>
                <w:color w:val="5A5A5A"/>
                <w:sz w:val="18"/>
              </w:rPr>
              <w:t>#poverty  #countryliquor  #latepresentation  #accessgap  #ruralindia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North-east India (alcohol belt)</w:t>
            </w:r>
          </w:p>
        </w:tc>
        <w:tc>
          <w:tcPr>
            <w:tcW w:type="dxa" w:w="4276"/>
            <w:vAlign w:val="top"/>
          </w:tcPr>
          <w:p>
            <w:pPr>
              <w:spacing w:after="60" w:line="259" w:lineRule="auto"/>
            </w:pPr>
            <w:r>
              <w:rPr>
                <w:rFonts w:ascii="Calibri" w:hAnsi="Calibri"/>
                <w:b w:val="0"/>
                <w:i w:val="0"/>
                <w:color w:val="212121"/>
                <w:sz w:val="19"/>
              </w:rPr>
              <w:t>High population-level alcohol consumption in north-eastern states drives a heavy alcohol-related cirrhosis burden, compounded by hepatitis B and C in some districts.</w:t>
            </w:r>
          </w:p>
          <w:p>
            <w:pPr>
              <w:spacing w:after="40" w:before="60" w:line="259" w:lineRule="auto"/>
            </w:pPr>
            <w:r>
              <w:rPr>
                <w:rFonts w:ascii="Calibri" w:hAnsi="Calibri"/>
                <w:b w:val="0"/>
                <w:i w:val="0"/>
                <w:color w:val="212121"/>
                <w:sz w:val="19"/>
              </w:rPr>
              <w:t>In the Indian multicentric study alcohol was the leading cause of chronic liver disease in the north-east (about 31.6%), whereas hepatitis C dominated the north (44.9%).</w:t>
            </w:r>
          </w:p>
          <w:p>
            <w:pPr>
              <w:spacing w:after="40" w:line="252" w:lineRule="auto"/>
            </w:pPr>
            <w:hyperlink r:id="rId9">
              <w:r>
                <w:rPr>
                  <w:rFonts w:ascii="Calibri" w:hAnsi="Calibri" w:cs="Calibri"/>
                  <w:sz w:val="18"/>
                  <w:color w:val="1155CC"/>
                  <w:u w:val="single"/>
                </w:rPr>
                <w:t xml:space="preserve">journals.plos.org - Etiology of chronic liver diseases in India (multicentric)</w:t>
              </w:r>
            </w:hyperlink>
          </w:p>
          <w:p>
            <w:pPr>
              <w:spacing w:before="60" w:after="40"/>
            </w:pPr>
            <w:r>
              <w:rPr>
                <w:rFonts w:ascii="Calibri" w:hAnsi="Calibri"/>
                <w:b w:val="0"/>
                <w:i w:val="0"/>
                <w:color w:val="5A5A5A"/>
                <w:sz w:val="18"/>
              </w:rPr>
              <w:t>#northeast  #alcoholbelt  #regionalvariation  #hepatitisC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South &amp; East India / Andhra-Telangana (hepatitis B)</w:t>
            </w:r>
          </w:p>
        </w:tc>
        <w:tc>
          <w:tcPr>
            <w:tcW w:type="dxa" w:w="4276"/>
            <w:vAlign w:val="top"/>
          </w:tcPr>
          <w:p>
            <w:pPr>
              <w:spacing w:after="60" w:line="259" w:lineRule="auto"/>
            </w:pPr>
            <w:r>
              <w:rPr>
                <w:rFonts w:ascii="Calibri" w:hAnsi="Calibri"/>
                <w:b w:val="0"/>
                <w:i w:val="0"/>
                <w:color w:val="212121"/>
                <w:sz w:val="19"/>
              </w:rPr>
              <w:t>Hepatitis B is the predominant cause of chronic liver disease and hepatocellular carcinoma in eastern and southern India, with some southern states showing the country's highest HBsAg prevalence, reflecting historical vertical and horizontal transmission before universal vaccination.</w:t>
            </w:r>
          </w:p>
          <w:p>
            <w:pPr>
              <w:spacing w:after="40" w:before="60" w:line="259" w:lineRule="auto"/>
            </w:pPr>
            <w:r>
              <w:rPr>
                <w:rFonts w:ascii="Calibri" w:hAnsi="Calibri"/>
                <w:b w:val="0"/>
                <w:i w:val="0"/>
                <w:color w:val="212121"/>
                <w:sz w:val="19"/>
              </w:rPr>
              <w:t>HBsAg prevalence is highest in Andhra Pradesh and Telangana (about 2.39%) against a national average near 0.95%; HBV caused 47.9% of eastern and 40.6% of southern CLD.</w:t>
            </w:r>
          </w:p>
          <w:p>
            <w:pPr>
              <w:spacing w:after="40" w:line="252" w:lineRule="auto"/>
            </w:pPr>
            <w:hyperlink r:id="rId12">
              <w:r>
                <w:rPr>
                  <w:rFonts w:ascii="Calibri" w:hAnsi="Calibri" w:cs="Calibri"/>
                  <w:sz w:val="18"/>
                  <w:color w:val="1155CC"/>
                  <w:u w:val="single"/>
                </w:rPr>
                <w:t xml:space="preserve">link.springer.com - Hepatitis B virus prevalence in India: a wake-up call</w:t>
              </w:r>
            </w:hyperlink>
          </w:p>
          <w:p>
            <w:pPr>
              <w:spacing w:before="60" w:after="40"/>
            </w:pPr>
            <w:r>
              <w:rPr>
                <w:rFonts w:ascii="Calibri" w:hAnsi="Calibri"/>
                <w:b w:val="0"/>
                <w:i w:val="0"/>
                <w:color w:val="5A5A5A"/>
                <w:sz w:val="18"/>
              </w:rPr>
              <w:t>#hepatitisB  #southindia  #eastindia  #HBsAg  #regionalvariation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Body phenotype</w:t>
            </w:r>
          </w:p>
        </w:tc>
        <w:tc>
          <w:tcPr>
            <w:tcW w:type="dxa" w:w="2160"/>
            <w:vAlign w:val="top"/>
          </w:tcPr>
          <w:p>
            <w:pPr>
              <w:spacing w:after="40" w:before="0" w:line="259" w:lineRule="auto"/>
            </w:pPr>
            <w:r>
              <w:rPr>
                <w:rFonts w:ascii="Calibri" w:hAnsi="Calibri"/>
                <w:b w:val="0"/>
                <w:i w:val="0"/>
                <w:color w:val="212121"/>
                <w:sz w:val="19"/>
              </w:rPr>
              <w:t>Asian Indian (lean MASLD) phenotype</w:t>
            </w:r>
          </w:p>
        </w:tc>
        <w:tc>
          <w:tcPr>
            <w:tcW w:type="dxa" w:w="4276"/>
            <w:vAlign w:val="top"/>
          </w:tcPr>
          <w:p>
            <w:pPr>
              <w:spacing w:after="60" w:line="259" w:lineRule="auto"/>
            </w:pPr>
            <w:r>
              <w:rPr>
                <w:rFonts w:ascii="Calibri" w:hAnsi="Calibri"/>
                <w:b w:val="0"/>
                <w:i w:val="0"/>
                <w:color w:val="212121"/>
                <w:sz w:val="19"/>
              </w:rPr>
              <w:t>Asian Indians develop insulin resistance, central (visceral) adiposity and steatohepatitis at lower BMI than Western populations - the 'thin-fat' phenotype - so significant MASLD and fibrosis occur even in lean, normal-weight individuals.</w:t>
            </w:r>
          </w:p>
          <w:p>
            <w:pPr>
              <w:spacing w:after="40" w:before="60" w:line="259" w:lineRule="auto"/>
            </w:pPr>
            <w:r>
              <w:rPr>
                <w:rFonts w:ascii="Calibri" w:hAnsi="Calibri"/>
                <w:b w:val="0"/>
                <w:i w:val="0"/>
                <w:color w:val="212121"/>
                <w:sz w:val="19"/>
              </w:rPr>
              <w:t>The pooled adult prevalence of NAFLD/MASLD across South Asia is about 25.2%, and MASLD is now the fastest-rising cause of cirrhosis in urban India.</w:t>
            </w:r>
          </w:p>
          <w:p>
            <w:pPr>
              <w:spacing w:after="40" w:line="252" w:lineRule="auto"/>
            </w:pPr>
            <w:hyperlink r:id="rId13">
              <w:r>
                <w:rPr>
                  <w:rFonts w:ascii="Calibri" w:hAnsi="Calibri" w:cs="Calibri"/>
                  <w:sz w:val="18"/>
                  <w:color w:val="1155CC"/>
                  <w:u w:val="single"/>
                </w:rPr>
                <w:t xml:space="preserve">medrxiv.org - NAFLD in the South Asian Region: meta-analysis</w:t>
              </w:r>
            </w:hyperlink>
          </w:p>
          <w:p>
            <w:pPr>
              <w:spacing w:before="60" w:after="40"/>
            </w:pPr>
            <w:r>
              <w:rPr>
                <w:rFonts w:ascii="Calibri" w:hAnsi="Calibri"/>
                <w:b w:val="0"/>
                <w:i w:val="0"/>
                <w:color w:val="5A5A5A"/>
                <w:sz w:val="18"/>
              </w:rPr>
              <w:t>#leanNAFLD  #thinfat  #visceralfat  #insulinresistance  #asianindian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and long-term drinkers</w:t>
            </w:r>
          </w:p>
        </w:tc>
        <w:tc>
          <w:tcPr>
            <w:tcW w:type="dxa" w:w="4276"/>
            <w:vAlign w:val="top"/>
          </w:tcPr>
          <w:p>
            <w:pPr>
              <w:spacing w:after="60" w:line="259" w:lineRule="auto"/>
            </w:pPr>
            <w:r>
              <w:rPr>
                <w:rFonts w:ascii="Calibri" w:hAnsi="Calibri"/>
                <w:b w:val="0"/>
                <w:i w:val="0"/>
                <w:color w:val="212121"/>
                <w:sz w:val="19"/>
              </w:rPr>
              <w:t>Chronic heavy alcohol use is the single largest driver of cirrhosis in India; ethanol and acetaldehyde cause steatosis, oxidative and mitochondrial injury and activate hepatic stellate cells to lay down fibrosis, with risk rising with dose and duration.</w:t>
            </w:r>
          </w:p>
          <w:p>
            <w:pPr>
              <w:spacing w:after="40" w:before="60" w:line="259" w:lineRule="auto"/>
            </w:pPr>
            <w:r>
              <w:rPr>
                <w:rFonts w:ascii="Calibri" w:hAnsi="Calibri"/>
                <w:b w:val="0"/>
                <w:i w:val="0"/>
                <w:color w:val="212121"/>
                <w:sz w:val="19"/>
              </w:rPr>
              <w:t>Risk of cirrhosis rises sharply above about 60 g/day in men and 20 g/day in women, and roughly 1 in 4 heavy drinkers eventually develops cirrhosis.</w:t>
            </w:r>
          </w:p>
          <w:p>
            <w:pPr>
              <w:spacing w:after="40" w:line="252" w:lineRule="auto"/>
            </w:pPr>
            <w:hyperlink r:id="rId11">
              <w:r>
                <w:rPr>
                  <w:rFonts w:ascii="Calibri" w:hAnsi="Calibri" w:cs="Calibri"/>
                  <w:sz w:val="18"/>
                  <w:color w:val="1155CC"/>
                  <w:u w:val="single"/>
                </w:rPr>
                <w:t xml:space="preserve">my.clevelandclinic.org - Alcoholic liver disease</w:t>
              </w:r>
            </w:hyperlink>
          </w:p>
          <w:p>
            <w:pPr>
              <w:spacing w:before="60" w:after="40"/>
            </w:pPr>
            <w:r>
              <w:rPr>
                <w:rFonts w:ascii="Calibri" w:hAnsi="Calibri"/>
                <w:b w:val="0"/>
                <w:i w:val="0"/>
                <w:color w:val="5A5A5A"/>
                <w:sz w:val="18"/>
              </w:rPr>
              <w:t>#alcohol  #acetaldehyde  #stellatecells  #doseresponse  #ALD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urban lifestyle</w:t>
            </w:r>
          </w:p>
        </w:tc>
        <w:tc>
          <w:tcPr>
            <w:tcW w:type="dxa" w:w="2160"/>
            <w:vAlign w:val="top"/>
          </w:tcPr>
          <w:p>
            <w:pPr>
              <w:spacing w:after="40" w:before="0" w:line="259" w:lineRule="auto"/>
            </w:pPr>
            <w:r>
              <w:rPr>
                <w:rFonts w:ascii="Calibri" w:hAnsi="Calibri"/>
                <w:b w:val="0"/>
                <w:i w:val="0"/>
                <w:color w:val="212121"/>
                <w:sz w:val="19"/>
              </w:rPr>
              <w:t>Sedentary urban office workers</w:t>
            </w:r>
          </w:p>
        </w:tc>
        <w:tc>
          <w:tcPr>
            <w:tcW w:type="dxa" w:w="4276"/>
            <w:vAlign w:val="top"/>
          </w:tcPr>
          <w:p>
            <w:pPr>
              <w:spacing w:after="60" w:line="259" w:lineRule="auto"/>
            </w:pPr>
            <w:r>
              <w:rPr>
                <w:rFonts w:ascii="Calibri" w:hAnsi="Calibri"/>
                <w:b w:val="0"/>
                <w:i w:val="0"/>
                <w:color w:val="212121"/>
                <w:sz w:val="19"/>
              </w:rPr>
              <w:t>Physical inactivity, prolonged sitting and an energy-dense diet promote visceral fat, insulin resistance and hepatic steatosis, accelerating MASLD to steatohepatitis and fibrosis; sarcopenia from inactivity further worsens outcomes in established cirrhosis.</w:t>
            </w:r>
          </w:p>
          <w:p>
            <w:pPr>
              <w:spacing w:after="40" w:before="60" w:line="259" w:lineRule="auto"/>
            </w:pPr>
            <w:r>
              <w:rPr>
                <w:rFonts w:ascii="Calibri" w:hAnsi="Calibri"/>
                <w:b w:val="0"/>
                <w:i w:val="0"/>
                <w:color w:val="212121"/>
                <w:sz w:val="19"/>
              </w:rPr>
              <w:t>MASLD, tightly linked to sedentary metabolic risk, is a leading and fast-growing cause of cirrhosis in urban India (South Asian pooled prevalence ~25%).</w:t>
            </w:r>
          </w:p>
          <w:p>
            <w:pPr>
              <w:spacing w:after="40" w:line="252" w:lineRule="auto"/>
            </w:pPr>
            <w:hyperlink r:id="rId13">
              <w:r>
                <w:rPr>
                  <w:rFonts w:ascii="Calibri" w:hAnsi="Calibri" w:cs="Calibri"/>
                  <w:sz w:val="18"/>
                  <w:color w:val="1155CC"/>
                  <w:u w:val="single"/>
                </w:rPr>
                <w:t xml:space="preserve">medrxiv.org - NAFLD in the South Asian Region: meta-analysis</w:t>
              </w:r>
            </w:hyperlink>
          </w:p>
          <w:p>
            <w:pPr>
              <w:spacing w:before="60" w:after="40"/>
            </w:pPr>
            <w:r>
              <w:rPr>
                <w:rFonts w:ascii="Calibri" w:hAnsi="Calibri"/>
                <w:b w:val="0"/>
                <w:i w:val="0"/>
                <w:color w:val="5A5A5A"/>
                <w:sz w:val="18"/>
              </w:rPr>
              <w:t>#sedentary  #urbanlifestyle  #MASLD  #visceralfat  #sarcopenia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and tobacco users</w:t>
            </w:r>
          </w:p>
        </w:tc>
        <w:tc>
          <w:tcPr>
            <w:tcW w:type="dxa" w:w="4276"/>
            <w:vAlign w:val="top"/>
          </w:tcPr>
          <w:p>
            <w:pPr>
              <w:spacing w:after="60" w:line="259" w:lineRule="auto"/>
            </w:pPr>
            <w:r>
              <w:rPr>
                <w:rFonts w:ascii="Calibri" w:hAnsi="Calibri"/>
                <w:b w:val="0"/>
                <w:i w:val="0"/>
                <w:color w:val="212121"/>
                <w:sz w:val="19"/>
              </w:rPr>
              <w:t>Tobacco smoking generates oxidative stress and pro-fibrotic cytokines, accelerates fibrosis progression (especially with concurrent alcohol, viral hepatitis or MASLD) and independently raises the risk of hepatocellular carcinoma in cirrhotics.</w:t>
            </w:r>
          </w:p>
          <w:p>
            <w:pPr>
              <w:spacing w:after="40" w:before="60" w:line="259" w:lineRule="auto"/>
            </w:pPr>
            <w:r>
              <w:rPr>
                <w:rFonts w:ascii="Calibri" w:hAnsi="Calibri"/>
                <w:b w:val="0"/>
                <w:i w:val="0"/>
                <w:color w:val="212121"/>
                <w:sz w:val="19"/>
              </w:rPr>
              <w:t>Smoking is an established independent risk factor for fibrosis progression and for hepatocellular and extrahepatic cancers in patients with cirrhosis.</w:t>
            </w:r>
          </w:p>
          <w:p>
            <w:pPr>
              <w:spacing w:after="40" w:line="252" w:lineRule="auto"/>
            </w:pPr>
            <w:hyperlink r:id="rId14">
              <w:r>
                <w:rPr>
                  <w:rFonts w:ascii="Calibri" w:hAnsi="Calibri" w:cs="Calibri"/>
                  <w:sz w:val="18"/>
                  <w:color w:val="1155CC"/>
                  <w:u w:val="single"/>
                </w:rPr>
                <w:t xml:space="preserve">journal-of-hepatology.eu - Cigarette smoking and liver diseases</w:t>
              </w:r>
            </w:hyperlink>
          </w:p>
          <w:p>
            <w:pPr>
              <w:spacing w:before="60" w:after="40"/>
            </w:pPr>
            <w:r>
              <w:rPr>
                <w:rFonts w:ascii="Calibri" w:hAnsi="Calibri"/>
                <w:b w:val="0"/>
                <w:i w:val="0"/>
                <w:color w:val="5A5A5A"/>
                <w:sz w:val="18"/>
              </w:rPr>
              <w:t>#smoking  #tobacco  #oxidativestress  #fibrosisprogression  #HCC</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sugar / fructose diet</w:t>
            </w:r>
          </w:p>
        </w:tc>
        <w:tc>
          <w:tcPr>
            <w:tcW w:type="dxa" w:w="2160"/>
            <w:vAlign w:val="top"/>
          </w:tcPr>
          <w:p>
            <w:pPr>
              <w:spacing w:after="40" w:before="0" w:line="259" w:lineRule="auto"/>
            </w:pPr>
            <w:r>
              <w:rPr>
                <w:rFonts w:ascii="Calibri" w:hAnsi="Calibri"/>
                <w:b w:val="0"/>
                <w:i w:val="0"/>
                <w:color w:val="212121"/>
                <w:sz w:val="19"/>
              </w:rPr>
              <w:t>High intake of sugar-sweetened beverages and refined carbohydrates</w:t>
            </w:r>
          </w:p>
        </w:tc>
        <w:tc>
          <w:tcPr>
            <w:tcW w:type="dxa" w:w="4276"/>
            <w:vAlign w:val="top"/>
          </w:tcPr>
          <w:p>
            <w:pPr>
              <w:spacing w:after="60" w:line="259" w:lineRule="auto"/>
            </w:pPr>
            <w:r>
              <w:rPr>
                <w:rFonts w:ascii="Calibri" w:hAnsi="Calibri"/>
                <w:b w:val="0"/>
                <w:i w:val="0"/>
                <w:color w:val="212121"/>
                <w:sz w:val="19"/>
              </w:rPr>
              <w:t>Fructose from sugary drinks and refined-carbohydrate, high-glycaemic Indian diets promotes de novo hepatic lipogenesis, insulin resistance and steatohepatitis, driving MASLD toward fibrosis and cirrhosis.</w:t>
            </w:r>
          </w:p>
          <w:p>
            <w:pPr>
              <w:spacing w:after="40" w:before="60" w:line="259" w:lineRule="auto"/>
            </w:pPr>
            <w:r>
              <w:rPr>
                <w:rFonts w:ascii="Calibri" w:hAnsi="Calibri"/>
                <w:b w:val="0"/>
                <w:i w:val="0"/>
                <w:color w:val="212121"/>
                <w:sz w:val="19"/>
              </w:rPr>
              <w:t>MASLD, strongly linked to high sugar/refined-carbohydrate intake and obesity, has a South Asian adult prevalence of about 25% and rises further in obese and diabetic groups.</w:t>
            </w:r>
          </w:p>
          <w:p>
            <w:pPr>
              <w:spacing w:after="40" w:line="252" w:lineRule="auto"/>
            </w:pPr>
            <w:hyperlink r:id="rId13">
              <w:r>
                <w:rPr>
                  <w:rFonts w:ascii="Calibri" w:hAnsi="Calibri" w:cs="Calibri"/>
                  <w:sz w:val="18"/>
                  <w:color w:val="1155CC"/>
                  <w:u w:val="single"/>
                </w:rPr>
                <w:t xml:space="preserve">medrxiv.org - NAFLD in the South Asian Region: meta-analysis</w:t>
              </w:r>
            </w:hyperlink>
          </w:p>
          <w:p>
            <w:pPr>
              <w:spacing w:before="60" w:after="40"/>
            </w:pPr>
            <w:r>
              <w:rPr>
                <w:rFonts w:ascii="Calibri" w:hAnsi="Calibri"/>
                <w:b w:val="0"/>
                <w:i w:val="0"/>
                <w:color w:val="5A5A5A"/>
                <w:sz w:val="18"/>
              </w:rPr>
              <w:t>#fructose  #sugarsweetened  #refinedcarbs  #denovolipogenesis  #MASLD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Contaminated food / water &amp; toxins</w:t>
            </w:r>
          </w:p>
        </w:tc>
        <w:tc>
          <w:tcPr>
            <w:tcW w:type="dxa" w:w="2160"/>
            <w:vAlign w:val="top"/>
          </w:tcPr>
          <w:p>
            <w:pPr>
              <w:spacing w:after="40" w:before="0" w:line="259" w:lineRule="auto"/>
            </w:pPr>
            <w:r>
              <w:rPr>
                <w:rFonts w:ascii="Calibri" w:hAnsi="Calibri"/>
                <w:b w:val="0"/>
                <w:i w:val="0"/>
                <w:color w:val="212121"/>
                <w:sz w:val="19"/>
              </w:rPr>
              <w:t>Exposure to unsafe water, aflatoxin and hepatotoxic remedies</w:t>
            </w:r>
          </w:p>
        </w:tc>
        <w:tc>
          <w:tcPr>
            <w:tcW w:type="dxa" w:w="4276"/>
            <w:vAlign w:val="top"/>
          </w:tcPr>
          <w:p>
            <w:pPr>
              <w:spacing w:after="60" w:line="259" w:lineRule="auto"/>
            </w:pPr>
            <w:r>
              <w:rPr>
                <w:rFonts w:ascii="Calibri" w:hAnsi="Calibri"/>
                <w:b w:val="0"/>
                <w:i w:val="0"/>
                <w:color w:val="212121"/>
                <w:sz w:val="19"/>
              </w:rPr>
              <w:t>Faeco-orally transmitted hepatitis A and E from unsafe water can precipitate acute-on-chronic liver failure in existing cirrhosis, aflatoxin-contaminated grains/nuts promote hepatocellular carcinoma (synergistic with HBV), and unregulated herbal / indigenous remedies cause hepatotoxic injury.</w:t>
            </w:r>
          </w:p>
          <w:p>
            <w:pPr>
              <w:spacing w:after="40" w:before="60" w:line="259" w:lineRule="auto"/>
            </w:pPr>
            <w:r>
              <w:rPr>
                <w:rFonts w:ascii="Calibri" w:hAnsi="Calibri"/>
                <w:b w:val="0"/>
                <w:i w:val="0"/>
                <w:color w:val="212121"/>
                <w:sz w:val="19"/>
              </w:rPr>
              <w:t>Hepatitis E superinfection is a well-recognised precipitant of acute-on-chronic liver failure and decompensation in Indian cirrhosis patients.</w:t>
            </w:r>
          </w:p>
          <w:p>
            <w:pPr>
              <w:spacing w:after="40" w:line="252" w:lineRule="auto"/>
            </w:pPr>
            <w:hyperlink r:id="rId15">
              <w:r>
                <w:rPr>
                  <w:rFonts w:ascii="Calibri" w:hAnsi="Calibri" w:cs="Calibri"/>
                  <w:sz w:val="18"/>
                  <w:color w:val="1155CC"/>
                  <w:u w:val="single"/>
                </w:rPr>
                <w:t xml:space="preserve">theliverfoundationindia.org - Liver disease in adults</w:t>
              </w:r>
            </w:hyperlink>
          </w:p>
          <w:p>
            <w:pPr>
              <w:spacing w:before="60" w:after="40"/>
            </w:pPr>
            <w:r>
              <w:rPr>
                <w:rFonts w:ascii="Calibri" w:hAnsi="Calibri"/>
                <w:b w:val="0"/>
                <w:i w:val="0"/>
                <w:color w:val="5A5A5A"/>
                <w:sz w:val="18"/>
              </w:rPr>
              <w:t>#hepatitisE  #aflatoxin  #unsafewater  #herbalhepatotoxicity  #ACLF</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inherited disorders</w:t>
            </w:r>
          </w:p>
        </w:tc>
        <w:tc>
          <w:tcPr>
            <w:tcW w:type="dxa" w:w="2160"/>
            <w:vAlign w:val="top"/>
          </w:tcPr>
          <w:p>
            <w:pPr>
              <w:spacing w:after="40" w:before="0" w:line="259" w:lineRule="auto"/>
            </w:pPr>
            <w:r>
              <w:rPr>
                <w:rFonts w:ascii="Calibri" w:hAnsi="Calibri"/>
                <w:b w:val="0"/>
                <w:i w:val="0"/>
                <w:color w:val="212121"/>
                <w:sz w:val="19"/>
              </w:rPr>
              <w:t>PNPLA3 carriers, Wilson disease, haemochromatosis</w:t>
            </w:r>
          </w:p>
        </w:tc>
        <w:tc>
          <w:tcPr>
            <w:tcW w:type="dxa" w:w="4276"/>
            <w:vAlign w:val="top"/>
          </w:tcPr>
          <w:p>
            <w:pPr>
              <w:spacing w:after="60" w:line="259" w:lineRule="auto"/>
            </w:pPr>
            <w:r>
              <w:rPr>
                <w:rFonts w:ascii="Calibri" w:hAnsi="Calibri"/>
                <w:b w:val="0"/>
                <w:i w:val="0"/>
                <w:color w:val="212121"/>
                <w:sz w:val="19"/>
              </w:rPr>
              <w:t>Inherited variants strongly modify risk: the PNPLA3 I148M variant (common in Indians) accentuates steatohepatitis and fibrosis, while monogenic disorders - Wilson disease (copper) and hereditary haemochromatosis (iron) - directly cause cirrhosis and cluster in families.</w:t>
            </w:r>
          </w:p>
          <w:p>
            <w:pPr>
              <w:spacing w:after="40" w:before="60" w:line="259" w:lineRule="auto"/>
            </w:pPr>
            <w:r>
              <w:rPr>
                <w:rFonts w:ascii="Calibri" w:hAnsi="Calibri"/>
                <w:b w:val="0"/>
                <w:i w:val="0"/>
                <w:color w:val="212121"/>
                <w:sz w:val="19"/>
              </w:rPr>
              <w:t>Wilson disease is an important cause of cirrhosis in young Indian patients, and a family history of liver disease warrants screening for inherited metabolic causes.</w:t>
            </w:r>
          </w:p>
          <w:p>
            <w:pPr>
              <w:spacing w:after="40" w:line="252" w:lineRule="auto"/>
            </w:pPr>
            <w:hyperlink r:id="rId16">
              <w:r>
                <w:rPr>
                  <w:rFonts w:ascii="Calibri" w:hAnsi="Calibri" w:cs="Calibri"/>
                  <w:sz w:val="18"/>
                  <w:color w:val="1155CC"/>
                  <w:u w:val="single"/>
                </w:rPr>
                <w:t xml:space="preserve">sciencedirect.com - Etiological spectrum of cirrhosis in India (meta-analysis)</w:t>
              </w:r>
            </w:hyperlink>
          </w:p>
          <w:p>
            <w:pPr>
              <w:spacing w:before="60" w:after="40"/>
            </w:pPr>
            <w:r>
              <w:rPr>
                <w:rFonts w:ascii="Calibri" w:hAnsi="Calibri"/>
                <w:b w:val="0"/>
                <w:i w:val="0"/>
                <w:color w:val="5A5A5A"/>
                <w:sz w:val="18"/>
              </w:rPr>
              <w:t>#PNPLA3  #Wilsondisease  #haemochromatosis  #familyhistory  #genetic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 / metabolic syndrome</w:t>
            </w:r>
          </w:p>
        </w:tc>
        <w:tc>
          <w:tcPr>
            <w:tcW w:type="dxa" w:w="2160"/>
            <w:vAlign w:val="top"/>
          </w:tcPr>
          <w:p>
            <w:pPr>
              <w:spacing w:after="40" w:before="0" w:line="259" w:lineRule="auto"/>
            </w:pPr>
            <w:r>
              <w:rPr>
                <w:rFonts w:ascii="Calibri" w:hAnsi="Calibri"/>
                <w:b w:val="0"/>
                <w:i w:val="0"/>
                <w:color w:val="212121"/>
                <w:sz w:val="19"/>
              </w:rPr>
              <w:t>Patients with diabetes and metabolic syndrome</w:t>
            </w:r>
          </w:p>
        </w:tc>
        <w:tc>
          <w:tcPr>
            <w:tcW w:type="dxa" w:w="4276"/>
            <w:vAlign w:val="top"/>
          </w:tcPr>
          <w:p>
            <w:pPr>
              <w:spacing w:after="60" w:line="259" w:lineRule="auto"/>
            </w:pPr>
            <w:r>
              <w:rPr>
                <w:rFonts w:ascii="Calibri" w:hAnsi="Calibri"/>
                <w:b w:val="0"/>
                <w:i w:val="0"/>
                <w:color w:val="212121"/>
                <w:sz w:val="19"/>
              </w:rPr>
              <w:t>Insulin resistance links diabetes and metabolic syndrome to MASLD, accelerating steatohepatitis, fibrosis and cirrhosis; diabetes also increases hepatocellular carcinoma risk and worsens cirrhosis outcomes, while cirrhosis itself causes 'hepatogenous' diabetes - a bidirectional loop.</w:t>
            </w:r>
          </w:p>
          <w:p>
            <w:pPr>
              <w:spacing w:after="40" w:before="60" w:line="259" w:lineRule="auto"/>
            </w:pPr>
            <w:r>
              <w:rPr>
                <w:rFonts w:ascii="Calibri" w:hAnsi="Calibri"/>
                <w:b w:val="0"/>
                <w:i w:val="0"/>
                <w:color w:val="212121"/>
                <w:sz w:val="19"/>
              </w:rPr>
              <w:t>Diabetes was recorded in 11.7% of newly diagnosed Indian CLD patients, and NAFLD/MASLD prevalence is markedly higher in people with type 2 diabetes.</w:t>
            </w:r>
          </w:p>
          <w:p>
            <w:pPr>
              <w:spacing w:after="40" w:line="252" w:lineRule="auto"/>
            </w:pPr>
            <w:hyperlink r:id="rId9">
              <w:r>
                <w:rPr>
                  <w:rFonts w:ascii="Calibri" w:hAnsi="Calibri" w:cs="Calibri"/>
                  <w:sz w:val="18"/>
                  <w:color w:val="1155CC"/>
                  <w:u w:val="single"/>
                </w:rPr>
                <w:t xml:space="preserve">journals.plos.org - Etiology of chronic liver diseases in India (multicentric)</w:t>
              </w:r>
            </w:hyperlink>
          </w:p>
          <w:p>
            <w:pPr>
              <w:spacing w:before="60" w:after="40"/>
            </w:pPr>
            <w:r>
              <w:rPr>
                <w:rFonts w:ascii="Calibri" w:hAnsi="Calibri"/>
                <w:b w:val="0"/>
                <w:i w:val="0"/>
                <w:color w:val="5A5A5A"/>
                <w:sz w:val="18"/>
              </w:rPr>
              <w:t>#type2diabetes  #metabolicsyndrome  #insulinresistance  #hepatogenousdiabetes  #MASLD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Overweight and obese individuals</w:t>
            </w:r>
          </w:p>
        </w:tc>
        <w:tc>
          <w:tcPr>
            <w:tcW w:type="dxa" w:w="4276"/>
            <w:vAlign w:val="top"/>
          </w:tcPr>
          <w:p>
            <w:pPr>
              <w:spacing w:after="60" w:line="259" w:lineRule="auto"/>
            </w:pPr>
            <w:r>
              <w:rPr>
                <w:rFonts w:ascii="Calibri" w:hAnsi="Calibri"/>
                <w:b w:val="0"/>
                <w:i w:val="0"/>
                <w:color w:val="212121"/>
                <w:sz w:val="19"/>
              </w:rPr>
              <w:t>Central obesity supplies free fatty acids and pro-inflammatory adipokines that drive hepatic steatosis, lipotoxicity and steatohepatitis; obesity also acts synergistically with alcohol and viral hepatitis to accelerate fibrosis.</w:t>
            </w:r>
          </w:p>
          <w:p>
            <w:pPr>
              <w:spacing w:after="40" w:before="60" w:line="259" w:lineRule="auto"/>
            </w:pPr>
            <w:r>
              <w:rPr>
                <w:rFonts w:ascii="Calibri" w:hAnsi="Calibri"/>
                <w:b w:val="0"/>
                <w:i w:val="0"/>
                <w:color w:val="212121"/>
                <w:sz w:val="19"/>
              </w:rPr>
              <w:t>Obesity is the principal driver of MASLD, which has a pooled South Asian adult prevalence of about 25% and is the fastest-rising cause of cirrhosis in India.</w:t>
            </w:r>
          </w:p>
          <w:p>
            <w:pPr>
              <w:spacing w:after="40" w:line="252" w:lineRule="auto"/>
            </w:pPr>
            <w:hyperlink r:id="rId13">
              <w:r>
                <w:rPr>
                  <w:rFonts w:ascii="Calibri" w:hAnsi="Calibri" w:cs="Calibri"/>
                  <w:sz w:val="18"/>
                  <w:color w:val="1155CC"/>
                  <w:u w:val="single"/>
                </w:rPr>
                <w:t xml:space="preserve">medrxiv.org - NAFLD in the South Asian Region: meta-analysis</w:t>
              </w:r>
            </w:hyperlink>
          </w:p>
          <w:p>
            <w:pPr>
              <w:spacing w:before="60" w:after="40"/>
            </w:pPr>
            <w:r>
              <w:rPr>
                <w:rFonts w:ascii="Calibri" w:hAnsi="Calibri"/>
                <w:b w:val="0"/>
                <w:i w:val="0"/>
                <w:color w:val="5A5A5A"/>
                <w:sz w:val="18"/>
              </w:rPr>
              <w:t>#obesity  #centraladiposity  #adipokines  #lipotoxicity  #MASH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hepatitis B</w:t>
            </w:r>
          </w:p>
        </w:tc>
        <w:tc>
          <w:tcPr>
            <w:tcW w:type="dxa" w:w="2160"/>
            <w:vAlign w:val="top"/>
          </w:tcPr>
          <w:p>
            <w:pPr>
              <w:spacing w:after="40" w:before="0" w:line="259" w:lineRule="auto"/>
            </w:pPr>
            <w:r>
              <w:rPr>
                <w:rFonts w:ascii="Calibri" w:hAnsi="Calibri"/>
                <w:b w:val="0"/>
                <w:i w:val="0"/>
                <w:color w:val="212121"/>
                <w:sz w:val="19"/>
              </w:rPr>
              <w:t>Chronic HBsAg-positive carriers</w:t>
            </w:r>
          </w:p>
        </w:tc>
        <w:tc>
          <w:tcPr>
            <w:tcW w:type="dxa" w:w="4276"/>
            <w:vAlign w:val="top"/>
          </w:tcPr>
          <w:p>
            <w:pPr>
              <w:spacing w:after="60" w:line="259" w:lineRule="auto"/>
            </w:pPr>
            <w:r>
              <w:rPr>
                <w:rFonts w:ascii="Calibri" w:hAnsi="Calibri"/>
                <w:b w:val="0"/>
                <w:i w:val="0"/>
                <w:color w:val="212121"/>
                <w:sz w:val="19"/>
              </w:rPr>
              <w:t>Persistent hepatitis B infection causes ongoing immune-mediated hepatocyte injury and fibrosis and directly promotes hepatocellular carcinoma even without cirrhosis; it is a leading cause of cirrhosis in eastern and southern India.</w:t>
            </w:r>
          </w:p>
          <w:p>
            <w:pPr>
              <w:spacing w:after="40" w:before="60" w:line="259" w:lineRule="auto"/>
            </w:pPr>
            <w:r>
              <w:rPr>
                <w:rFonts w:ascii="Calibri" w:hAnsi="Calibri"/>
                <w:b w:val="0"/>
                <w:i w:val="0"/>
                <w:color w:val="212121"/>
                <w:sz w:val="19"/>
              </w:rPr>
              <w:t>An estimated 29.8 million Indians live with chronic hepatitis B (national HBsAg ~0.95%), and HBV caused about a third of chronic liver disease in the multicentric study.</w:t>
            </w:r>
          </w:p>
          <w:p>
            <w:pPr>
              <w:spacing w:after="40" w:line="252" w:lineRule="auto"/>
            </w:pPr>
            <w:hyperlink r:id="rId12">
              <w:r>
                <w:rPr>
                  <w:rFonts w:ascii="Calibri" w:hAnsi="Calibri" w:cs="Calibri"/>
                  <w:sz w:val="18"/>
                  <w:color w:val="1155CC"/>
                  <w:u w:val="single"/>
                </w:rPr>
                <w:t xml:space="preserve">link.springer.com - Hepatitis B virus prevalence in India</w:t>
              </w:r>
            </w:hyperlink>
          </w:p>
          <w:p>
            <w:pPr>
              <w:spacing w:before="60" w:after="40"/>
            </w:pPr>
            <w:r>
              <w:rPr>
                <w:rFonts w:ascii="Calibri" w:hAnsi="Calibri"/>
                <w:b w:val="0"/>
                <w:i w:val="0"/>
                <w:color w:val="5A5A5A"/>
                <w:sz w:val="18"/>
              </w:rPr>
              <w:t>#hepatitisB  #HBsAg  #viralhepatitis  #HCC  #chroniccarrier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hepatitis C / MASLD</w:t>
            </w:r>
          </w:p>
        </w:tc>
        <w:tc>
          <w:tcPr>
            <w:tcW w:type="dxa" w:w="2160"/>
            <w:vAlign w:val="top"/>
          </w:tcPr>
          <w:p>
            <w:pPr>
              <w:spacing w:after="40" w:before="0" w:line="259" w:lineRule="auto"/>
            </w:pPr>
            <w:r>
              <w:rPr>
                <w:rFonts w:ascii="Calibri" w:hAnsi="Calibri"/>
                <w:b w:val="0"/>
                <w:i w:val="0"/>
                <w:color w:val="212121"/>
                <w:sz w:val="19"/>
              </w:rPr>
              <w:t>Chronic HCV infection and established MASLD</w:t>
            </w:r>
          </w:p>
        </w:tc>
        <w:tc>
          <w:tcPr>
            <w:tcW w:type="dxa" w:w="4276"/>
            <w:vAlign w:val="top"/>
          </w:tcPr>
          <w:p>
            <w:pPr>
              <w:spacing w:after="60" w:line="259" w:lineRule="auto"/>
            </w:pPr>
            <w:r>
              <w:rPr>
                <w:rFonts w:ascii="Calibri" w:hAnsi="Calibri"/>
                <w:b w:val="0"/>
                <w:i w:val="0"/>
                <w:color w:val="212121"/>
                <w:sz w:val="19"/>
              </w:rPr>
              <w:t>Chronic hepatitis C sustains hepatic inflammation and fibrosis (now largely curable with direct-acting antivirals), and established MASLD/MASH is itself a precursor lesion that progresses through advancing fibrosis to cirrhosis and cryptogenic cirrhosis.</w:t>
            </w:r>
          </w:p>
          <w:p>
            <w:pPr>
              <w:spacing w:after="40" w:before="60" w:line="259" w:lineRule="auto"/>
            </w:pPr>
            <w:r>
              <w:rPr>
                <w:rFonts w:ascii="Calibri" w:hAnsi="Calibri"/>
                <w:b w:val="0"/>
                <w:i w:val="0"/>
                <w:color w:val="212121"/>
                <w:sz w:val="19"/>
              </w:rPr>
              <w:t>About 12 million Indians have chronic hepatitis C (population prevalence ~1%), and hepatitis C is the leading cause of CLD in northern India (44.9%).</w:t>
            </w:r>
          </w:p>
          <w:p>
            <w:pPr>
              <w:spacing w:after="40" w:line="252" w:lineRule="auto"/>
            </w:pPr>
            <w:hyperlink r:id="rId15">
              <w:r>
                <w:rPr>
                  <w:rFonts w:ascii="Calibri" w:hAnsi="Calibri" w:cs="Calibri"/>
                  <w:sz w:val="18"/>
                  <w:color w:val="1155CC"/>
                  <w:u w:val="single"/>
                </w:rPr>
                <w:t xml:space="preserve">theliverfoundationindia.org - Liver disease in adults</w:t>
              </w:r>
            </w:hyperlink>
          </w:p>
          <w:p>
            <w:pPr>
              <w:spacing w:before="60" w:after="40"/>
            </w:pPr>
            <w:r>
              <w:rPr>
                <w:rFonts w:ascii="Calibri" w:hAnsi="Calibri"/>
                <w:b w:val="0"/>
                <w:i w:val="0"/>
                <w:color w:val="5A5A5A"/>
                <w:sz w:val="18"/>
              </w:rPr>
              <w:t>#hepatitisC  #DAAs  #MASH  #fibrosisprogression  #cryptogenic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promotes visceral adiposity, insulin resistance and hepatic steatosis that drive MASLD to fibrosis; regular aerobic and resistance exercise reduces liver fat, improves insulin sensitivity and combats the sarcopenia that independently worsens survival in cirrhosis.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Energy-dense, high-fructose and refined-carbohydrate diets promote steatohepatitis and fibrosis, while in established cirrhosis adequate protein and calories are essential to prevent sarcopenia; excess salt precipitates ascites and dietary aflatoxin raises hepatocellular carcinoma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sleep, poor sleep quality and obstructive sleep apnoea are associated with obesity, insulin resistance and more severe MASLD; in decompensated cirrhosis, reversal of the sleep-wake cycle and daytime somnolence are early features of hepatic encephalopathy.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Cigarette smoking generates oxidative stress and pro-fibrotic signalling that accelerate fibrosis progression, especially with concurrent alcohol, viral hepatitis or MASLD, and independently increases hepatocellular and extrahepatic cancer risk in cirrhosis.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the leading cause of cirrhosis in India; risk rises with dose and duration (broadly &gt; 60 g/day in men, &gt; 20 g/day in women), and any continued drinking accelerates decompensation and worsens survival, so complete abstinence is the single most important intervention.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anxiety and alcohol-use disorder both drive harmful drinking and follow the disability of chronic liver disease; psychological support and de-addiction improve abstinence, adherence and outcomes, while hepatic encephalopathy itself causes cognitive and mood disturbance.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Unsafe water transmits hepatitis A and E, which can precipitate acute-on-chronic liver failure in cirrhosis; in decompensated disease with dilutional hyponatraemia, by contrast, fluid may need restriction, so hydration must be individualised.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coffee consumption is consistently associated with less fibrosis and a lower risk of cirrhosis and hepatocellular carcinoma; a meta-analysis found any coffee intake reduced cirrhosis risk with an odds ratio of about 0.61 (39% reduction).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Safe injection practice, blood-product screening, hand and food hygiene and vaccination prevent the viral hepatitis (B, C, A, E) that causes and destabilises cirrhosis; poor hygiene and unsafe procedures remain important transmission routes in India.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Decompensation and acute-on-chronic liver failure are frequently precipitated by infection (including spontaneous bacterial peritonitis), gastrointestinal bleeding, constipation, dehydration, hepatotoxic or sedative drugs, NSAIDs, dietary indiscretion and superimposed hepatitis - most of which are preventable.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(g/day)</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0 g/day (abstinence in liver disease)</w:t>
            </w:r>
          </w:p>
        </w:tc>
        <w:tc>
          <w:tcPr>
            <w:tcW w:type="dxa" w:w="1512"/>
            <w:vAlign w:val="top"/>
          </w:tcPr>
          <w:p>
            <w:pPr>
              <w:spacing w:after="40" w:before="0" w:line="259" w:lineRule="auto"/>
            </w:pPr>
            <w:r>
              <w:rPr>
                <w:rFonts w:ascii="Calibri" w:hAnsi="Calibri"/>
                <w:b w:val="0"/>
                <w:i w:val="0"/>
                <w:color w:val="212121"/>
                <w:sz w:val="19"/>
              </w:rPr>
              <w:t>&gt; 60 g/day (men); &gt; 20 g/day (women)</w:t>
            </w:r>
          </w:p>
        </w:tc>
        <w:tc>
          <w:tcPr>
            <w:tcW w:type="dxa" w:w="1468"/>
            <w:vAlign w:val="top"/>
          </w:tcPr>
          <w:p>
            <w:pPr>
              <w:spacing w:after="60" w:line="259" w:lineRule="auto"/>
            </w:pPr>
            <w:r>
              <w:rPr>
                <w:rFonts w:ascii="Calibri" w:hAnsi="Calibri"/>
                <w:b w:val="0"/>
                <w:i w:val="0"/>
                <w:color w:val="212121"/>
                <w:sz w:val="19"/>
              </w:rPr>
              <w:t>Cirrhosis risk rises with dose and duration; abstinence is essential once liver disease is present.</w:t>
            </w:r>
          </w:p>
          <w:p>
            <w:pPr>
              <w:spacing w:after="40" w:line="252" w:lineRule="auto"/>
            </w:pPr>
            <w:hyperlink r:id="rId11">
              <w:r>
                <w:rPr>
                  <w:rFonts w:ascii="Calibri" w:hAnsi="Calibri" w:cs="Calibri"/>
                  <w:sz w:val="18"/>
                  <w:color w:val="1155CC"/>
                  <w:u w:val="single"/>
                </w:rPr>
                <w:t xml:space="preserve">https://my.clevelandclinic.org/departments/digestive/medical-professionals/hepatology/alcoholic-liver-disease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 at risk</w:t>
            </w:r>
          </w:p>
        </w:tc>
        <w:tc>
          <w:tcPr>
            <w:tcW w:type="dxa" w:w="1512"/>
            <w:vAlign w:val="top"/>
          </w:tcPr>
          <w:p>
            <w:pPr>
              <w:spacing w:after="40" w:before="0" w:line="259" w:lineRule="auto"/>
            </w:pPr>
            <w:r>
              <w:rPr>
                <w:rFonts w:ascii="Calibri" w:hAnsi="Calibri"/>
                <w:b w:val="0"/>
                <w:i w:val="0"/>
                <w:color w:val="212121"/>
                <w:sz w:val="19"/>
              </w:rPr>
              <w:t>0 in established liver disease</w:t>
            </w:r>
          </w:p>
        </w:tc>
        <w:tc>
          <w:tcPr>
            <w:tcW w:type="dxa" w:w="1512"/>
            <w:vAlign w:val="top"/>
          </w:tcPr>
          <w:p>
            <w:pPr>
              <w:spacing w:after="40" w:before="0" w:line="259" w:lineRule="auto"/>
            </w:pPr>
            <w:r>
              <w:rPr>
                <w:rFonts w:ascii="Calibri" w:hAnsi="Calibri"/>
                <w:b w:val="0"/>
                <w:i w:val="0"/>
                <w:color w:val="212121"/>
                <w:sz w:val="19"/>
              </w:rPr>
              <w:t>Regular / daily heavy intake</w:t>
            </w:r>
          </w:p>
        </w:tc>
        <w:tc>
          <w:tcPr>
            <w:tcW w:type="dxa" w:w="1468"/>
            <w:vAlign w:val="top"/>
          </w:tcPr>
          <w:p>
            <w:pPr>
              <w:spacing w:after="60" w:line="259" w:lineRule="auto"/>
            </w:pPr>
            <w:r>
              <w:rPr>
                <w:rFonts w:ascii="Calibri" w:hAnsi="Calibri"/>
                <w:b w:val="0"/>
                <w:i w:val="0"/>
                <w:color w:val="212121"/>
                <w:sz w:val="19"/>
              </w:rPr>
              <w:t>One standard drink is about 14 g of alcohol; no safe level once fibrosis or cirrhosis exists.</w:t>
            </w:r>
          </w:p>
          <w:p>
            <w:pPr>
              <w:spacing w:after="40" w:line="252" w:lineRule="auto"/>
            </w:pPr>
            <w:hyperlink r:id="rId11">
              <w:r>
                <w:rPr>
                  <w:rFonts w:ascii="Calibri" w:hAnsi="Calibri" w:cs="Calibri"/>
                  <w:sz w:val="18"/>
                  <w:color w:val="1155CC"/>
                  <w:u w:val="single"/>
                </w:rPr>
                <w:t xml:space="preserve">https://my.clevelandclinic.org/departments/digestive/medical-professionals/hepatology/alcoholic-liver-disease</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(Asian Indian cut-offs)</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Lower Asian-Indian thresholds reflect steatohepatitis risk at modest BMI (thin-fat phenotype).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MASLD risk</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40" w:before="0" w:line="259" w:lineRule="auto"/>
            </w:pPr>
            <w:r>
              <w:rPr>
                <w:rFonts w:ascii="Calibri" w:hAnsi="Calibri"/>
                <w:b w:val="0"/>
                <w:i w:val="0"/>
                <w:color w:val="212121"/>
                <w:sz w:val="19"/>
              </w:rPr>
              <w:t>Central adiposity drives insulin resistance and hepatic steatosis at lower cut-offs in Indians.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MASLD, cirrhosis</w:t>
            </w:r>
          </w:p>
        </w:tc>
        <w:tc>
          <w:tcPr>
            <w:tcW w:type="dxa" w:w="1512"/>
            <w:vAlign w:val="top"/>
          </w:tcPr>
          <w:p>
            <w:pPr>
              <w:spacing w:after="40" w:before="0" w:line="259" w:lineRule="auto"/>
            </w:pPr>
            <w:r>
              <w:rPr>
                <w:rFonts w:ascii="Calibri" w:hAnsi="Calibri"/>
                <w:b w:val="0"/>
                <w:i w:val="0"/>
                <w:color w:val="212121"/>
                <w:sz w:val="19"/>
              </w:rPr>
              <w:t>&gt;= 150 min/week + resistance training</w:t>
            </w:r>
          </w:p>
        </w:tc>
        <w:tc>
          <w:tcPr>
            <w:tcW w:type="dxa" w:w="1512"/>
            <w:vAlign w:val="top"/>
          </w:tcPr>
          <w:p>
            <w:pPr>
              <w:spacing w:after="40" w:before="0" w:line="259" w:lineRule="auto"/>
            </w:pPr>
            <w:r>
              <w:rPr>
                <w:rFonts w:ascii="Calibri" w:hAnsi="Calibri"/>
                <w:b w:val="0"/>
                <w:i w:val="0"/>
                <w:color w:val="212121"/>
                <w:sz w:val="19"/>
              </w:rPr>
              <w:t>&lt; 150 min/week; sedentary</w:t>
            </w:r>
          </w:p>
        </w:tc>
        <w:tc>
          <w:tcPr>
            <w:tcW w:type="dxa" w:w="1468"/>
            <w:vAlign w:val="top"/>
          </w:tcPr>
          <w:p>
            <w:pPr>
              <w:spacing w:after="40" w:before="0" w:line="259" w:lineRule="auto"/>
            </w:pPr>
            <w:r>
              <w:rPr>
                <w:rFonts w:ascii="Calibri" w:hAnsi="Calibri"/>
                <w:b w:val="0"/>
                <w:i w:val="0"/>
                <w:color w:val="212121"/>
                <w:sz w:val="19"/>
              </w:rPr>
              <w:t>Exercise reduces liver fat and combats sarcopenia; tailor to Child-Pugh stage.</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Coffee consumption (cups/day)</w:t>
            </w:r>
          </w:p>
        </w:tc>
        <w:tc>
          <w:tcPr>
            <w:tcW w:type="dxa" w:w="1655"/>
            <w:vAlign w:val="top"/>
          </w:tcPr>
          <w:p>
            <w:pPr>
              <w:spacing w:after="40" w:before="0" w:line="259" w:lineRule="auto"/>
            </w:pPr>
            <w:r>
              <w:rPr>
                <w:rFonts w:ascii="Calibri" w:hAnsi="Calibri"/>
                <w:b w:val="0"/>
                <w:i w:val="0"/>
                <w:color w:val="212121"/>
                <w:sz w:val="19"/>
              </w:rPr>
              <w:t>Adults with liver disease</w:t>
            </w:r>
          </w:p>
        </w:tc>
        <w:tc>
          <w:tcPr>
            <w:tcW w:type="dxa" w:w="1512"/>
            <w:vAlign w:val="top"/>
          </w:tcPr>
          <w:p>
            <w:pPr>
              <w:spacing w:after="40" w:before="0" w:line="259" w:lineRule="auto"/>
            </w:pPr>
            <w:r>
              <w:rPr>
                <w:rFonts w:ascii="Calibri" w:hAnsi="Calibri"/>
                <w:b w:val="0"/>
                <w:i w:val="0"/>
                <w:color w:val="212121"/>
                <w:sz w:val="19"/>
              </w:rPr>
              <w:t>2-3 cups/day (if tolerated)</w:t>
            </w:r>
          </w:p>
        </w:tc>
        <w:tc>
          <w:tcPr>
            <w:tcW w:type="dxa" w:w="1512"/>
            <w:vAlign w:val="top"/>
          </w:tcPr>
          <w:p>
            <w:pPr>
              <w:spacing w:after="40" w:before="0" w:line="259" w:lineRule="auto"/>
            </w:pPr>
            <w:r>
              <w:rPr>
                <w:rFonts w:ascii="Calibri" w:hAnsi="Calibri"/>
                <w:b w:val="0"/>
                <w:i w:val="0"/>
                <w:color w:val="212121"/>
                <w:sz w:val="19"/>
              </w:rPr>
              <w:t>No coffee intake</w:t>
            </w:r>
          </w:p>
        </w:tc>
        <w:tc>
          <w:tcPr>
            <w:tcW w:type="dxa" w:w="1468"/>
            <w:vAlign w:val="top"/>
          </w:tcPr>
          <w:p>
            <w:pPr>
              <w:spacing w:after="60" w:line="259" w:lineRule="auto"/>
            </w:pPr>
            <w:r>
              <w:rPr>
                <w:rFonts w:ascii="Calibri" w:hAnsi="Calibri"/>
                <w:b w:val="0"/>
                <w:i w:val="0"/>
                <w:color w:val="212121"/>
                <w:sz w:val="19"/>
              </w:rPr>
              <w:t>Regular coffee is associated with ~39% lower cirrhosis risk (OR ~0.61) and less fibrosis/HCC.</w:t>
            </w:r>
          </w:p>
          <w:p>
            <w:pPr>
              <w:spacing w:after="40" w:line="252" w:lineRule="auto"/>
            </w:pPr>
            <w:hyperlink r:id="rId17">
              <w:r>
                <w:rPr>
                  <w:rFonts w:ascii="Calibri" w:hAnsi="Calibri" w:cs="Calibri"/>
                  <w:sz w:val="18"/>
                  <w:color w:val="1155CC"/>
                  <w:u w:val="single"/>
                </w:rPr>
                <w:t xml:space="preserve">https://pubmed.ncbi.nlm.nih.gov/26556483/</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with CLD</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60" w:line="259" w:lineRule="auto"/>
            </w:pPr>
            <w:r>
              <w:rPr>
                <w:rFonts w:ascii="Calibri" w:hAnsi="Calibri"/>
                <w:b w:val="0"/>
                <w:i w:val="0"/>
                <w:color w:val="212121"/>
                <w:sz w:val="19"/>
              </w:rPr>
              <w:t>Smoking accelerates fibrosis and raises hepatocellular carcinoma risk in cirrhosis.</w:t>
            </w:r>
          </w:p>
          <w:p>
            <w:pPr>
              <w:spacing w:after="40" w:line="252" w:lineRule="auto"/>
            </w:pPr>
            <w:hyperlink r:id="rId14">
              <w:r>
                <w:rPr>
                  <w:rFonts w:ascii="Calibri" w:hAnsi="Calibri" w:cs="Calibri"/>
                  <w:sz w:val="18"/>
                  <w:color w:val="1155CC"/>
                  <w:u w:val="single"/>
                </w:rPr>
                <w:t xml:space="preserve">https://www.journal-of-hepatology.eu/article/S0168-8278(22)00029-0/fulltext</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(salt) intake</w:t>
            </w:r>
          </w:p>
        </w:tc>
        <w:tc>
          <w:tcPr>
            <w:tcW w:type="dxa" w:w="1655"/>
            <w:vAlign w:val="top"/>
          </w:tcPr>
          <w:p>
            <w:pPr>
              <w:spacing w:after="40" w:before="0" w:line="259" w:lineRule="auto"/>
            </w:pPr>
            <w:r>
              <w:rPr>
                <w:rFonts w:ascii="Calibri" w:hAnsi="Calibri"/>
                <w:b w:val="0"/>
                <w:i w:val="0"/>
                <w:color w:val="212121"/>
                <w:sz w:val="19"/>
              </w:rPr>
              <w:t>Cirrhosis with ascites</w:t>
            </w:r>
          </w:p>
        </w:tc>
        <w:tc>
          <w:tcPr>
            <w:tcW w:type="dxa" w:w="1512"/>
            <w:vAlign w:val="top"/>
          </w:tcPr>
          <w:p>
            <w:pPr>
              <w:spacing w:after="40" w:before="0" w:line="259" w:lineRule="auto"/>
            </w:pPr>
            <w:r>
              <w:rPr>
                <w:rFonts w:ascii="Calibri" w:hAnsi="Calibri"/>
                <w:b w:val="0"/>
                <w:i w:val="0"/>
                <w:color w:val="212121"/>
                <w:sz w:val="19"/>
              </w:rPr>
              <w:t>&lt; 2 g sodium (~5 g salt)/day</w:t>
            </w:r>
          </w:p>
        </w:tc>
        <w:tc>
          <w:tcPr>
            <w:tcW w:type="dxa" w:w="1512"/>
            <w:vAlign w:val="top"/>
          </w:tcPr>
          <w:p>
            <w:pPr>
              <w:spacing w:after="40" w:before="0" w:line="259" w:lineRule="auto"/>
            </w:pPr>
            <w:r>
              <w:rPr>
                <w:rFonts w:ascii="Calibri" w:hAnsi="Calibri"/>
                <w:b w:val="0"/>
                <w:i w:val="0"/>
                <w:color w:val="212121"/>
                <w:sz w:val="19"/>
              </w:rPr>
              <w:t>High-salt / pickled / processed diet</w:t>
            </w:r>
          </w:p>
        </w:tc>
        <w:tc>
          <w:tcPr>
            <w:tcW w:type="dxa" w:w="1468"/>
            <w:vAlign w:val="top"/>
          </w:tcPr>
          <w:p>
            <w:pPr>
              <w:spacing w:after="40" w:before="0" w:line="259" w:lineRule="auto"/>
            </w:pPr>
            <w:r>
              <w:rPr>
                <w:rFonts w:ascii="Calibri" w:hAnsi="Calibri"/>
                <w:b w:val="0"/>
                <w:i w:val="0"/>
                <w:color w:val="212121"/>
                <w:sz w:val="19"/>
              </w:rPr>
              <w:t>Sodium restriction is central to controlling ascites and oedema.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Protein intake</w:t>
            </w:r>
          </w:p>
        </w:tc>
        <w:tc>
          <w:tcPr>
            <w:tcW w:type="dxa" w:w="1655"/>
            <w:vAlign w:val="top"/>
          </w:tcPr>
          <w:p>
            <w:pPr>
              <w:spacing w:after="40" w:before="0" w:line="259" w:lineRule="auto"/>
            </w:pPr>
            <w:r>
              <w:rPr>
                <w:rFonts w:ascii="Calibri" w:hAnsi="Calibri"/>
                <w:b w:val="0"/>
                <w:i w:val="0"/>
                <w:color w:val="212121"/>
                <w:sz w:val="19"/>
              </w:rPr>
              <w:t>Cirrhosis (nutrition)</w:t>
            </w:r>
          </w:p>
        </w:tc>
        <w:tc>
          <w:tcPr>
            <w:tcW w:type="dxa" w:w="1512"/>
            <w:vAlign w:val="top"/>
          </w:tcPr>
          <w:p>
            <w:pPr>
              <w:spacing w:after="40" w:before="0" w:line="259" w:lineRule="auto"/>
            </w:pPr>
            <w:r>
              <w:rPr>
                <w:rFonts w:ascii="Calibri" w:hAnsi="Calibri"/>
                <w:b w:val="0"/>
                <w:i w:val="0"/>
                <w:color w:val="212121"/>
                <w:sz w:val="19"/>
              </w:rPr>
              <w:t>1.2-1.5 g/kg/day; late-evening snack</w:t>
            </w:r>
          </w:p>
        </w:tc>
        <w:tc>
          <w:tcPr>
            <w:tcW w:type="dxa" w:w="1512"/>
            <w:vAlign w:val="top"/>
          </w:tcPr>
          <w:p>
            <w:pPr>
              <w:spacing w:after="40" w:before="0" w:line="259" w:lineRule="auto"/>
            </w:pPr>
            <w:r>
              <w:rPr>
                <w:rFonts w:ascii="Calibri" w:hAnsi="Calibri"/>
                <w:b w:val="0"/>
                <w:i w:val="0"/>
                <w:color w:val="212121"/>
                <w:sz w:val="19"/>
              </w:rPr>
              <w:t>Protein restriction / prolonged fasting</w:t>
            </w:r>
          </w:p>
        </w:tc>
        <w:tc>
          <w:tcPr>
            <w:tcW w:type="dxa" w:w="1468"/>
            <w:vAlign w:val="top"/>
          </w:tcPr>
          <w:p>
            <w:pPr>
              <w:spacing w:after="40" w:before="0" w:line="259" w:lineRule="auto"/>
            </w:pPr>
            <w:r>
              <w:rPr>
                <w:rFonts w:ascii="Calibri" w:hAnsi="Calibri"/>
                <w:b w:val="0"/>
                <w:i w:val="0"/>
                <w:color w:val="212121"/>
                <w:sz w:val="19"/>
              </w:rPr>
              <w:t>Adequate protein prevents sarcopenia; routine protein restriction is harmful and outdated.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 / glycaemic control</w:t>
            </w:r>
          </w:p>
        </w:tc>
        <w:tc>
          <w:tcPr>
            <w:tcW w:type="dxa" w:w="1655"/>
            <w:vAlign w:val="top"/>
          </w:tcPr>
          <w:p>
            <w:pPr>
              <w:spacing w:after="40" w:before="0" w:line="259" w:lineRule="auto"/>
            </w:pPr>
            <w:r>
              <w:rPr>
                <w:rFonts w:ascii="Calibri" w:hAnsi="Calibri"/>
                <w:b w:val="0"/>
                <w:i w:val="0"/>
                <w:color w:val="212121"/>
                <w:sz w:val="19"/>
              </w:rPr>
              <w:t>MASLD, diabetic cirrhosis</w:t>
            </w:r>
          </w:p>
        </w:tc>
        <w:tc>
          <w:tcPr>
            <w:tcW w:type="dxa" w:w="1512"/>
            <w:vAlign w:val="top"/>
          </w:tcPr>
          <w:p>
            <w:pPr>
              <w:spacing w:after="40" w:before="0" w:line="259" w:lineRule="auto"/>
            </w:pPr>
            <w:r>
              <w:rPr>
                <w:rFonts w:ascii="Calibri" w:hAnsi="Calibri"/>
                <w:b w:val="0"/>
                <w:i w:val="0"/>
                <w:color w:val="212121"/>
                <w:sz w:val="19"/>
              </w:rPr>
              <w:t>&lt; 7% (individualised)</w:t>
            </w:r>
          </w:p>
        </w:tc>
        <w:tc>
          <w:tcPr>
            <w:tcW w:type="dxa" w:w="1512"/>
            <w:vAlign w:val="top"/>
          </w:tcPr>
          <w:p>
            <w:pPr>
              <w:spacing w:after="40" w:before="0" w:line="259" w:lineRule="auto"/>
            </w:pPr>
            <w:r>
              <w:rPr>
                <w:rFonts w:ascii="Calibri" w:hAnsi="Calibri"/>
                <w:b w:val="0"/>
                <w:i w:val="0"/>
                <w:color w:val="212121"/>
                <w:sz w:val="19"/>
              </w:rPr>
              <w:t>&gt;= 7%</w:t>
            </w:r>
          </w:p>
        </w:tc>
        <w:tc>
          <w:tcPr>
            <w:tcW w:type="dxa" w:w="1468"/>
            <w:vAlign w:val="top"/>
          </w:tcPr>
          <w:p>
            <w:pPr>
              <w:spacing w:after="60" w:line="259" w:lineRule="auto"/>
            </w:pPr>
            <w:r>
              <w:rPr>
                <w:rFonts w:ascii="Calibri" w:hAnsi="Calibri"/>
                <w:b w:val="0"/>
                <w:i w:val="0"/>
                <w:color w:val="212121"/>
                <w:sz w:val="19"/>
              </w:rPr>
              <w:t>Poor glycaemic control accelerates MASLD fibrosis; HbA1c may underestimate in cirrhosis.</w:t>
            </w:r>
          </w:p>
          <w:p>
            <w:pPr>
              <w:spacing w:after="40" w:line="252" w:lineRule="auto"/>
            </w:pPr>
            <w:hyperlink r:id="rId18">
              <w:r>
                <w:rPr>
                  <w:rFonts w:ascii="Calibri" w:hAnsi="Calibri" w:cs="Calibri"/>
                  <w:sz w:val="18"/>
                  <w:color w:val="1155CC"/>
                  <w:u w:val="single"/>
                </w:rPr>
                <w:t xml:space="preserve">https://pmc.ncbi.nlm.nih.gov/articles/PMC2653324/</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 pattern</w:t>
            </w:r>
          </w:p>
        </w:tc>
        <w:tc>
          <w:tcPr>
            <w:tcW w:type="dxa" w:w="1655"/>
            <w:vAlign w:val="top"/>
          </w:tcPr>
          <w:p>
            <w:pPr>
              <w:spacing w:after="40" w:before="0" w:line="259" w:lineRule="auto"/>
            </w:pPr>
            <w:r>
              <w:rPr>
                <w:rFonts w:ascii="Calibri" w:hAnsi="Calibri"/>
                <w:b w:val="0"/>
                <w:i w:val="0"/>
                <w:color w:val="212121"/>
                <w:sz w:val="19"/>
              </w:rPr>
              <w:t>MASLD; decompensated cirrhosis</w:t>
            </w:r>
          </w:p>
        </w:tc>
        <w:tc>
          <w:tcPr>
            <w:tcW w:type="dxa" w:w="1512"/>
            <w:vAlign w:val="top"/>
          </w:tcPr>
          <w:p>
            <w:pPr>
              <w:spacing w:after="40" w:before="0" w:line="259" w:lineRule="auto"/>
            </w:pPr>
            <w:r>
              <w:rPr>
                <w:rFonts w:ascii="Calibri" w:hAnsi="Calibri"/>
                <w:b w:val="0"/>
                <w:i w:val="0"/>
                <w:color w:val="212121"/>
                <w:sz w:val="19"/>
              </w:rPr>
              <w:t>7-9 h, normal sleep-wake cycle</w:t>
            </w:r>
          </w:p>
        </w:tc>
        <w:tc>
          <w:tcPr>
            <w:tcW w:type="dxa" w:w="1512"/>
            <w:vAlign w:val="top"/>
          </w:tcPr>
          <w:p>
            <w:pPr>
              <w:spacing w:after="40" w:before="0" w:line="259" w:lineRule="auto"/>
            </w:pPr>
            <w:r>
              <w:rPr>
                <w:rFonts w:ascii="Calibri" w:hAnsi="Calibri"/>
                <w:b w:val="0"/>
                <w:i w:val="0"/>
                <w:color w:val="212121"/>
                <w:sz w:val="19"/>
              </w:rPr>
              <w:t>&lt; 6 h, day-night reversal</w:t>
            </w:r>
          </w:p>
        </w:tc>
        <w:tc>
          <w:tcPr>
            <w:tcW w:type="dxa" w:w="1468"/>
            <w:vAlign w:val="top"/>
          </w:tcPr>
          <w:p>
            <w:pPr>
              <w:spacing w:after="40" w:before="0" w:line="259" w:lineRule="auto"/>
            </w:pPr>
            <w:r>
              <w:rPr>
                <w:rFonts w:ascii="Calibri" w:hAnsi="Calibri"/>
                <w:b w:val="0"/>
                <w:i w:val="0"/>
                <w:color w:val="212121"/>
                <w:sz w:val="19"/>
              </w:rPr>
              <w:t>Poor sleep worsens metabolic risk; reversed cycle signals early hepatic encephalopathy.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albumin, bilirubin, AST/ALT, ALP, GGT</w:t>
            </w:r>
          </w:p>
        </w:tc>
        <w:tc>
          <w:tcPr>
            <w:tcW w:type="dxa" w:w="892"/>
            <w:vAlign w:val="top"/>
          </w:tcPr>
          <w:p>
            <w:pPr>
              <w:spacing w:after="40" w:before="0" w:line="259" w:lineRule="auto"/>
            </w:pPr>
            <w:r>
              <w:rPr>
                <w:rFonts w:ascii="Calibri" w:hAnsi="Calibri"/>
                <w:b w:val="0"/>
                <w:i w:val="0"/>
                <w:color w:val="212121"/>
                <w:sz w:val="16"/>
              </w:rPr>
              <w:t>Liver function tests</w:t>
            </w:r>
          </w:p>
        </w:tc>
        <w:tc>
          <w:tcPr>
            <w:tcW w:type="dxa" w:w="950"/>
            <w:vAlign w:val="top"/>
          </w:tcPr>
          <w:p>
            <w:pPr>
              <w:spacing w:after="40" w:before="0" w:line="259" w:lineRule="auto"/>
            </w:pPr>
            <w:r>
              <w:rPr>
                <w:rFonts w:ascii="Calibri" w:hAnsi="Calibri"/>
                <w:b w:val="0"/>
                <w:i w:val="0"/>
                <w:color w:val="212121"/>
                <w:sz w:val="16"/>
              </w:rPr>
              <w:t>Albumin 3.5-5.0 g/dL; bilirubin &lt; 1.2 mg/dL; normal transaminases</w:t>
            </w:r>
          </w:p>
        </w:tc>
        <w:tc>
          <w:tcPr>
            <w:tcW w:type="dxa" w:w="950"/>
            <w:vAlign w:val="top"/>
          </w:tcPr>
          <w:p>
            <w:pPr>
              <w:spacing w:after="40" w:before="0" w:line="259" w:lineRule="auto"/>
            </w:pPr>
            <w:r>
              <w:rPr>
                <w:rFonts w:ascii="Calibri" w:hAnsi="Calibri"/>
                <w:b w:val="0"/>
                <w:i w:val="0"/>
                <w:color w:val="212121"/>
                <w:sz w:val="16"/>
              </w:rPr>
              <w:t>Low albumin, high bilirubin; AST:ALT &gt; 1; raised GGT/ALP</w:t>
            </w:r>
          </w:p>
        </w:tc>
        <w:tc>
          <w:tcPr>
            <w:tcW w:type="dxa" w:w="1036"/>
            <w:vAlign w:val="top"/>
          </w:tcPr>
          <w:p>
            <w:pPr>
              <w:spacing w:after="40" w:before="0" w:line="259" w:lineRule="auto"/>
            </w:pPr>
            <w:r>
              <w:rPr>
                <w:rFonts w:ascii="Calibri" w:hAnsi="Calibri"/>
                <w:b w:val="0"/>
                <w:i w:val="0"/>
                <w:color w:val="212121"/>
                <w:sz w:val="16"/>
              </w:rPr>
              <w:t>Low albumin and high bilirubin indicate impaired synthetic and excretory function; AST:ALT &gt; 1 suggests cirrhosis/alcohol</w:t>
            </w:r>
          </w:p>
        </w:tc>
        <w:tc>
          <w:tcPr>
            <w:tcW w:type="dxa" w:w="1036"/>
            <w:vAlign w:val="top"/>
          </w:tcPr>
          <w:p>
            <w:pPr>
              <w:spacing w:after="40" w:before="0" w:line="259" w:lineRule="auto"/>
            </w:pPr>
            <w:r>
              <w:rPr>
                <w:rFonts w:ascii="Calibri" w:hAnsi="Calibri"/>
                <w:b w:val="0"/>
                <w:i w:val="0"/>
                <w:color w:val="212121"/>
                <w:sz w:val="16"/>
              </w:rPr>
              <w:t>All suspected cirrhosis; alcohol, viral, MASLD</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Core / diagnostic</w:t>
            </w:r>
          </w:p>
        </w:tc>
        <w:tc>
          <w:tcPr>
            <w:tcW w:type="dxa" w:w="720"/>
            <w:vAlign w:val="top"/>
          </w:tcPr>
          <w:p>
            <w:pPr>
              <w:spacing w:after="40" w:before="0" w:line="259" w:lineRule="auto"/>
            </w:pPr>
            <w:r>
              <w:rPr>
                <w:rFonts w:ascii="Calibri" w:hAnsi="Calibri"/>
                <w:b w:val="0"/>
                <w:i w:val="0"/>
                <w:color w:val="212121"/>
                <w:sz w:val="16"/>
              </w:rPr>
              <w:t>Transaminases may be normal in established cirrhosis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w:t>
            </w:r>
          </w:p>
        </w:tc>
        <w:tc>
          <w:tcPr>
            <w:tcW w:type="dxa" w:w="1036"/>
            <w:vAlign w:val="top"/>
          </w:tcPr>
          <w:p>
            <w:pPr>
              <w:spacing w:after="40" w:before="0" w:line="259" w:lineRule="auto"/>
            </w:pPr>
            <w:r>
              <w:rPr>
                <w:rFonts w:ascii="Calibri" w:hAnsi="Calibri"/>
                <w:b w:val="0"/>
                <w:i w:val="0"/>
                <w:color w:val="212121"/>
                <w:sz w:val="16"/>
              </w:rPr>
              <w:t>Prothrombin time / INR</w:t>
            </w:r>
          </w:p>
        </w:tc>
        <w:tc>
          <w:tcPr>
            <w:tcW w:type="dxa" w:w="892"/>
            <w:vAlign w:val="top"/>
          </w:tcPr>
          <w:p>
            <w:pPr>
              <w:spacing w:after="40" w:before="0" w:line="259" w:lineRule="auto"/>
            </w:pPr>
            <w:r>
              <w:rPr>
                <w:rFonts w:ascii="Calibri" w:hAnsi="Calibri"/>
                <w:b w:val="0"/>
                <w:i w:val="0"/>
                <w:color w:val="212121"/>
                <w:sz w:val="16"/>
              </w:rPr>
              <w:t>Coagulation profile</w:t>
            </w:r>
          </w:p>
        </w:tc>
        <w:tc>
          <w:tcPr>
            <w:tcW w:type="dxa" w:w="950"/>
            <w:vAlign w:val="top"/>
          </w:tcPr>
          <w:p>
            <w:pPr>
              <w:spacing w:after="40" w:before="0" w:line="259" w:lineRule="auto"/>
            </w:pPr>
            <w:r>
              <w:rPr>
                <w:rFonts w:ascii="Calibri" w:hAnsi="Calibri"/>
                <w:b w:val="0"/>
                <w:i w:val="0"/>
                <w:color w:val="212121"/>
                <w:sz w:val="16"/>
              </w:rPr>
              <w:t>INR ~ 1.0</w:t>
            </w:r>
          </w:p>
        </w:tc>
        <w:tc>
          <w:tcPr>
            <w:tcW w:type="dxa" w:w="950"/>
            <w:vAlign w:val="top"/>
          </w:tcPr>
          <w:p>
            <w:pPr>
              <w:spacing w:after="40" w:before="0" w:line="259" w:lineRule="auto"/>
            </w:pPr>
            <w:r>
              <w:rPr>
                <w:rFonts w:ascii="Calibri" w:hAnsi="Calibri"/>
                <w:b w:val="0"/>
                <w:i w:val="0"/>
                <w:color w:val="212121"/>
                <w:sz w:val="16"/>
              </w:rPr>
              <w:t>Prolonged PT / raised INR</w:t>
            </w:r>
          </w:p>
        </w:tc>
        <w:tc>
          <w:tcPr>
            <w:tcW w:type="dxa" w:w="1036"/>
            <w:vAlign w:val="top"/>
          </w:tcPr>
          <w:p>
            <w:pPr>
              <w:spacing w:after="40" w:before="0" w:line="259" w:lineRule="auto"/>
            </w:pPr>
            <w:r>
              <w:rPr>
                <w:rFonts w:ascii="Calibri" w:hAnsi="Calibri"/>
                <w:b w:val="0"/>
                <w:i w:val="0"/>
                <w:color w:val="212121"/>
                <w:sz w:val="16"/>
              </w:rPr>
              <w:t>Reflects impaired hepatic synthesis of clotting factors; component of Child-Pugh and MELD</w:t>
            </w:r>
          </w:p>
        </w:tc>
        <w:tc>
          <w:tcPr>
            <w:tcW w:type="dxa" w:w="1036"/>
            <w:vAlign w:val="top"/>
          </w:tcPr>
          <w:p>
            <w:pPr>
              <w:spacing w:after="40" w:before="0" w:line="259" w:lineRule="auto"/>
            </w:pPr>
            <w:r>
              <w:rPr>
                <w:rFonts w:ascii="Calibri" w:hAnsi="Calibri"/>
                <w:b w:val="0"/>
                <w:i w:val="0"/>
                <w:color w:val="212121"/>
                <w:sz w:val="16"/>
              </w:rPr>
              <w:t>All cirrhosis; decompensated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 (MELD/Child-Pugh)</w:t>
            </w:r>
          </w:p>
        </w:tc>
        <w:tc>
          <w:tcPr>
            <w:tcW w:type="dxa" w:w="720"/>
            <w:vAlign w:val="top"/>
          </w:tcPr>
          <w:p>
            <w:pPr>
              <w:spacing w:after="40" w:before="0" w:line="259" w:lineRule="auto"/>
            </w:pPr>
            <w:r>
              <w:rPr>
                <w:rFonts w:ascii="Calibri" w:hAnsi="Calibri"/>
                <w:b w:val="0"/>
                <w:i w:val="0"/>
                <w:color w:val="212121"/>
                <w:sz w:val="16"/>
              </w:rPr>
              <w:t>Rebalanced haemostasis - INR does not equal bleeding safety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Platelet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150,000-410,000/microL</w:t>
            </w:r>
          </w:p>
        </w:tc>
        <w:tc>
          <w:tcPr>
            <w:tcW w:type="dxa" w:w="950"/>
            <w:vAlign w:val="top"/>
          </w:tcPr>
          <w:p>
            <w:pPr>
              <w:spacing w:after="40" w:before="0" w:line="259" w:lineRule="auto"/>
            </w:pPr>
            <w:r>
              <w:rPr>
                <w:rFonts w:ascii="Calibri" w:hAnsi="Calibri"/>
                <w:b w:val="0"/>
                <w:i w:val="0"/>
                <w:color w:val="212121"/>
                <w:sz w:val="16"/>
              </w:rPr>
              <w:t>&lt; 150,000/microL (thrombocytopenia)</w:t>
            </w:r>
          </w:p>
        </w:tc>
        <w:tc>
          <w:tcPr>
            <w:tcW w:type="dxa" w:w="1036"/>
            <w:vAlign w:val="top"/>
          </w:tcPr>
          <w:p>
            <w:pPr>
              <w:spacing w:after="40" w:before="0" w:line="259" w:lineRule="auto"/>
            </w:pPr>
            <w:r>
              <w:rPr>
                <w:rFonts w:ascii="Calibri" w:hAnsi="Calibri"/>
                <w:b w:val="0"/>
                <w:i w:val="0"/>
                <w:color w:val="212121"/>
                <w:sz w:val="16"/>
              </w:rPr>
              <w:t>Low platelets reflect portal hypertension and hypersplenism, an early clue to cirrhosis</w:t>
            </w:r>
          </w:p>
        </w:tc>
        <w:tc>
          <w:tcPr>
            <w:tcW w:type="dxa" w:w="1036"/>
            <w:vAlign w:val="top"/>
          </w:tcPr>
          <w:p>
            <w:pPr>
              <w:spacing w:after="40" w:before="0" w:line="259" w:lineRule="auto"/>
            </w:pPr>
            <w:r>
              <w:rPr>
                <w:rFonts w:ascii="Calibri" w:hAnsi="Calibri"/>
                <w:b w:val="0"/>
                <w:i w:val="0"/>
                <w:color w:val="212121"/>
                <w:sz w:val="16"/>
              </w:rPr>
              <w:t>Suspected portal hypertension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Used in FIB-4 and platelet-based scores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Liver morphology, spleen, portal vein, ascites</w:t>
            </w:r>
          </w:p>
        </w:tc>
        <w:tc>
          <w:tcPr>
            <w:tcW w:type="dxa" w:w="892"/>
            <w:vAlign w:val="top"/>
          </w:tcPr>
          <w:p>
            <w:pPr>
              <w:spacing w:after="40" w:before="0" w:line="259" w:lineRule="auto"/>
            </w:pPr>
            <w:r>
              <w:rPr>
                <w:rFonts w:ascii="Calibri" w:hAnsi="Calibri"/>
                <w:b w:val="0"/>
                <w:i w:val="0"/>
                <w:color w:val="212121"/>
                <w:sz w:val="16"/>
              </w:rPr>
              <w:t>Abdominal ultrasound (+/- Doppler)</w:t>
            </w:r>
          </w:p>
        </w:tc>
        <w:tc>
          <w:tcPr>
            <w:tcW w:type="dxa" w:w="950"/>
            <w:vAlign w:val="top"/>
          </w:tcPr>
          <w:p>
            <w:pPr>
              <w:spacing w:after="40" w:before="0" w:line="259" w:lineRule="auto"/>
            </w:pPr>
            <w:r>
              <w:rPr>
                <w:rFonts w:ascii="Calibri" w:hAnsi="Calibri"/>
                <w:b w:val="0"/>
                <w:i w:val="0"/>
                <w:color w:val="212121"/>
                <w:sz w:val="16"/>
              </w:rPr>
              <w:t>Smooth homogeneous liver; normal portal vein/spleen</w:t>
            </w:r>
          </w:p>
        </w:tc>
        <w:tc>
          <w:tcPr>
            <w:tcW w:type="dxa" w:w="950"/>
            <w:vAlign w:val="top"/>
          </w:tcPr>
          <w:p>
            <w:pPr>
              <w:spacing w:after="40" w:before="0" w:line="259" w:lineRule="auto"/>
            </w:pPr>
            <w:r>
              <w:rPr>
                <w:rFonts w:ascii="Calibri" w:hAnsi="Calibri"/>
                <w:b w:val="0"/>
                <w:i w:val="0"/>
                <w:color w:val="212121"/>
                <w:sz w:val="16"/>
              </w:rPr>
              <w:t>Nodular shrunken liver, splenomegaly, dilated portal vein, ascites, collaterals</w:t>
            </w:r>
          </w:p>
        </w:tc>
        <w:tc>
          <w:tcPr>
            <w:tcW w:type="dxa" w:w="1036"/>
            <w:vAlign w:val="top"/>
          </w:tcPr>
          <w:p>
            <w:pPr>
              <w:spacing w:after="40" w:before="0" w:line="259" w:lineRule="auto"/>
            </w:pPr>
            <w:r>
              <w:rPr>
                <w:rFonts w:ascii="Calibri" w:hAnsi="Calibri"/>
                <w:b w:val="0"/>
                <w:i w:val="0"/>
                <w:color w:val="212121"/>
                <w:sz w:val="16"/>
              </w:rPr>
              <w:t>Detects cirrhotic morphology and portal hypertension; first-line and part of HCC surveillance</w:t>
            </w:r>
          </w:p>
        </w:tc>
        <w:tc>
          <w:tcPr>
            <w:tcW w:type="dxa" w:w="1036"/>
            <w:vAlign w:val="top"/>
          </w:tcPr>
          <w:p>
            <w:pPr>
              <w:spacing w:after="40" w:before="0" w:line="259" w:lineRule="auto"/>
            </w:pPr>
            <w:r>
              <w:rPr>
                <w:rFonts w:ascii="Calibri" w:hAnsi="Calibri"/>
                <w:b w:val="0"/>
                <w:i w:val="0"/>
                <w:color w:val="212121"/>
                <w:sz w:val="16"/>
              </w:rPr>
              <w:t>All suspected cirrhosis; surveillance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Six-monthly for HCC surveillance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Elastography</w:t>
            </w:r>
          </w:p>
        </w:tc>
        <w:tc>
          <w:tcPr>
            <w:tcW w:type="dxa" w:w="1036"/>
            <w:vAlign w:val="top"/>
          </w:tcPr>
          <w:p>
            <w:pPr>
              <w:spacing w:after="40" w:before="0" w:line="259" w:lineRule="auto"/>
            </w:pPr>
            <w:r>
              <w:rPr>
                <w:rFonts w:ascii="Calibri" w:hAnsi="Calibri"/>
                <w:b w:val="0"/>
                <w:i w:val="0"/>
                <w:color w:val="212121"/>
                <w:sz w:val="16"/>
              </w:rPr>
              <w:t>Liver stiffness measurement (kPa)</w:t>
            </w:r>
          </w:p>
        </w:tc>
        <w:tc>
          <w:tcPr>
            <w:tcW w:type="dxa" w:w="892"/>
            <w:vAlign w:val="top"/>
          </w:tcPr>
          <w:p>
            <w:pPr>
              <w:spacing w:after="40" w:before="0" w:line="259" w:lineRule="auto"/>
            </w:pPr>
            <w:r>
              <w:rPr>
                <w:rFonts w:ascii="Calibri" w:hAnsi="Calibri"/>
                <w:b w:val="0"/>
                <w:i w:val="0"/>
                <w:color w:val="212121"/>
                <w:sz w:val="16"/>
              </w:rPr>
              <w:t>Transient elastography (FibroScan)</w:t>
            </w:r>
          </w:p>
        </w:tc>
        <w:tc>
          <w:tcPr>
            <w:tcW w:type="dxa" w:w="950"/>
            <w:vAlign w:val="top"/>
          </w:tcPr>
          <w:p>
            <w:pPr>
              <w:spacing w:after="40" w:before="0" w:line="259" w:lineRule="auto"/>
            </w:pPr>
            <w:r>
              <w:rPr>
                <w:rFonts w:ascii="Calibri" w:hAnsi="Calibri"/>
                <w:b w:val="0"/>
                <w:i w:val="0"/>
                <w:color w:val="212121"/>
                <w:sz w:val="16"/>
              </w:rPr>
              <w:t>&lt; 7 kPa</w:t>
            </w:r>
          </w:p>
        </w:tc>
        <w:tc>
          <w:tcPr>
            <w:tcW w:type="dxa" w:w="950"/>
            <w:vAlign w:val="top"/>
          </w:tcPr>
          <w:p>
            <w:pPr>
              <w:spacing w:after="40" w:before="0" w:line="259" w:lineRule="auto"/>
            </w:pPr>
            <w:r>
              <w:rPr>
                <w:rFonts w:ascii="Calibri" w:hAnsi="Calibri"/>
                <w:b w:val="0"/>
                <w:i w:val="0"/>
                <w:color w:val="212121"/>
                <w:sz w:val="16"/>
              </w:rPr>
              <w:t>&gt;= 12-15 kPa suggests cirrhosis</w:t>
            </w:r>
          </w:p>
        </w:tc>
        <w:tc>
          <w:tcPr>
            <w:tcW w:type="dxa" w:w="1036"/>
            <w:vAlign w:val="top"/>
          </w:tcPr>
          <w:p>
            <w:pPr>
              <w:spacing w:after="40" w:before="0" w:line="259" w:lineRule="auto"/>
            </w:pPr>
            <w:r>
              <w:rPr>
                <w:rFonts w:ascii="Calibri" w:hAnsi="Calibri"/>
                <w:b w:val="0"/>
                <w:i w:val="0"/>
                <w:color w:val="212121"/>
                <w:sz w:val="16"/>
              </w:rPr>
              <w:t>Non-invasive fibrosis staging; high stiffness indicates cACLD/cirrhosis and portal hypertension risk</w:t>
            </w:r>
          </w:p>
        </w:tc>
        <w:tc>
          <w:tcPr>
            <w:tcW w:type="dxa" w:w="1036"/>
            <w:vAlign w:val="top"/>
          </w:tcPr>
          <w:p>
            <w:pPr>
              <w:spacing w:after="40" w:before="0" w:line="259" w:lineRule="auto"/>
            </w:pPr>
            <w:r>
              <w:rPr>
                <w:rFonts w:ascii="Calibri" w:hAnsi="Calibri"/>
                <w:b w:val="0"/>
                <w:i w:val="0"/>
                <w:color w:val="212121"/>
                <w:sz w:val="16"/>
              </w:rPr>
              <w:t>MASLD, viral hepatitis, alcohol</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Non-invasive staging</w:t>
            </w:r>
          </w:p>
        </w:tc>
        <w:tc>
          <w:tcPr>
            <w:tcW w:type="dxa" w:w="720"/>
            <w:vAlign w:val="top"/>
          </w:tcPr>
          <w:p>
            <w:pPr>
              <w:spacing w:after="40" w:before="0" w:line="259" w:lineRule="auto"/>
            </w:pPr>
            <w:r>
              <w:rPr>
                <w:rFonts w:ascii="Calibri" w:hAnsi="Calibri"/>
                <w:b w:val="0"/>
                <w:i w:val="0"/>
                <w:color w:val="212121"/>
                <w:sz w:val="16"/>
              </w:rPr>
              <w:t>Unreliable with ascites, acute hepatitis, high BMI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Oesophageal / gastric varices</w:t>
            </w:r>
          </w:p>
        </w:tc>
        <w:tc>
          <w:tcPr>
            <w:tcW w:type="dxa" w:w="892"/>
            <w:vAlign w:val="top"/>
          </w:tcPr>
          <w:p>
            <w:pPr>
              <w:spacing w:after="40" w:before="0" w:line="259" w:lineRule="auto"/>
            </w:pPr>
            <w:r>
              <w:rPr>
                <w:rFonts w:ascii="Calibri" w:hAnsi="Calibri"/>
                <w:b w:val="0"/>
                <w:i w:val="0"/>
                <w:color w:val="212121"/>
                <w:sz w:val="16"/>
              </w:rPr>
              <w:t>Upper GI endoscopy</w:t>
            </w:r>
          </w:p>
        </w:tc>
        <w:tc>
          <w:tcPr>
            <w:tcW w:type="dxa" w:w="950"/>
            <w:vAlign w:val="top"/>
          </w:tcPr>
          <w:p>
            <w:pPr>
              <w:spacing w:after="40" w:before="0" w:line="259" w:lineRule="auto"/>
            </w:pPr>
            <w:r>
              <w:rPr>
                <w:rFonts w:ascii="Calibri" w:hAnsi="Calibri"/>
                <w:b w:val="0"/>
                <w:i w:val="0"/>
                <w:color w:val="212121"/>
                <w:sz w:val="16"/>
              </w:rPr>
              <w:t>No varices</w:t>
            </w:r>
          </w:p>
        </w:tc>
        <w:tc>
          <w:tcPr>
            <w:tcW w:type="dxa" w:w="950"/>
            <w:vAlign w:val="top"/>
          </w:tcPr>
          <w:p>
            <w:pPr>
              <w:spacing w:after="40" w:before="0" w:line="259" w:lineRule="auto"/>
            </w:pPr>
            <w:r>
              <w:rPr>
                <w:rFonts w:ascii="Calibri" w:hAnsi="Calibri"/>
                <w:b w:val="0"/>
                <w:i w:val="0"/>
                <w:color w:val="212121"/>
                <w:sz w:val="16"/>
              </w:rPr>
              <w:t>Small or large varices; portal hypertensive gastropathy</w:t>
            </w:r>
          </w:p>
        </w:tc>
        <w:tc>
          <w:tcPr>
            <w:tcW w:type="dxa" w:w="1036"/>
            <w:vAlign w:val="top"/>
          </w:tcPr>
          <w:p>
            <w:pPr>
              <w:spacing w:after="40" w:before="0" w:line="259" w:lineRule="auto"/>
            </w:pPr>
            <w:r>
              <w:rPr>
                <w:rFonts w:ascii="Calibri" w:hAnsi="Calibri"/>
                <w:b w:val="0"/>
                <w:i w:val="0"/>
                <w:color w:val="212121"/>
                <w:sz w:val="16"/>
              </w:rPr>
              <w:t>Detects and grades varices for primary prophylaxis and after variceal bleeding</w:t>
            </w:r>
          </w:p>
        </w:tc>
        <w:tc>
          <w:tcPr>
            <w:tcW w:type="dxa" w:w="1036"/>
            <w:vAlign w:val="top"/>
          </w:tcPr>
          <w:p>
            <w:pPr>
              <w:spacing w:after="40" w:before="0" w:line="259" w:lineRule="auto"/>
            </w:pPr>
            <w:r>
              <w:rPr>
                <w:rFonts w:ascii="Calibri" w:hAnsi="Calibri"/>
                <w:b w:val="0"/>
                <w:i w:val="0"/>
                <w:color w:val="212121"/>
                <w:sz w:val="16"/>
              </w:rPr>
              <w:t>Cirrhosis with portal hypertension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therapeutic</w:t>
            </w:r>
          </w:p>
        </w:tc>
        <w:tc>
          <w:tcPr>
            <w:tcW w:type="dxa" w:w="720"/>
            <w:vAlign w:val="top"/>
          </w:tcPr>
          <w:p>
            <w:pPr>
              <w:spacing w:after="40" w:before="0" w:line="259" w:lineRule="auto"/>
            </w:pPr>
            <w:r>
              <w:rPr>
                <w:rFonts w:ascii="Calibri" w:hAnsi="Calibri"/>
                <w:b w:val="0"/>
                <w:i w:val="0"/>
                <w:color w:val="212121"/>
                <w:sz w:val="16"/>
              </w:rPr>
              <w:t>Baseline screening once diagnosis established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HBsAg, anti-HCV; autoimmune &amp; metabolic panel</w:t>
            </w:r>
          </w:p>
        </w:tc>
        <w:tc>
          <w:tcPr>
            <w:tcW w:type="dxa" w:w="892"/>
            <w:vAlign w:val="top"/>
          </w:tcPr>
          <w:p>
            <w:pPr>
              <w:spacing w:after="40" w:before="0" w:line="259" w:lineRule="auto"/>
            </w:pPr>
            <w:r>
              <w:rPr>
                <w:rFonts w:ascii="Calibri" w:hAnsi="Calibri"/>
                <w:b w:val="0"/>
                <w:i w:val="0"/>
                <w:color w:val="212121"/>
                <w:sz w:val="16"/>
              </w:rPr>
              <w:t>Aetiological work-up</w:t>
            </w:r>
          </w:p>
        </w:tc>
        <w:tc>
          <w:tcPr>
            <w:tcW w:type="dxa" w:w="950"/>
            <w:vAlign w:val="top"/>
          </w:tcPr>
          <w:p>
            <w:pPr>
              <w:spacing w:after="40" w:before="0" w:line="259" w:lineRule="auto"/>
            </w:pPr>
            <w:r>
              <w:rPr>
                <w:rFonts w:ascii="Calibri" w:hAnsi="Calibri"/>
                <w:b w:val="0"/>
                <w:i w:val="0"/>
                <w:color w:val="212121"/>
                <w:sz w:val="16"/>
              </w:rPr>
              <w:t>Negative markers</w:t>
            </w:r>
          </w:p>
        </w:tc>
        <w:tc>
          <w:tcPr>
            <w:tcW w:type="dxa" w:w="950"/>
            <w:vAlign w:val="top"/>
          </w:tcPr>
          <w:p>
            <w:pPr>
              <w:spacing w:after="40" w:before="0" w:line="259" w:lineRule="auto"/>
            </w:pPr>
            <w:r>
              <w:rPr>
                <w:rFonts w:ascii="Calibri" w:hAnsi="Calibri"/>
                <w:b w:val="0"/>
                <w:i w:val="0"/>
                <w:color w:val="212121"/>
                <w:sz w:val="16"/>
              </w:rPr>
              <w:t>Positive HBsAg / anti-HCV; autoantibodies; abnormal iron/copper studies</w:t>
            </w:r>
          </w:p>
        </w:tc>
        <w:tc>
          <w:tcPr>
            <w:tcW w:type="dxa" w:w="1036"/>
            <w:vAlign w:val="top"/>
          </w:tcPr>
          <w:p>
            <w:pPr>
              <w:spacing w:after="40" w:before="0" w:line="259" w:lineRule="auto"/>
            </w:pPr>
            <w:r>
              <w:rPr>
                <w:rFonts w:ascii="Calibri" w:hAnsi="Calibri"/>
                <w:b w:val="0"/>
                <w:i w:val="0"/>
                <w:color w:val="212121"/>
                <w:sz w:val="16"/>
              </w:rPr>
              <w:t>Establishes the cause and guides specific therapy (antivirals, immunosuppression, chelation)</w:t>
            </w:r>
          </w:p>
        </w:tc>
        <w:tc>
          <w:tcPr>
            <w:tcW w:type="dxa" w:w="1036"/>
            <w:vAlign w:val="top"/>
          </w:tcPr>
          <w:p>
            <w:pPr>
              <w:spacing w:after="40" w:before="0" w:line="259" w:lineRule="auto"/>
            </w:pPr>
            <w:r>
              <w:rPr>
                <w:rFonts w:ascii="Calibri" w:hAnsi="Calibri"/>
                <w:b w:val="0"/>
                <w:i w:val="0"/>
                <w:color w:val="212121"/>
                <w:sz w:val="16"/>
              </w:rPr>
              <w:t>All cirrhosis; young patients (Wilson)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Ceruloplasmin/copper in patients &lt; 40 years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Tumour marker / imaging</w:t>
            </w:r>
          </w:p>
        </w:tc>
        <w:tc>
          <w:tcPr>
            <w:tcW w:type="dxa" w:w="1036"/>
            <w:vAlign w:val="top"/>
          </w:tcPr>
          <w:p>
            <w:pPr>
              <w:spacing w:after="40" w:before="0" w:line="259" w:lineRule="auto"/>
            </w:pPr>
            <w:r>
              <w:rPr>
                <w:rFonts w:ascii="Calibri" w:hAnsi="Calibri"/>
                <w:b w:val="0"/>
                <w:i w:val="0"/>
                <w:color w:val="212121"/>
                <w:sz w:val="16"/>
              </w:rPr>
              <w:t>Alpha-fetoprotein; triple-phase CT/MRI</w:t>
            </w:r>
          </w:p>
        </w:tc>
        <w:tc>
          <w:tcPr>
            <w:tcW w:type="dxa" w:w="892"/>
            <w:vAlign w:val="top"/>
          </w:tcPr>
          <w:p>
            <w:pPr>
              <w:spacing w:after="40" w:before="0" w:line="259" w:lineRule="auto"/>
            </w:pPr>
            <w:r>
              <w:rPr>
                <w:rFonts w:ascii="Calibri" w:hAnsi="Calibri"/>
                <w:b w:val="0"/>
                <w:i w:val="0"/>
                <w:color w:val="212121"/>
                <w:sz w:val="16"/>
              </w:rPr>
              <w:t>HCC surveillance &amp; characterisation</w:t>
            </w:r>
          </w:p>
        </w:tc>
        <w:tc>
          <w:tcPr>
            <w:tcW w:type="dxa" w:w="950"/>
            <w:vAlign w:val="top"/>
          </w:tcPr>
          <w:p>
            <w:pPr>
              <w:spacing w:after="40" w:before="0" w:line="259" w:lineRule="auto"/>
            </w:pPr>
            <w:r>
              <w:rPr>
                <w:rFonts w:ascii="Calibri" w:hAnsi="Calibri"/>
                <w:b w:val="0"/>
                <w:i w:val="0"/>
                <w:color w:val="212121"/>
                <w:sz w:val="16"/>
              </w:rPr>
              <w:t>AFP normal; no focal lesion</w:t>
            </w:r>
          </w:p>
        </w:tc>
        <w:tc>
          <w:tcPr>
            <w:tcW w:type="dxa" w:w="950"/>
            <w:vAlign w:val="top"/>
          </w:tcPr>
          <w:p>
            <w:pPr>
              <w:spacing w:after="40" w:before="0" w:line="259" w:lineRule="auto"/>
            </w:pPr>
            <w:r>
              <w:rPr>
                <w:rFonts w:ascii="Calibri" w:hAnsi="Calibri"/>
                <w:b w:val="0"/>
                <w:i w:val="0"/>
                <w:color w:val="212121"/>
                <w:sz w:val="16"/>
              </w:rPr>
              <w:t>Rising AFP; arterial-enhancing washout lesion</w:t>
            </w:r>
          </w:p>
        </w:tc>
        <w:tc>
          <w:tcPr>
            <w:tcW w:type="dxa" w:w="1036"/>
            <w:vAlign w:val="top"/>
          </w:tcPr>
          <w:p>
            <w:pPr>
              <w:spacing w:after="40" w:before="0" w:line="259" w:lineRule="auto"/>
            </w:pPr>
            <w:r>
              <w:rPr>
                <w:rFonts w:ascii="Calibri" w:hAnsi="Calibri"/>
                <w:b w:val="0"/>
                <w:i w:val="0"/>
                <w:color w:val="212121"/>
                <w:sz w:val="16"/>
              </w:rPr>
              <w:t>Detects hepatocellular carcinoma; contrast CT/MRI characterises nodules non-invasively (LI-RADS)</w:t>
            </w:r>
          </w:p>
        </w:tc>
        <w:tc>
          <w:tcPr>
            <w:tcW w:type="dxa" w:w="1036"/>
            <w:vAlign w:val="top"/>
          </w:tcPr>
          <w:p>
            <w:pPr>
              <w:spacing w:after="40" w:before="0" w:line="259" w:lineRule="auto"/>
            </w:pPr>
            <w:r>
              <w:rPr>
                <w:rFonts w:ascii="Calibri" w:hAnsi="Calibri"/>
                <w:b w:val="0"/>
                <w:i w:val="0"/>
                <w:color w:val="212121"/>
                <w:sz w:val="16"/>
              </w:rPr>
              <w:t>All cirrhotics under surveillance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Surveillance / diagnostic</w:t>
            </w:r>
          </w:p>
        </w:tc>
        <w:tc>
          <w:tcPr>
            <w:tcW w:type="dxa" w:w="720"/>
            <w:vAlign w:val="top"/>
          </w:tcPr>
          <w:p>
            <w:pPr>
              <w:spacing w:after="40" w:before="0" w:line="259" w:lineRule="auto"/>
            </w:pPr>
            <w:r>
              <w:rPr>
                <w:rFonts w:ascii="Calibri" w:hAnsi="Calibri"/>
                <w:b w:val="0"/>
                <w:i w:val="0"/>
                <w:color w:val="212121"/>
                <w:sz w:val="16"/>
              </w:rPr>
              <w:t>AFP alone is insufficient; pair with ultrasound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Ascitic fluid</w:t>
            </w:r>
          </w:p>
        </w:tc>
        <w:tc>
          <w:tcPr>
            <w:tcW w:type="dxa" w:w="1036"/>
            <w:vAlign w:val="top"/>
          </w:tcPr>
          <w:p>
            <w:pPr>
              <w:spacing w:after="40" w:before="0" w:line="259" w:lineRule="auto"/>
            </w:pPr>
            <w:r>
              <w:rPr>
                <w:rFonts w:ascii="Calibri" w:hAnsi="Calibri"/>
                <w:b w:val="0"/>
                <w:i w:val="0"/>
                <w:color w:val="212121"/>
                <w:sz w:val="16"/>
              </w:rPr>
              <w:t>Cell count, SAAG, culture</w:t>
            </w:r>
          </w:p>
        </w:tc>
        <w:tc>
          <w:tcPr>
            <w:tcW w:type="dxa" w:w="892"/>
            <w:vAlign w:val="top"/>
          </w:tcPr>
          <w:p>
            <w:pPr>
              <w:spacing w:after="40" w:before="0" w:line="259" w:lineRule="auto"/>
            </w:pPr>
            <w:r>
              <w:rPr>
                <w:rFonts w:ascii="Calibri" w:hAnsi="Calibri"/>
                <w:b w:val="0"/>
                <w:i w:val="0"/>
                <w:color w:val="212121"/>
                <w:sz w:val="16"/>
              </w:rPr>
              <w:t>Diagnostic paracentesis</w:t>
            </w:r>
          </w:p>
        </w:tc>
        <w:tc>
          <w:tcPr>
            <w:tcW w:type="dxa" w:w="950"/>
            <w:vAlign w:val="top"/>
          </w:tcPr>
          <w:p>
            <w:pPr>
              <w:spacing w:after="40" w:before="0" w:line="259" w:lineRule="auto"/>
            </w:pPr>
            <w:r>
              <w:rPr>
                <w:rFonts w:ascii="Calibri" w:hAnsi="Calibri"/>
                <w:b w:val="0"/>
                <w:i w:val="0"/>
                <w:color w:val="212121"/>
                <w:sz w:val="16"/>
              </w:rPr>
              <w:t>No ascites</w:t>
            </w:r>
          </w:p>
        </w:tc>
        <w:tc>
          <w:tcPr>
            <w:tcW w:type="dxa" w:w="950"/>
            <w:vAlign w:val="top"/>
          </w:tcPr>
          <w:p>
            <w:pPr>
              <w:spacing w:after="40" w:before="0" w:line="259" w:lineRule="auto"/>
            </w:pPr>
            <w:r>
              <w:rPr>
                <w:rFonts w:ascii="Calibri" w:hAnsi="Calibri"/>
                <w:b w:val="0"/>
                <w:i w:val="0"/>
                <w:color w:val="212121"/>
                <w:sz w:val="16"/>
              </w:rPr>
              <w:t>SAAG &gt;= 1.1 g/dL (portal hypertension); PMN &gt;= 250/microL (SBP)</w:t>
            </w:r>
          </w:p>
        </w:tc>
        <w:tc>
          <w:tcPr>
            <w:tcW w:type="dxa" w:w="1036"/>
            <w:vAlign w:val="top"/>
          </w:tcPr>
          <w:p>
            <w:pPr>
              <w:spacing w:after="40" w:before="0" w:line="259" w:lineRule="auto"/>
            </w:pPr>
            <w:r>
              <w:rPr>
                <w:rFonts w:ascii="Calibri" w:hAnsi="Calibri"/>
                <w:b w:val="0"/>
                <w:i w:val="0"/>
                <w:color w:val="212121"/>
                <w:sz w:val="16"/>
              </w:rPr>
              <w:t>Confirms portal-hypertensive ascites and diagnoses spontaneous bacterial peritonitis</w:t>
            </w:r>
          </w:p>
        </w:tc>
        <w:tc>
          <w:tcPr>
            <w:tcW w:type="dxa" w:w="1036"/>
            <w:vAlign w:val="top"/>
          </w:tcPr>
          <w:p>
            <w:pPr>
              <w:spacing w:after="40" w:before="0" w:line="259" w:lineRule="auto"/>
            </w:pPr>
            <w:r>
              <w:rPr>
                <w:rFonts w:ascii="Calibri" w:hAnsi="Calibri"/>
                <w:b w:val="0"/>
                <w:i w:val="0"/>
                <w:color w:val="212121"/>
                <w:sz w:val="16"/>
              </w:rPr>
              <w:t>New or worsening ascites; fever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(complication)</w:t>
            </w:r>
          </w:p>
        </w:tc>
        <w:tc>
          <w:tcPr>
            <w:tcW w:type="dxa" w:w="720"/>
            <w:vAlign w:val="top"/>
          </w:tcPr>
          <w:p>
            <w:pPr>
              <w:spacing w:after="40" w:before="0" w:line="259" w:lineRule="auto"/>
            </w:pPr>
            <w:r>
              <w:rPr>
                <w:rFonts w:ascii="Calibri" w:hAnsi="Calibri"/>
                <w:b w:val="0"/>
                <w:i w:val="0"/>
                <w:color w:val="212121"/>
                <w:sz w:val="16"/>
              </w:rPr>
              <w:t>SBP needs prompt antibiotics and albumin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and risk history</w:t>
            </w:r>
          </w:p>
        </w:tc>
        <w:tc>
          <w:tcPr>
            <w:tcW w:type="dxa" w:w="979"/>
            <w:vAlign w:val="top"/>
          </w:tcPr>
          <w:p>
            <w:pPr>
              <w:spacing w:after="40" w:before="0" w:line="259" w:lineRule="auto"/>
            </w:pPr>
            <w:r>
              <w:rPr>
                <w:rFonts w:ascii="Calibri" w:hAnsi="Calibri"/>
                <w:b w:val="0"/>
                <w:i w:val="0"/>
                <w:color w:val="212121"/>
                <w:sz w:val="16"/>
              </w:rPr>
              <w:t>Quantity/duration of alcohol; AUDIT; viral &amp; metabolic risk</w:t>
            </w:r>
          </w:p>
        </w:tc>
        <w:tc>
          <w:tcPr>
            <w:tcW w:type="dxa" w:w="950"/>
            <w:vAlign w:val="top"/>
          </w:tcPr>
          <w:p>
            <w:pPr>
              <w:spacing w:after="40" w:before="0" w:line="259" w:lineRule="auto"/>
            </w:pPr>
            <w:r>
              <w:rPr>
                <w:rFonts w:ascii="Calibri" w:hAnsi="Calibri"/>
                <w:b w:val="0"/>
                <w:i w:val="0"/>
                <w:color w:val="212121"/>
                <w:sz w:val="16"/>
              </w:rPr>
              <w:t>No harmful use; no risk factors</w:t>
            </w:r>
          </w:p>
        </w:tc>
        <w:tc>
          <w:tcPr>
            <w:tcW w:type="dxa" w:w="950"/>
            <w:vAlign w:val="top"/>
          </w:tcPr>
          <w:p>
            <w:pPr>
              <w:spacing w:after="40" w:before="0" w:line="259" w:lineRule="auto"/>
            </w:pPr>
            <w:r>
              <w:rPr>
                <w:rFonts w:ascii="Calibri" w:hAnsi="Calibri"/>
                <w:b w:val="0"/>
                <w:i w:val="0"/>
                <w:color w:val="212121"/>
                <w:sz w:val="16"/>
              </w:rPr>
              <w:t>Harmful drinking; hepatitis exposure; metabolic risk</w:t>
            </w:r>
          </w:p>
        </w:tc>
        <w:tc>
          <w:tcPr>
            <w:tcW w:type="dxa" w:w="1036"/>
            <w:vAlign w:val="top"/>
          </w:tcPr>
          <w:p>
            <w:pPr>
              <w:spacing w:after="40" w:before="0" w:line="259" w:lineRule="auto"/>
            </w:pPr>
            <w:r>
              <w:rPr>
                <w:rFonts w:ascii="Calibri" w:hAnsi="Calibri"/>
                <w:b w:val="0"/>
                <w:i w:val="0"/>
                <w:color w:val="212121"/>
                <w:sz w:val="16"/>
              </w:rPr>
              <w:t>Identifies the likely aetiology and the key modifiable driver (alcohol)</w:t>
            </w:r>
          </w:p>
        </w:tc>
        <w:tc>
          <w:tcPr>
            <w:tcW w:type="dxa" w:w="1036"/>
            <w:vAlign w:val="top"/>
          </w:tcPr>
          <w:p>
            <w:pPr>
              <w:spacing w:after="40" w:before="0" w:line="259" w:lineRule="auto"/>
            </w:pPr>
            <w:r>
              <w:rPr>
                <w:rFonts w:ascii="Calibri" w:hAnsi="Calibri"/>
                <w:b w:val="0"/>
                <w:i w:val="0"/>
                <w:color w:val="212121"/>
                <w:sz w:val="16"/>
              </w:rPr>
              <w:t>All patients; men, at-risk groups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in grams/day; use AUDIT-C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Fatigue, anorexia, jaundice, abdominal distension, GI bleed, confusion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decompensation symptom present</w:t>
            </w:r>
          </w:p>
        </w:tc>
        <w:tc>
          <w:tcPr>
            <w:tcW w:type="dxa" w:w="1036"/>
            <w:vAlign w:val="top"/>
          </w:tcPr>
          <w:p>
            <w:pPr>
              <w:spacing w:after="40" w:before="0" w:line="259" w:lineRule="auto"/>
            </w:pPr>
            <w:r>
              <w:rPr>
                <w:rFonts w:ascii="Calibri" w:hAnsi="Calibri"/>
                <w:b w:val="0"/>
                <w:i w:val="0"/>
                <w:color w:val="212121"/>
                <w:sz w:val="16"/>
              </w:rPr>
              <w:t>Distinguishes compensated from decompensated disease and flags urgency</w:t>
            </w:r>
          </w:p>
        </w:tc>
        <w:tc>
          <w:tcPr>
            <w:tcW w:type="dxa" w:w="1036"/>
            <w:vAlign w:val="top"/>
          </w:tcPr>
          <w:p>
            <w:pPr>
              <w:spacing w:after="40" w:before="0" w:line="259" w:lineRule="auto"/>
            </w:pPr>
            <w:r>
              <w:rPr>
                <w:rFonts w:ascii="Calibri" w:hAnsi="Calibri"/>
                <w:b w:val="0"/>
                <w:i w:val="0"/>
                <w:color w:val="212121"/>
                <w:sz w:val="16"/>
              </w:rPr>
              <w:t>Suspected/known cirrhosis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Haematemesis/melena or confusion are emergencies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Stigmata of chronic liver disease</w:t>
            </w:r>
          </w:p>
        </w:tc>
        <w:tc>
          <w:tcPr>
            <w:tcW w:type="dxa" w:w="979"/>
            <w:vAlign w:val="top"/>
          </w:tcPr>
          <w:p>
            <w:pPr>
              <w:spacing w:after="40" w:before="0" w:line="259" w:lineRule="auto"/>
            </w:pPr>
            <w:r>
              <w:rPr>
                <w:rFonts w:ascii="Calibri" w:hAnsi="Calibri"/>
                <w:b w:val="0"/>
                <w:i w:val="0"/>
                <w:color w:val="212121"/>
                <w:sz w:val="16"/>
              </w:rPr>
              <w:t>Spider naevi, palmar erythema, gynaecomastia, jaundice, clubbing, leukonychia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stigmata present</w:t>
            </w:r>
          </w:p>
        </w:tc>
        <w:tc>
          <w:tcPr>
            <w:tcW w:type="dxa" w:w="1036"/>
            <w:vAlign w:val="top"/>
          </w:tcPr>
          <w:p>
            <w:pPr>
              <w:spacing w:after="40" w:before="0" w:line="259" w:lineRule="auto"/>
            </w:pPr>
            <w:r>
              <w:rPr>
                <w:rFonts w:ascii="Calibri" w:hAnsi="Calibri"/>
                <w:b w:val="0"/>
                <w:i w:val="0"/>
                <w:color w:val="212121"/>
                <w:sz w:val="16"/>
              </w:rPr>
              <w:t>Peripheral signs supporting chronic liver disease and hyperoestrogenism</w:t>
            </w:r>
          </w:p>
        </w:tc>
        <w:tc>
          <w:tcPr>
            <w:tcW w:type="dxa" w:w="1036"/>
            <w:vAlign w:val="top"/>
          </w:tcPr>
          <w:p>
            <w:pPr>
              <w:spacing w:after="40" w:before="0" w:line="259" w:lineRule="auto"/>
            </w:pPr>
            <w:r>
              <w:rPr>
                <w:rFonts w:ascii="Calibri" w:hAnsi="Calibri"/>
                <w:b w:val="0"/>
                <w:i w:val="0"/>
                <w:color w:val="212121"/>
                <w:sz w:val="16"/>
              </w:rPr>
              <w:t>All suspected cirrhosis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More stigmata with advanced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Abdominal examination for portal hypertension</w:t>
            </w:r>
          </w:p>
        </w:tc>
        <w:tc>
          <w:tcPr>
            <w:tcW w:type="dxa" w:w="979"/>
            <w:vAlign w:val="top"/>
          </w:tcPr>
          <w:p>
            <w:pPr>
              <w:spacing w:after="40" w:before="0" w:line="259" w:lineRule="auto"/>
            </w:pPr>
            <w:r>
              <w:rPr>
                <w:rFonts w:ascii="Calibri" w:hAnsi="Calibri"/>
                <w:b w:val="0"/>
                <w:i w:val="0"/>
                <w:color w:val="212121"/>
                <w:sz w:val="16"/>
              </w:rPr>
              <w:t>Ascites (shifting dullness/fluid thrill), splenomegaly, caput medusae</w:t>
            </w:r>
          </w:p>
        </w:tc>
        <w:tc>
          <w:tcPr>
            <w:tcW w:type="dxa" w:w="950"/>
            <w:vAlign w:val="top"/>
          </w:tcPr>
          <w:p>
            <w:pPr>
              <w:spacing w:after="40" w:before="0" w:line="259" w:lineRule="auto"/>
            </w:pPr>
            <w:r>
              <w:rPr>
                <w:rFonts w:ascii="Calibri" w:hAnsi="Calibri"/>
                <w:b w:val="0"/>
                <w:i w:val="0"/>
                <w:color w:val="212121"/>
                <w:sz w:val="16"/>
              </w:rPr>
              <w:t>Soft, non-distended abdomen</w:t>
            </w:r>
          </w:p>
        </w:tc>
        <w:tc>
          <w:tcPr>
            <w:tcW w:type="dxa" w:w="950"/>
            <w:vAlign w:val="top"/>
          </w:tcPr>
          <w:p>
            <w:pPr>
              <w:spacing w:after="40" w:before="0" w:line="259" w:lineRule="auto"/>
            </w:pPr>
            <w:r>
              <w:rPr>
                <w:rFonts w:ascii="Calibri" w:hAnsi="Calibri"/>
                <w:b w:val="0"/>
                <w:i w:val="0"/>
                <w:color w:val="212121"/>
                <w:sz w:val="16"/>
              </w:rPr>
              <w:t>Ascites, splenomegaly, dilated abdominal veins</w:t>
            </w:r>
          </w:p>
        </w:tc>
        <w:tc>
          <w:tcPr>
            <w:tcW w:type="dxa" w:w="1036"/>
            <w:vAlign w:val="top"/>
          </w:tcPr>
          <w:p>
            <w:pPr>
              <w:spacing w:after="40" w:before="0" w:line="259" w:lineRule="auto"/>
            </w:pPr>
            <w:r>
              <w:rPr>
                <w:rFonts w:ascii="Calibri" w:hAnsi="Calibri"/>
                <w:b w:val="0"/>
                <w:i w:val="0"/>
                <w:color w:val="212121"/>
                <w:sz w:val="16"/>
              </w:rPr>
              <w:t>Bedside evidence of portal hypertension and decompensation</w:t>
            </w:r>
          </w:p>
        </w:tc>
        <w:tc>
          <w:tcPr>
            <w:tcW w:type="dxa" w:w="1036"/>
            <w:vAlign w:val="top"/>
          </w:tcPr>
          <w:p>
            <w:pPr>
              <w:spacing w:after="40" w:before="0" w:line="259" w:lineRule="auto"/>
            </w:pPr>
            <w:r>
              <w:rPr>
                <w:rFonts w:ascii="Calibri" w:hAnsi="Calibri"/>
                <w:b w:val="0"/>
                <w:i w:val="0"/>
                <w:color w:val="212121"/>
                <w:sz w:val="16"/>
              </w:rPr>
              <w:t>Decompensated cirrhosis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Confirm new ascites with paracentesis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Hepatic encephalopathy assessment</w:t>
            </w:r>
          </w:p>
        </w:tc>
        <w:tc>
          <w:tcPr>
            <w:tcW w:type="dxa" w:w="979"/>
            <w:vAlign w:val="top"/>
          </w:tcPr>
          <w:p>
            <w:pPr>
              <w:spacing w:after="40" w:before="0" w:line="259" w:lineRule="auto"/>
            </w:pPr>
            <w:r>
              <w:rPr>
                <w:rFonts w:ascii="Calibri" w:hAnsi="Calibri"/>
                <w:b w:val="0"/>
                <w:i w:val="0"/>
                <w:color w:val="212121"/>
                <w:sz w:val="16"/>
              </w:rPr>
              <w:t>Asterixis, altered mentation, day-night reversal, West Haven grade</w:t>
            </w:r>
          </w:p>
        </w:tc>
        <w:tc>
          <w:tcPr>
            <w:tcW w:type="dxa" w:w="950"/>
            <w:vAlign w:val="top"/>
          </w:tcPr>
          <w:p>
            <w:pPr>
              <w:spacing w:after="40" w:before="0" w:line="259" w:lineRule="auto"/>
            </w:pPr>
            <w:r>
              <w:rPr>
                <w:rFonts w:ascii="Calibri" w:hAnsi="Calibri"/>
                <w:b w:val="0"/>
                <w:i w:val="0"/>
                <w:color w:val="212121"/>
                <w:sz w:val="16"/>
              </w:rPr>
              <w:t>Alert, no flap</w:t>
            </w:r>
          </w:p>
        </w:tc>
        <w:tc>
          <w:tcPr>
            <w:tcW w:type="dxa" w:w="950"/>
            <w:vAlign w:val="top"/>
          </w:tcPr>
          <w:p>
            <w:pPr>
              <w:spacing w:after="40" w:before="0" w:line="259" w:lineRule="auto"/>
            </w:pPr>
            <w:r>
              <w:rPr>
                <w:rFonts w:ascii="Calibri" w:hAnsi="Calibri"/>
                <w:b w:val="0"/>
                <w:i w:val="0"/>
                <w:color w:val="212121"/>
                <w:sz w:val="16"/>
              </w:rPr>
              <w:t>Asterixis; confusion; drowsiness (grades I-IV)</w:t>
            </w:r>
          </w:p>
        </w:tc>
        <w:tc>
          <w:tcPr>
            <w:tcW w:type="dxa" w:w="1036"/>
            <w:vAlign w:val="top"/>
          </w:tcPr>
          <w:p>
            <w:pPr>
              <w:spacing w:after="40" w:before="0" w:line="259" w:lineRule="auto"/>
            </w:pPr>
            <w:r>
              <w:rPr>
                <w:rFonts w:ascii="Calibri" w:hAnsi="Calibri"/>
                <w:b w:val="0"/>
                <w:i w:val="0"/>
                <w:color w:val="212121"/>
                <w:sz w:val="16"/>
              </w:rPr>
              <w:t>Detects and grades hepatic encephalopathy and its precipitants</w:t>
            </w:r>
          </w:p>
        </w:tc>
        <w:tc>
          <w:tcPr>
            <w:tcW w:type="dxa" w:w="1036"/>
            <w:vAlign w:val="top"/>
          </w:tcPr>
          <w:p>
            <w:pPr>
              <w:spacing w:after="40" w:before="0" w:line="259" w:lineRule="auto"/>
            </w:pPr>
            <w:r>
              <w:rPr>
                <w:rFonts w:ascii="Calibri" w:hAnsi="Calibri"/>
                <w:b w:val="0"/>
                <w:i w:val="0"/>
                <w:color w:val="212121"/>
                <w:sz w:val="16"/>
              </w:rPr>
              <w:t>Decompensated cirrhosis; ACLF</w:t>
            </w:r>
          </w:p>
        </w:tc>
        <w:tc>
          <w:tcPr>
            <w:tcW w:type="dxa" w:w="720"/>
            <w:vAlign w:val="top"/>
          </w:tcPr>
          <w:p>
            <w:pPr>
              <w:spacing w:after="40" w:before="0" w:line="259" w:lineRule="auto"/>
            </w:pPr>
            <w:r>
              <w:rPr>
                <w:rFonts w:ascii="Calibri" w:hAnsi="Calibri"/>
                <w:b w:val="0"/>
                <w:i w:val="0"/>
                <w:color w:val="212121"/>
                <w:sz w:val="16"/>
              </w:rPr>
              <w:t>Sleep; 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Screen for infection, bleed, constipation, sedatives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Nutritional &amp; frailty assessment</w:t>
            </w:r>
          </w:p>
        </w:tc>
        <w:tc>
          <w:tcPr>
            <w:tcW w:type="dxa" w:w="979"/>
            <w:vAlign w:val="top"/>
          </w:tcPr>
          <w:p>
            <w:pPr>
              <w:spacing w:after="40" w:before="0" w:line="259" w:lineRule="auto"/>
            </w:pPr>
            <w:r>
              <w:rPr>
                <w:rFonts w:ascii="Calibri" w:hAnsi="Calibri"/>
                <w:b w:val="0"/>
                <w:i w:val="0"/>
                <w:color w:val="212121"/>
                <w:sz w:val="16"/>
              </w:rPr>
              <w:t>Muscle mass (temporalis/quadriceps), grip strength, oedema</w:t>
            </w:r>
          </w:p>
        </w:tc>
        <w:tc>
          <w:tcPr>
            <w:tcW w:type="dxa" w:w="950"/>
            <w:vAlign w:val="top"/>
          </w:tcPr>
          <w:p>
            <w:pPr>
              <w:spacing w:after="40" w:before="0" w:line="259" w:lineRule="auto"/>
            </w:pPr>
            <w:r>
              <w:rPr>
                <w:rFonts w:ascii="Calibri" w:hAnsi="Calibri"/>
                <w:b w:val="0"/>
                <w:i w:val="0"/>
                <w:color w:val="212121"/>
                <w:sz w:val="16"/>
              </w:rPr>
              <w:t>Preserved muscle and strength</w:t>
            </w:r>
          </w:p>
        </w:tc>
        <w:tc>
          <w:tcPr>
            <w:tcW w:type="dxa" w:w="950"/>
            <w:vAlign w:val="top"/>
          </w:tcPr>
          <w:p>
            <w:pPr>
              <w:spacing w:after="40" w:before="0" w:line="259" w:lineRule="auto"/>
            </w:pPr>
            <w:r>
              <w:rPr>
                <w:rFonts w:ascii="Calibri" w:hAnsi="Calibri"/>
                <w:b w:val="0"/>
                <w:i w:val="0"/>
                <w:color w:val="212121"/>
                <w:sz w:val="16"/>
              </w:rPr>
              <w:t>Sarcopenia, muscle wasting, weakness</w:t>
            </w:r>
          </w:p>
        </w:tc>
        <w:tc>
          <w:tcPr>
            <w:tcW w:type="dxa" w:w="1036"/>
            <w:vAlign w:val="top"/>
          </w:tcPr>
          <w:p>
            <w:pPr>
              <w:spacing w:after="40" w:before="0" w:line="259" w:lineRule="auto"/>
            </w:pPr>
            <w:r>
              <w:rPr>
                <w:rFonts w:ascii="Calibri" w:hAnsi="Calibri"/>
                <w:b w:val="0"/>
                <w:i w:val="0"/>
                <w:color w:val="212121"/>
                <w:sz w:val="16"/>
              </w:rPr>
              <w:t>Sarcopenia independently predicts complications and mortality in cirrhosis</w:t>
            </w:r>
          </w:p>
        </w:tc>
        <w:tc>
          <w:tcPr>
            <w:tcW w:type="dxa" w:w="1036"/>
            <w:vAlign w:val="top"/>
          </w:tcPr>
          <w:p>
            <w:pPr>
              <w:spacing w:after="40" w:before="0" w:line="259" w:lineRule="auto"/>
            </w:pPr>
            <w:r>
              <w:rPr>
                <w:rFonts w:ascii="Calibri" w:hAnsi="Calibri"/>
                <w:b w:val="0"/>
                <w:i w:val="0"/>
                <w:color w:val="212121"/>
                <w:sz w:val="16"/>
              </w:rPr>
              <w:t>All cirrhosis, especially Child-Pugh B/C</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protein and calorie targets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Precipitant / drug review</w:t>
            </w:r>
          </w:p>
        </w:tc>
        <w:tc>
          <w:tcPr>
            <w:tcW w:type="dxa" w:w="979"/>
            <w:vAlign w:val="top"/>
          </w:tcPr>
          <w:p>
            <w:pPr>
              <w:spacing w:after="40" w:before="0" w:line="259" w:lineRule="auto"/>
            </w:pPr>
            <w:r>
              <w:rPr>
                <w:rFonts w:ascii="Calibri" w:hAnsi="Calibri"/>
                <w:b w:val="0"/>
                <w:i w:val="0"/>
                <w:color w:val="212121"/>
                <w:sz w:val="16"/>
              </w:rPr>
              <w:t>Infection, GI bleed, constipation, NSAIDs/sedatives, herbal remedies, dehydration</w:t>
            </w:r>
          </w:p>
        </w:tc>
        <w:tc>
          <w:tcPr>
            <w:tcW w:type="dxa" w:w="950"/>
            <w:vAlign w:val="top"/>
          </w:tcPr>
          <w:p>
            <w:pPr>
              <w:spacing w:after="40" w:before="0" w:line="259" w:lineRule="auto"/>
            </w:pPr>
            <w:r>
              <w:rPr>
                <w:rFonts w:ascii="Calibri" w:hAnsi="Calibri"/>
                <w:b w:val="0"/>
                <w:i w:val="0"/>
                <w:color w:val="212121"/>
                <w:sz w:val="16"/>
              </w:rPr>
              <w:t>No precipitant</w:t>
            </w:r>
          </w:p>
        </w:tc>
        <w:tc>
          <w:tcPr>
            <w:tcW w:type="dxa" w:w="950"/>
            <w:vAlign w:val="top"/>
          </w:tcPr>
          <w:p>
            <w:pPr>
              <w:spacing w:after="40" w:before="0" w:line="259" w:lineRule="auto"/>
            </w:pPr>
            <w:r>
              <w:rPr>
                <w:rFonts w:ascii="Calibri" w:hAnsi="Calibri"/>
                <w:b w:val="0"/>
                <w:i w:val="0"/>
                <w:color w:val="212121"/>
                <w:sz w:val="16"/>
              </w:rPr>
              <w:t>Identifiable precipitant present</w:t>
            </w:r>
          </w:p>
        </w:tc>
        <w:tc>
          <w:tcPr>
            <w:tcW w:type="dxa" w:w="1036"/>
            <w:vAlign w:val="top"/>
          </w:tcPr>
          <w:p>
            <w:pPr>
              <w:spacing w:after="40" w:before="0" w:line="259" w:lineRule="auto"/>
            </w:pPr>
            <w:r>
              <w:rPr>
                <w:rFonts w:ascii="Calibri" w:hAnsi="Calibri"/>
                <w:b w:val="0"/>
                <w:i w:val="0"/>
                <w:color w:val="212121"/>
                <w:sz w:val="16"/>
              </w:rPr>
              <w:t>Uncovers reversible triggers of decompensation and acute-on-chronic liver failure</w:t>
            </w:r>
          </w:p>
        </w:tc>
        <w:tc>
          <w:tcPr>
            <w:tcW w:type="dxa" w:w="1036"/>
            <w:vAlign w:val="top"/>
          </w:tcPr>
          <w:p>
            <w:pPr>
              <w:spacing w:after="40" w:before="0" w:line="259" w:lineRule="auto"/>
            </w:pPr>
            <w:r>
              <w:rPr>
                <w:rFonts w:ascii="Calibri" w:hAnsi="Calibri"/>
                <w:b w:val="0"/>
                <w:i w:val="0"/>
                <w:color w:val="212121"/>
                <w:sz w:val="16"/>
              </w:rPr>
              <w:t>Decompensating cirrhosis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Avoid hepatotoxic/sedative and OTC herbal drugs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metabolic history</w:t>
            </w:r>
          </w:p>
        </w:tc>
        <w:tc>
          <w:tcPr>
            <w:tcW w:type="dxa" w:w="979"/>
            <w:vAlign w:val="top"/>
          </w:tcPr>
          <w:p>
            <w:pPr>
              <w:spacing w:after="40" w:before="0" w:line="259" w:lineRule="auto"/>
            </w:pPr>
            <w:r>
              <w:rPr>
                <w:rFonts w:ascii="Calibri" w:hAnsi="Calibri"/>
                <w:b w:val="0"/>
                <w:i w:val="0"/>
                <w:color w:val="212121"/>
                <w:sz w:val="16"/>
              </w:rPr>
              <w:t>Family liver disease, diabetes, obesity, young-onset neuropsychiatric illness</w:t>
            </w:r>
          </w:p>
        </w:tc>
        <w:tc>
          <w:tcPr>
            <w:tcW w:type="dxa" w:w="950"/>
            <w:vAlign w:val="top"/>
          </w:tcPr>
          <w:p>
            <w:pPr>
              <w:spacing w:after="40" w:before="0" w:line="259" w:lineRule="auto"/>
            </w:pPr>
            <w:r>
              <w:rPr>
                <w:rFonts w:ascii="Calibri" w:hAnsi="Calibri"/>
                <w:b w:val="0"/>
                <w:i w:val="0"/>
                <w:color w:val="212121"/>
                <w:sz w:val="16"/>
              </w:rPr>
              <w:t>Non-contributory</w:t>
            </w:r>
          </w:p>
        </w:tc>
        <w:tc>
          <w:tcPr>
            <w:tcW w:type="dxa" w:w="950"/>
            <w:vAlign w:val="top"/>
          </w:tcPr>
          <w:p>
            <w:pPr>
              <w:spacing w:after="40" w:before="0" w:line="259" w:lineRule="auto"/>
            </w:pPr>
            <w:r>
              <w:rPr>
                <w:rFonts w:ascii="Calibri" w:hAnsi="Calibri"/>
                <w:b w:val="0"/>
                <w:i w:val="0"/>
                <w:color w:val="212121"/>
                <w:sz w:val="16"/>
              </w:rPr>
              <w:t>Positive family/metabolic history</w:t>
            </w:r>
          </w:p>
        </w:tc>
        <w:tc>
          <w:tcPr>
            <w:tcW w:type="dxa" w:w="1036"/>
            <w:vAlign w:val="top"/>
          </w:tcPr>
          <w:p>
            <w:pPr>
              <w:spacing w:after="40" w:before="0" w:line="259" w:lineRule="auto"/>
            </w:pPr>
            <w:r>
              <w:rPr>
                <w:rFonts w:ascii="Calibri" w:hAnsi="Calibri"/>
                <w:b w:val="0"/>
                <w:i w:val="0"/>
                <w:color w:val="212121"/>
                <w:sz w:val="16"/>
              </w:rPr>
              <w:t>Points to inherited (Wilson, haemochromatosis) and metabolic (MASLD) aetiologies</w:t>
            </w:r>
          </w:p>
        </w:tc>
        <w:tc>
          <w:tcPr>
            <w:tcW w:type="dxa" w:w="1036"/>
            <w:vAlign w:val="top"/>
          </w:tcPr>
          <w:p>
            <w:pPr>
              <w:spacing w:after="40" w:before="0" w:line="259" w:lineRule="auto"/>
            </w:pPr>
            <w:r>
              <w:rPr>
                <w:rFonts w:ascii="Calibri" w:hAnsi="Calibri"/>
                <w:b w:val="0"/>
                <w:i w:val="0"/>
                <w:color w:val="212121"/>
                <w:sz w:val="16"/>
              </w:rPr>
              <w:t>Young patients; metabolic phenotype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Screen relatives for HBV and metabolic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tiredness and reduced exercise tolerance, often the earliest and most disabling symptom, related to impaired metabolism and inflammation.</w:t>
            </w:r>
          </w:p>
        </w:tc>
      </w:tr>
      <w:tr>
        <w:trPr>
          <w:cantSplit/>
        </w:trPr>
        <w:tc>
          <w:tcPr>
            <w:tcW w:type="dxa" w:w="2304"/>
            <w:vAlign w:val="top"/>
          </w:tcPr>
          <w:p>
            <w:pPr>
              <w:spacing w:after="40" w:before="0" w:line="259" w:lineRule="auto"/>
            </w:pPr>
            <w:r>
              <w:rPr>
                <w:rFonts w:ascii="Calibri" w:hAnsi="Calibri"/>
                <w:b/>
                <w:i w:val="0"/>
                <w:color w:val="212121"/>
                <w:sz w:val="19"/>
              </w:rPr>
              <w:t>Anorexia and early satiety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appetite and feeling full quickly, worsened by ascites, contributing to malnutrition and muscle loss.</w:t>
            </w:r>
          </w:p>
        </w:tc>
      </w:tr>
      <w:tr>
        <w:trPr>
          <w:cantSplit/>
        </w:trPr>
        <w:tc>
          <w:tcPr>
            <w:tcW w:type="dxa" w:w="2304"/>
            <w:vAlign w:val="top"/>
          </w:tcPr>
          <w:p>
            <w:pPr>
              <w:spacing w:after="40" w:before="0" w:line="259" w:lineRule="auto"/>
            </w:pPr>
            <w:r>
              <w:rPr>
                <w:rFonts w:ascii="Calibri" w:hAnsi="Calibri"/>
                <w:b/>
                <w:i w:val="0"/>
                <w:color w:val="212121"/>
                <w:sz w:val="19"/>
              </w:rPr>
              <w:t>Abdominal distension (ascites)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swelling of the abdomen from fluid accumulation due to portal hypertension and low albumin - a hallmark of decompensation.</w:t>
            </w:r>
          </w:p>
        </w:tc>
      </w:tr>
      <w:tr>
        <w:trPr>
          <w:cantSplit/>
        </w:trPr>
        <w:tc>
          <w:tcPr>
            <w:tcW w:type="dxa" w:w="2304"/>
            <w:vAlign w:val="top"/>
          </w:tcPr>
          <w:p>
            <w:pPr>
              <w:spacing w:after="40" w:before="0" w:line="259" w:lineRule="auto"/>
            </w:pPr>
            <w:r>
              <w:rPr>
                <w:rFonts w:ascii="Calibri" w:hAnsi="Calibri"/>
                <w:b/>
                <w:i w:val="0"/>
                <w:color w:val="212121"/>
                <w:sz w:val="19"/>
              </w:rPr>
              <w:t>Jaundice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Yellowing of the eyes and skin from impaired bilirubin handling, marking significant hepatic dysfunction.</w:t>
            </w:r>
          </w:p>
        </w:tc>
      </w:tr>
      <w:tr>
        <w:trPr>
          <w:cantSplit/>
        </w:trPr>
        <w:tc>
          <w:tcPr>
            <w:tcW w:type="dxa" w:w="2304"/>
            <w:vAlign w:val="top"/>
          </w:tcPr>
          <w:p>
            <w:pPr>
              <w:spacing w:after="40" w:before="0" w:line="259" w:lineRule="auto"/>
            </w:pPr>
            <w:r>
              <w:rPr>
                <w:rFonts w:ascii="Calibri" w:hAnsi="Calibri"/>
                <w:b/>
                <w:i w:val="0"/>
                <w:color w:val="212121"/>
                <w:sz w:val="19"/>
              </w:rPr>
              <w:t>Pedal oedema / leg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Ankle and leg swelling from hypoalbuminaemia and sodium-water retention.</w:t>
            </w:r>
          </w:p>
        </w:tc>
      </w:tr>
      <w:tr>
        <w:trPr>
          <w:cantSplit/>
        </w:trPr>
        <w:tc>
          <w:tcPr>
            <w:tcW w:type="dxa" w:w="2304"/>
            <w:vAlign w:val="top"/>
          </w:tcPr>
          <w:p>
            <w:pPr>
              <w:spacing w:after="40" w:before="0" w:line="259" w:lineRule="auto"/>
            </w:pPr>
            <w:r>
              <w:rPr>
                <w:rFonts w:ascii="Calibri" w:hAnsi="Calibri"/>
                <w:b/>
                <w:i w:val="0"/>
                <w:color w:val="212121"/>
                <w:sz w:val="19"/>
              </w:rPr>
              <w:t>Easy bruising and bleeding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reduced synthesis of clotting factors and thrombocytopenia due to hypersplenism.</w:t>
            </w:r>
          </w:p>
        </w:tc>
      </w:tr>
      <w:tr>
        <w:trPr>
          <w:cantSplit/>
        </w:trPr>
        <w:tc>
          <w:tcPr>
            <w:tcW w:type="dxa" w:w="2304"/>
            <w:vAlign w:val="top"/>
          </w:tcPr>
          <w:p>
            <w:pPr>
              <w:spacing w:after="40" w:before="0" w:line="259" w:lineRule="auto"/>
            </w:pPr>
            <w:r>
              <w:rPr>
                <w:rFonts w:ascii="Calibri" w:hAnsi="Calibri"/>
                <w:b/>
                <w:i w:val="0"/>
                <w:color w:val="212121"/>
                <w:sz w:val="19"/>
              </w:rPr>
              <w:t>Pruritus (itching)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Generalised itching, particularly in cholestatic disease, from retained bile salts.</w:t>
            </w:r>
          </w:p>
        </w:tc>
      </w:tr>
      <w:tr>
        <w:trPr>
          <w:cantSplit/>
        </w:trPr>
        <w:tc>
          <w:tcPr>
            <w:tcW w:type="dxa" w:w="2304"/>
            <w:vAlign w:val="top"/>
          </w:tcPr>
          <w:p>
            <w:pPr>
              <w:spacing w:after="40" w:before="0" w:line="259" w:lineRule="auto"/>
            </w:pPr>
            <w:r>
              <w:rPr>
                <w:rFonts w:ascii="Calibri" w:hAnsi="Calibri"/>
                <w:b/>
                <w:i w:val="0"/>
                <w:color w:val="212121"/>
                <w:sz w:val="19"/>
              </w:rPr>
              <w:t>Weight loss and muscle wasting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Sarcopenia and cachexia from impaired metabolism and poor intake, an important prognostic sign.</w:t>
            </w:r>
          </w:p>
        </w:tc>
      </w:tr>
      <w:tr>
        <w:trPr>
          <w:cantSplit/>
        </w:trPr>
        <w:tc>
          <w:tcPr>
            <w:tcW w:type="dxa" w:w="2304"/>
            <w:vAlign w:val="top"/>
          </w:tcPr>
          <w:p>
            <w:pPr>
              <w:spacing w:after="40" w:before="0" w:line="259" w:lineRule="auto"/>
            </w:pPr>
            <w:r>
              <w:rPr>
                <w:rFonts w:ascii="Calibri" w:hAnsi="Calibri"/>
                <w:b/>
                <w:i w:val="0"/>
                <w:color w:val="212121"/>
                <w:sz w:val="19"/>
              </w:rPr>
              <w:t>Haematemesis / melena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Vomiting blood or passing black stools from bleeding oesophageal or gastric varices - a medical emergency.</w:t>
            </w:r>
          </w:p>
        </w:tc>
      </w:tr>
      <w:tr>
        <w:trPr>
          <w:cantSplit/>
        </w:trPr>
        <w:tc>
          <w:tcPr>
            <w:tcW w:type="dxa" w:w="2304"/>
            <w:vAlign w:val="top"/>
          </w:tcPr>
          <w:p>
            <w:pPr>
              <w:spacing w:after="40" w:before="0" w:line="259" w:lineRule="auto"/>
            </w:pPr>
            <w:r>
              <w:rPr>
                <w:rFonts w:ascii="Calibri" w:hAnsi="Calibri"/>
                <w:b/>
                <w:i w:val="0"/>
                <w:color w:val="212121"/>
                <w:sz w:val="19"/>
              </w:rPr>
              <w:t>Confusion, altered sleep, drowsiness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Hepatic encephalopathy: reversed sleep-wake cycle, forgetfulness, disorientation, progressing to stupor and coma.</w:t>
            </w:r>
          </w:p>
        </w:tc>
      </w:tr>
      <w:tr>
        <w:trPr>
          <w:cantSplit/>
        </w:trPr>
        <w:tc>
          <w:tcPr>
            <w:tcW w:type="dxa" w:w="2304"/>
            <w:vAlign w:val="top"/>
          </w:tcPr>
          <w:p>
            <w:pPr>
              <w:spacing w:after="40" w:before="0" w:line="259" w:lineRule="auto"/>
            </w:pPr>
            <w:r>
              <w:rPr>
                <w:rFonts w:ascii="Calibri" w:hAnsi="Calibri"/>
                <w:b/>
                <w:i w:val="0"/>
                <w:color w:val="212121"/>
                <w:sz w:val="19"/>
              </w:rPr>
              <w:t>Reduced libido and sexual dysfunction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altered sex-hormone metabolism, causing loss of libido, impotence and menstrual irregularity.</w:t>
            </w:r>
          </w:p>
        </w:tc>
      </w:tr>
      <w:tr>
        <w:trPr>
          <w:cantSplit/>
        </w:trPr>
        <w:tc>
          <w:tcPr>
            <w:tcW w:type="dxa" w:w="2304"/>
            <w:vAlign w:val="top"/>
          </w:tcPr>
          <w:p>
            <w:pPr>
              <w:spacing w:after="40" w:before="0" w:line="259" w:lineRule="auto"/>
            </w:pPr>
            <w:r>
              <w:rPr>
                <w:rFonts w:ascii="Calibri" w:hAnsi="Calibri"/>
                <w:b/>
                <w:i w:val="0"/>
                <w:color w:val="212121"/>
                <w:sz w:val="19"/>
              </w:rPr>
              <w:t>Muscle cramps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Painful nocturnal cramps are frequent in cirrhosis and impair quality of life.</w:t>
            </w:r>
          </w:p>
        </w:tc>
      </w:tr>
      <w:tr>
        <w:trPr>
          <w:cantSplit/>
        </w:trPr>
        <w:tc>
          <w:tcPr>
            <w:tcW w:type="dxa" w:w="2304"/>
            <w:vAlign w:val="top"/>
          </w:tcPr>
          <w:p>
            <w:pPr>
              <w:spacing w:after="40" w:before="0" w:line="259" w:lineRule="auto"/>
            </w:pPr>
            <w:r>
              <w:rPr>
                <w:rFonts w:ascii="Calibri" w:hAnsi="Calibri"/>
                <w:b/>
                <w:i w:val="0"/>
                <w:color w:val="212121"/>
                <w:sz w:val="19"/>
              </w:rPr>
              <w:t>Right upper quadrant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Dull ache from hepatic capsular stretch or associated conditions; new or worsening pain may suggest hepatocellular carcinoma.</w:t>
            </w:r>
          </w:p>
        </w:tc>
      </w:tr>
      <w:tr>
        <w:trPr>
          <w:cantSplit/>
        </w:trPr>
        <w:tc>
          <w:tcPr>
            <w:tcW w:type="dxa" w:w="2304"/>
            <w:vAlign w:val="top"/>
          </w:tcPr>
          <w:p>
            <w:pPr>
              <w:spacing w:after="40" w:before="0" w:line="259" w:lineRule="auto"/>
            </w:pPr>
            <w:r>
              <w:rPr>
                <w:rFonts w:ascii="Calibri" w:hAnsi="Calibri"/>
                <w:b/>
                <w:i w:val="0"/>
                <w:color w:val="212121"/>
                <w:sz w:val="19"/>
              </w:rPr>
              <w:t>Fever and abdominal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indicate spontaneous bacterial peritonitis or other infection precipitating decompensation.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Jaundice / scleral icterus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Yellow discolouration of sclerae and skin reflecting hyperbilirubinaemia and hepatic decompensation.</w:t>
            </w:r>
          </w:p>
        </w:tc>
      </w:tr>
      <w:tr>
        <w:trPr>
          <w:cantSplit/>
        </w:trPr>
        <w:tc>
          <w:tcPr>
            <w:tcW w:type="dxa" w:w="3456"/>
            <w:vAlign w:val="top"/>
          </w:tcPr>
          <w:p>
            <w:pPr>
              <w:spacing w:after="40" w:before="0" w:line="259" w:lineRule="auto"/>
            </w:pPr>
            <w:r>
              <w:rPr>
                <w:rFonts w:ascii="Calibri" w:hAnsi="Calibri"/>
                <w:b/>
                <w:i w:val="0"/>
                <w:color w:val="212121"/>
                <w:sz w:val="19"/>
              </w:rPr>
              <w:t>Ascites (shifting dullness / fluid thrill)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Free peritoneal fluid demonstrable on percussion - a key sign of portal hypertension and decompensation.</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Enlarged spleen from portal hypertension and congestion, often with thrombocytopenia.</w:t>
            </w:r>
          </w:p>
        </w:tc>
      </w:tr>
      <w:tr>
        <w:trPr>
          <w:cantSplit/>
        </w:trPr>
        <w:tc>
          <w:tcPr>
            <w:tcW w:type="dxa" w:w="3456"/>
            <w:vAlign w:val="top"/>
          </w:tcPr>
          <w:p>
            <w:pPr>
              <w:spacing w:after="40" w:before="0" w:line="259" w:lineRule="auto"/>
            </w:pPr>
            <w:r>
              <w:rPr>
                <w:rFonts w:ascii="Calibri" w:hAnsi="Calibri"/>
                <w:b/>
                <w:i w:val="0"/>
                <w:color w:val="212121"/>
                <w:sz w:val="19"/>
              </w:rPr>
              <w:t>Spider naevi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Central arteriole with radiating vessels in the SVC distribution, reflecting hyperoestrogenism; multiple lesions suggest advanced disease.</w:t>
            </w:r>
          </w:p>
        </w:tc>
      </w:tr>
      <w:tr>
        <w:trPr>
          <w:cantSplit/>
        </w:trPr>
        <w:tc>
          <w:tcPr>
            <w:tcW w:type="dxa" w:w="3456"/>
            <w:vAlign w:val="top"/>
          </w:tcPr>
          <w:p>
            <w:pPr>
              <w:spacing w:after="40" w:before="0" w:line="259" w:lineRule="auto"/>
            </w:pPr>
            <w:r>
              <w:rPr>
                <w:rFonts w:ascii="Calibri" w:hAnsi="Calibri"/>
                <w:b/>
                <w:i w:val="0"/>
                <w:color w:val="212121"/>
                <w:sz w:val="19"/>
              </w:rPr>
              <w:t>Palmar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Reddening of the thenar and hypothenar eminences, another sign of altered oestrogen metabolism.</w:t>
            </w:r>
          </w:p>
        </w:tc>
      </w:tr>
      <w:tr>
        <w:trPr>
          <w:cantSplit/>
        </w:trPr>
        <w:tc>
          <w:tcPr>
            <w:tcW w:type="dxa" w:w="3456"/>
            <w:vAlign w:val="top"/>
          </w:tcPr>
          <w:p>
            <w:pPr>
              <w:spacing w:after="40" w:before="0" w:line="259" w:lineRule="auto"/>
            </w:pPr>
            <w:r>
              <w:rPr>
                <w:rFonts w:ascii="Calibri" w:hAnsi="Calibri"/>
                <w:b/>
                <w:i w:val="0"/>
                <w:color w:val="212121"/>
                <w:sz w:val="19"/>
              </w:rPr>
              <w:t>Asterixis (flapping tremor)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Coarse flapping of the outstretched, dorsiflexed hands - a sign of hepatic encephalopathy.</w:t>
            </w:r>
          </w:p>
        </w:tc>
      </w:tr>
      <w:tr>
        <w:trPr>
          <w:cantSplit/>
        </w:trPr>
        <w:tc>
          <w:tcPr>
            <w:tcW w:type="dxa" w:w="3456"/>
            <w:vAlign w:val="top"/>
          </w:tcPr>
          <w:p>
            <w:pPr>
              <w:spacing w:after="40" w:before="0" w:line="259" w:lineRule="auto"/>
            </w:pPr>
            <w:r>
              <w:rPr>
                <w:rFonts w:ascii="Calibri" w:hAnsi="Calibri"/>
                <w:b/>
                <w:i w:val="0"/>
                <w:color w:val="212121"/>
                <w:sz w:val="19"/>
              </w:rPr>
              <w:t>Gynaecomastia and testicular atrophy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Feminising signs in men from disturbed sex-hormone metabolism.</w:t>
            </w:r>
          </w:p>
        </w:tc>
      </w:tr>
      <w:tr>
        <w:trPr>
          <w:cantSplit/>
        </w:trPr>
        <w:tc>
          <w:tcPr>
            <w:tcW w:type="dxa" w:w="3456"/>
            <w:vAlign w:val="top"/>
          </w:tcPr>
          <w:p>
            <w:pPr>
              <w:spacing w:after="40" w:before="0" w:line="259" w:lineRule="auto"/>
            </w:pPr>
            <w:r>
              <w:rPr>
                <w:rFonts w:ascii="Calibri" w:hAnsi="Calibri"/>
                <w:b/>
                <w:i w:val="0"/>
                <w:color w:val="212121"/>
                <w:sz w:val="19"/>
              </w:rPr>
              <w:t>Caput medusae / dilated abdominal veins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Distended periumbilical veins from recanalised umbilical vein, indicating portal hypertension.</w:t>
            </w:r>
          </w:p>
        </w:tc>
      </w:tr>
      <w:tr>
        <w:trPr>
          <w:cantSplit/>
        </w:trPr>
        <w:tc>
          <w:tcPr>
            <w:tcW w:type="dxa" w:w="3456"/>
            <w:vAlign w:val="top"/>
          </w:tcPr>
          <w:p>
            <w:pPr>
              <w:spacing w:after="40" w:before="0" w:line="259" w:lineRule="auto"/>
            </w:pPr>
            <w:r>
              <w:rPr>
                <w:rFonts w:ascii="Calibri" w:hAnsi="Calibri"/>
                <w:b/>
                <w:i w:val="0"/>
                <w:color w:val="212121"/>
                <w:sz w:val="19"/>
              </w:rPr>
              <w:t>Leukonychia and clubbing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White nails (hypoalbuminaemia) and finger clubbing seen in chronic liver disease.</w:t>
            </w:r>
          </w:p>
        </w:tc>
      </w:tr>
      <w:tr>
        <w:trPr>
          <w:cantSplit/>
        </w:trPr>
        <w:tc>
          <w:tcPr>
            <w:tcW w:type="dxa" w:w="3456"/>
            <w:vAlign w:val="top"/>
          </w:tcPr>
          <w:p>
            <w:pPr>
              <w:spacing w:after="40" w:before="0" w:line="259" w:lineRule="auto"/>
            </w:pPr>
            <w:r>
              <w:rPr>
                <w:rFonts w:ascii="Calibri" w:hAnsi="Calibri"/>
                <w:b/>
                <w:i w:val="0"/>
                <w:color w:val="212121"/>
                <w:sz w:val="19"/>
              </w:rPr>
              <w:t>Fetor hepaticus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sweet, musty breath odour from volatile sulphur compounds, associated with encephalopathy and portosystemic shunting.</w:t>
            </w:r>
          </w:p>
        </w:tc>
      </w:tr>
      <w:tr>
        <w:trPr>
          <w:cantSplit/>
        </w:trPr>
        <w:tc>
          <w:tcPr>
            <w:tcW w:type="dxa" w:w="3456"/>
            <w:vAlign w:val="top"/>
          </w:tcPr>
          <w:p>
            <w:pPr>
              <w:spacing w:after="40" w:before="0" w:line="259" w:lineRule="auto"/>
            </w:pPr>
            <w:r>
              <w:rPr>
                <w:rFonts w:ascii="Calibri" w:hAnsi="Calibri"/>
                <w:b/>
                <w:i w:val="0"/>
                <w:color w:val="212121"/>
                <w:sz w:val="19"/>
              </w:rPr>
              <w:t>Dupuytren's contracture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Fibrous thickening of the palmar fascia, classically associated with alcohol-related liver disease.</w:t>
            </w:r>
          </w:p>
        </w:tc>
      </w:tr>
      <w:tr>
        <w:trPr>
          <w:cantSplit/>
        </w:trPr>
        <w:tc>
          <w:tcPr>
            <w:tcW w:type="dxa" w:w="3456"/>
            <w:vAlign w:val="top"/>
          </w:tcPr>
          <w:p>
            <w:pPr>
              <w:spacing w:after="40" w:before="0" w:line="259" w:lineRule="auto"/>
            </w:pPr>
            <w:r>
              <w:rPr>
                <w:rFonts w:ascii="Calibri" w:hAnsi="Calibri"/>
                <w:b/>
                <w:i w:val="0"/>
                <w:color w:val="212121"/>
                <w:sz w:val="19"/>
              </w:rPr>
              <w:t>Parotid enlargement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Bilateral parotid swelling associated with chronic alcohol use.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Portal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Ascites and dependent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Oesophageal and gastric varices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Hypersplenism with thrombocytopenia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Hepatic synthetic failure (hypoalbuminaemia, coagulopathy, jaundice)</w:t>
            </w:r>
          </w:p>
        </w:tc>
        <w:tc>
          <w:tcPr>
            <w:tcW w:type="dxa" w:w="2980"/>
            <w:vAlign w:val="top"/>
          </w:tcPr>
          <w:p>
            <w:pPr>
              <w:spacing w:after="40" w:before="0" w:line="259" w:lineRule="auto"/>
            </w:pPr>
            <w:r>
              <w:rPr>
                <w:rFonts w:ascii="Calibri" w:hAnsi="Calibri"/>
                <w:b w:val="0"/>
                <w:i w:val="0"/>
                <w:color w:val="212121"/>
                <w:sz w:val="19"/>
              </w:rPr>
              <w:t>Direct structural and functional consequences of a scarred liver and raised portal pressure.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Variceal (upper GI)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Spontaneous bacterial peritonitis and other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Hepatic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Hepatorenal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Hepatic hydrothorax and hepatopulmonary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Portal vein thrombosis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Dilutional hyponatraemia</w:t>
            </w:r>
          </w:p>
        </w:tc>
        <w:tc>
          <w:tcPr>
            <w:tcW w:type="dxa" w:w="2980"/>
            <w:vAlign w:val="top"/>
          </w:tcPr>
          <w:p>
            <w:pPr>
              <w:spacing w:after="40" w:before="0" w:line="259" w:lineRule="auto"/>
            </w:pPr>
            <w:r>
              <w:rPr>
                <w:rFonts w:ascii="Calibri" w:hAnsi="Calibri"/>
                <w:b w:val="0"/>
                <w:i w:val="0"/>
                <w:color w:val="212121"/>
                <w:sz w:val="19"/>
              </w:rPr>
              <w:t>Decompensating complications arising from portal hypertension, immune dysfunction and circulatory derangement.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Hepatocellular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Acute-on-chronic liver failure (ACLF) with multi-organ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liver disease requiring liver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Sarcopenia, frailty and hepatic osteodystrophy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liver failure, bleeding or sepsis</w:t>
            </w:r>
          </w:p>
        </w:tc>
        <w:tc>
          <w:tcPr>
            <w:tcW w:type="dxa" w:w="2980"/>
            <w:vAlign w:val="top"/>
          </w:tcPr>
          <w:p>
            <w:pPr>
              <w:spacing w:after="40" w:before="0" w:line="259" w:lineRule="auto"/>
            </w:pPr>
            <w:r>
              <w:rPr>
                <w:rFonts w:ascii="Calibri" w:hAnsi="Calibri"/>
                <w:b w:val="0"/>
                <w:i w:val="0"/>
                <w:color w:val="212121"/>
                <w:sz w:val="19"/>
              </w:rPr>
              <w:t>Irreversible, life-threatening outcomes of longstanding cirrhosis and its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Hepatocellular carcinoma (HCC)</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Cirrhosis of any cause is the dominant risk factor for HCC, which arises on a background of chronic injury and regeneration; six-monthly ultrasound and AFP surveillance is recommended in all cirrhotics. Hepatitis B and aflatoxin add synergistic risk in India.</w:t>
            </w:r>
          </w:p>
        </w:tc>
      </w:tr>
      <w:tr>
        <w:trPr>
          <w:cantSplit/>
        </w:trPr>
        <w:tc>
          <w:tcPr>
            <w:tcW w:type="dxa" w:w="2232"/>
            <w:vAlign w:val="top"/>
          </w:tcPr>
          <w:p>
            <w:pPr>
              <w:spacing w:after="40" w:before="0" w:line="259" w:lineRule="auto"/>
            </w:pPr>
            <w:r>
              <w:rPr>
                <w:rFonts w:ascii="Calibri" w:hAnsi="Calibri"/>
                <w:b/>
                <w:i w:val="0"/>
                <w:color w:val="212121"/>
                <w:sz w:val="19"/>
              </w:rPr>
              <w:t>Portal hypertension and oesophageal varices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Raised portal pressure is an intrinsic consequence of cirrhosis and drives varices, ascites and variceal bleeding; it defines the transition to decompensation and mandates endoscopic screening and prophylaxis.</w:t>
            </w:r>
          </w:p>
        </w:tc>
      </w:tr>
      <w:tr>
        <w:trPr>
          <w:cantSplit/>
        </w:trPr>
        <w:tc>
          <w:tcPr>
            <w:tcW w:type="dxa" w:w="2232"/>
            <w:vAlign w:val="top"/>
          </w:tcPr>
          <w:p>
            <w:pPr>
              <w:spacing w:after="40" w:before="0" w:line="259" w:lineRule="auto"/>
            </w:pPr>
            <w:r>
              <w:rPr>
                <w:rFonts w:ascii="Calibri" w:hAnsi="Calibri"/>
                <w:b/>
                <w:i w:val="0"/>
                <w:color w:val="212121"/>
                <w:sz w:val="19"/>
              </w:rPr>
              <w:t>Type 2 diabetes mellitus / hepatogenous diabetes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Insulin resistance links diabetes and MASLD to cirrhosis, and cirrhosis itself impairs glucose handling to cause 'hepatogenous' diabetes; the association is bidirectional and diabetes worsens HCC risk and cirrhosis outcomes.</w:t>
            </w:r>
          </w:p>
        </w:tc>
      </w:tr>
      <w:tr>
        <w:trPr>
          <w:cantSplit/>
        </w:trPr>
        <w:tc>
          <w:tcPr>
            <w:tcW w:type="dxa" w:w="2232"/>
            <w:vAlign w:val="top"/>
          </w:tcPr>
          <w:p>
            <w:pPr>
              <w:spacing w:after="40" w:before="0" w:line="259" w:lineRule="auto"/>
            </w:pPr>
            <w:r>
              <w:rPr>
                <w:rFonts w:ascii="Calibri" w:hAnsi="Calibri"/>
                <w:b/>
                <w:i w:val="0"/>
                <w:color w:val="212121"/>
                <w:sz w:val="19"/>
              </w:rPr>
              <w:t>MASLD / 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MASLD/MASH is both a leading cause of cirrhosis and part of a shared metabolic syndrome with obesity, dyslipidaemia and hypertension; it is the fastest-rising driver of cirrhosis in India.</w:t>
            </w:r>
          </w:p>
        </w:tc>
      </w:tr>
      <w:tr>
        <w:trPr>
          <w:cantSplit/>
        </w:trPr>
        <w:tc>
          <w:tcPr>
            <w:tcW w:type="dxa" w:w="2232"/>
            <w:vAlign w:val="top"/>
          </w:tcPr>
          <w:p>
            <w:pPr>
              <w:spacing w:after="40" w:before="0" w:line="259" w:lineRule="auto"/>
            </w:pPr>
            <w:r>
              <w:rPr>
                <w:rFonts w:ascii="Calibri" w:hAnsi="Calibri"/>
                <w:b/>
                <w:i w:val="0"/>
                <w:color w:val="212121"/>
                <w:sz w:val="19"/>
              </w:rPr>
              <w:t>Chronic hepatitis B and C</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Persistent viral infection causes the fibrosis that culminates in cirrhosis and, for HBV, HCC even without cirrhosis; antiviral therapy alters progression, prognosis and cancer risk.</w:t>
            </w:r>
          </w:p>
        </w:tc>
      </w:tr>
      <w:tr>
        <w:trPr>
          <w:cantSplit/>
        </w:trPr>
        <w:tc>
          <w:tcPr>
            <w:tcW w:type="dxa" w:w="2232"/>
            <w:vAlign w:val="top"/>
          </w:tcPr>
          <w:p>
            <w:pPr>
              <w:spacing w:after="40" w:before="0" w:line="259" w:lineRule="auto"/>
            </w:pPr>
            <w:r>
              <w:rPr>
                <w:rFonts w:ascii="Calibri" w:hAnsi="Calibri"/>
                <w:b/>
                <w:i w:val="0"/>
                <w:color w:val="212121"/>
                <w:sz w:val="19"/>
              </w:rPr>
              <w:t>Hepatic encephalopathy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Accumulation of ammonia and other toxins through a failing liver and portosystemic shunts causes reversible neuropsychiatric dysfunction; it is a defining decompensating event that alters management and driving fitness.</w:t>
            </w:r>
          </w:p>
        </w:tc>
      </w:tr>
      <w:tr>
        <w:trPr>
          <w:cantSplit/>
        </w:trPr>
        <w:tc>
          <w:tcPr>
            <w:tcW w:type="dxa" w:w="2232"/>
            <w:vAlign w:val="top"/>
          </w:tcPr>
          <w:p>
            <w:pPr>
              <w:spacing w:after="40" w:before="0" w:line="259" w:lineRule="auto"/>
            </w:pPr>
            <w:r>
              <w:rPr>
                <w:rFonts w:ascii="Calibri" w:hAnsi="Calibri"/>
                <w:b/>
                <w:i w:val="0"/>
                <w:color w:val="212121"/>
                <w:sz w:val="19"/>
              </w:rPr>
              <w:t>Hepatorenal syndrome / chronic kidney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Splanchnic vasodilatation and circulatory dysfunction in advanced cirrhosis reduce renal perfusion, producing hepatorenal syndrome; renal impairment sharply worsens prognosis and complicates drug and fluid management.</w:t>
            </w:r>
          </w:p>
        </w:tc>
      </w:tr>
      <w:tr>
        <w:trPr>
          <w:cantSplit/>
        </w:trPr>
        <w:tc>
          <w:tcPr>
            <w:tcW w:type="dxa" w:w="2232"/>
            <w:vAlign w:val="top"/>
          </w:tcPr>
          <w:p>
            <w:pPr>
              <w:spacing w:after="40" w:before="0" w:line="259" w:lineRule="auto"/>
            </w:pPr>
            <w:r>
              <w:rPr>
                <w:rFonts w:ascii="Calibri" w:hAnsi="Calibri"/>
                <w:b/>
                <w:i w:val="0"/>
                <w:color w:val="212121"/>
                <w:sz w:val="19"/>
              </w:rPr>
              <w:t>Spontaneous bacterial peritonitis / infections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Cirrhosis-associated immune dysfunction predisposes to SBP and sepsis, common precipitants of acute-on-chronic liver failure requiring prompt antibiotics and albumin.</w:t>
            </w:r>
          </w:p>
        </w:tc>
      </w:tr>
      <w:tr>
        <w:trPr>
          <w:cantSplit/>
        </w:trPr>
        <w:tc>
          <w:tcPr>
            <w:tcW w:type="dxa" w:w="2232"/>
            <w:vAlign w:val="top"/>
          </w:tcPr>
          <w:p>
            <w:pPr>
              <w:spacing w:after="40" w:before="0" w:line="259" w:lineRule="auto"/>
            </w:pPr>
            <w:r>
              <w:rPr>
                <w:rFonts w:ascii="Calibri" w:hAnsi="Calibri"/>
                <w:b/>
                <w:i w:val="0"/>
                <w:color w:val="212121"/>
                <w:sz w:val="19"/>
              </w:rPr>
              <w:t>Coagulopathy and thrombocytopenia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synthesis of clotting factors and hypersplenism produce a rebalanced but fragile haemostasis; both bleeding and thrombosis (e.g. portal vein) can occur and complicate procedures.</w:t>
            </w:r>
          </w:p>
        </w:tc>
      </w:tr>
      <w:tr>
        <w:trPr>
          <w:cantSplit/>
        </w:trPr>
        <w:tc>
          <w:tcPr>
            <w:tcW w:type="dxa" w:w="2232"/>
            <w:vAlign w:val="top"/>
          </w:tcPr>
          <w:p>
            <w:pPr>
              <w:spacing w:after="40" w:before="0" w:line="259" w:lineRule="auto"/>
            </w:pPr>
            <w:r>
              <w:rPr>
                <w:rFonts w:ascii="Calibri" w:hAnsi="Calibri"/>
                <w:b/>
                <w:i w:val="0"/>
                <w:color w:val="212121"/>
                <w:sz w:val="19"/>
              </w:rPr>
              <w:t>Malnutrition and sarcopenia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metabolism, anorexia and accelerated fasting catabolism cause muscle wasting that independently predicts complications and death; nutrition therapy is central to management.</w:t>
            </w:r>
          </w:p>
        </w:tc>
      </w:tr>
      <w:tr>
        <w:trPr>
          <w:cantSplit/>
        </w:trPr>
        <w:tc>
          <w:tcPr>
            <w:tcW w:type="dxa" w:w="2232"/>
            <w:vAlign w:val="top"/>
          </w:tcPr>
          <w:p>
            <w:pPr>
              <w:spacing w:after="40" w:before="0" w:line="259" w:lineRule="auto"/>
            </w:pPr>
            <w:r>
              <w:rPr>
                <w:rFonts w:ascii="Calibri" w:hAnsi="Calibri"/>
                <w:b/>
                <w:i w:val="0"/>
                <w:color w:val="212121"/>
                <w:sz w:val="19"/>
              </w:rPr>
              <w:t>Hepatic osteodystrophy (osteoporosis)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cholestatic and alcohol-related cirrhosis impair vitamin D metabolism and bone turnover, raising fracture risk that requires screening and supplementation.</w:t>
            </w:r>
          </w:p>
        </w:tc>
      </w:tr>
      <w:tr>
        <w:trPr>
          <w:cantSplit/>
        </w:trPr>
        <w:tc>
          <w:tcPr>
            <w:tcW w:type="dxa" w:w="2232"/>
            <w:vAlign w:val="top"/>
          </w:tcPr>
          <w:p>
            <w:pPr>
              <w:spacing w:after="40" w:before="0" w:line="259" w:lineRule="auto"/>
            </w:pPr>
            <w:r>
              <w:rPr>
                <w:rFonts w:ascii="Calibri" w:hAnsi="Calibri"/>
                <w:b/>
                <w:i w:val="0"/>
                <w:color w:val="212121"/>
                <w:sz w:val="19"/>
              </w:rPr>
              <w:t>Depression, anxiety and alcohol-use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Mental illness and alcohol dependence both drive harmful drinking and follow the burden of chronic liver disease; addressing them improves abstinence, adherence and outcomes.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three leading causes in India - alcohol, fatty liver (MASLD) and hepatitis B/C - and that early liver disease is silent, so at-risk people should be screened before symptoms appear.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vaccinated against hepatitis B (and hepatitis A where indicated), and ensure infants and close contacts are immunised.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unsafe injections, unscreened blood, shared razors/needles and unregulated tattooing, and practise safe sex to prevent viral hepatitis.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recognise that risk rises above about 60 g/day in men and 20 g/day in women and that women are harmed at lower doses.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weight, blood sugar, blood pressure and cholesterol to prevent MASLD, and avoid unnecessary or unregulated herbal, over-the-counter and hepatotoxic medicines.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(jaundice, abdominal swelling, vomiting blood, black stools, confusion) and seek urgent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adult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obesity/diabetes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Hepatitis B/C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low-income groups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complete and lifelong abstinence from alcohol - the single most important step, which improves survival even in decompensated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structured de-addiction support: counselling, brief interventions, Alcoholics Anonymous and, where appropriate, medical relapse-prevention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alcohol-withdrawal safely under supervision in dependent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depression, anxiety and social factors that perpetuate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community support to sustain abstinence and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Relapse-prone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calories and protein (about 1.2-1.5 g/kg/day) with a late-evening snack to prevent overnight muscle breakdown; do NOT routinely restrict protein.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dietary salt (&lt; 2 g sodium/day) to control ascites and oedema, avoiding pickles, papads and 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small frequent meals, whole grains, pulses, vegetables and adequate branched-chain amino acids where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raw/undercooked shellfish and unsafe water to prevent infections; maintain food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and mineral deficiencies (thiamine, folate, vitamin D, zinc) common in cirrhosis.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 with ascites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 sarcopenic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sugar-sweetened beverages, refined carbohydrates and fried/ultra-processed foods that drive fatty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diet with whole grains, millets, pulses, fruit and vegetables to prevent MASLD.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using Asian-Indian BMI (&lt; 23 kg/m2) and waist targets.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regular coffee, which is associated with lower cirrhosis and fibrosis risk if otherwise tolerated.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aflatoxin-prone mouldy grains/nuts and unregulated dietary/herbal supplements.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at risk of MASLD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plus 2-3 sessions of resistance training to reduce liver fat and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add post-meal walks to blunt glucose and lipid excursions.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in overweight/obese individuals to reverse steatosis and early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muscle mass to protect against future sarcopenia.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at risk of MASLD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individualised exercise within tolerance to combat sarcopenia, tailored to Child-Pugh stage and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resistance and light aerobic exercise with adequate protein to preserve muscle.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straining/heavy lifting if large varices or significant portal hypertension are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supervised prehabilitation for patients being assessed for liver transplantation.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Compensated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Sarcopenic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Transplant candidates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forms of tobacco, which accelerate fibrosis and raise hepatocellular and other cancer risk in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 counselling and nicotine-replacement or pharmacotherapy as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combined smoking-plus-alcohol exposure, which is synergistically harmful.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Viral hepatitis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MASLD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regular, good-quality sleep to support metabolic health and reduce MASLD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in 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 reversed sleep-wake cycle or daytime drowsiness in cirrhosis may signal early hepatic encephalopathy and needs medical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MASLD / metabolic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anxiety and alcohol-use disorder, which both drive drinking and follow chronic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peer support and, where needed, psychiatric care to sustain abstinence and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patients and families through the burden of decompensation, hospitalisations and transplant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Distinguish hepatic encephalopathy from primary psychiatric illness, as management differs.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Transplant candidates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plos.org/plosone/article?id=10.1371%2Fjournal.pone.0187033" TargetMode="External"/><Relationship Id="rId10" Type="http://schemas.openxmlformats.org/officeDocument/2006/relationships/hyperlink" Target="https://pmc.ncbi.nlm.nih.gov/articles/PMC12273999/" TargetMode="External"/><Relationship Id="rId11" Type="http://schemas.openxmlformats.org/officeDocument/2006/relationships/hyperlink" Target="https://my.clevelandclinic.org/departments/digestive/medical-professionals/hepatology/alcoholic-liver-disease" TargetMode="External"/><Relationship Id="rId12" Type="http://schemas.openxmlformats.org/officeDocument/2006/relationships/hyperlink" Target="https://link.springer.com/article/10.1007/s12664-025-01804-5" TargetMode="External"/><Relationship Id="rId13" Type="http://schemas.openxmlformats.org/officeDocument/2006/relationships/hyperlink" Target="https://www.medrxiv.org/content/10.1101/2022.05.30.22275764v1" TargetMode="External"/><Relationship Id="rId14" Type="http://schemas.openxmlformats.org/officeDocument/2006/relationships/hyperlink" Target="https://www.journal-of-hepatology.eu/article/S0168-8278(22)00029-0/fulltext" TargetMode="External"/><Relationship Id="rId15" Type="http://schemas.openxmlformats.org/officeDocument/2006/relationships/hyperlink" Target="https://theliverfoundationindia.org/liver-disease-in-adults/" TargetMode="External"/><Relationship Id="rId16" Type="http://schemas.openxmlformats.org/officeDocument/2006/relationships/hyperlink" Target="https://www.sciencedirect.com/science/article/abs/pii/S0973688323007120" TargetMode="External"/><Relationship Id="rId17" Type="http://schemas.openxmlformats.org/officeDocument/2006/relationships/hyperlink" Target="https://pubmed.ncbi.nlm.nih.gov/26556483/" TargetMode="External"/><Relationship Id="rId18" Type="http://schemas.openxmlformats.org/officeDocument/2006/relationships/hyperlink" Target="https://pmc.ncbi.nlm.nih.gov/articles/PMC2653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