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Hepatitis A</w:t>
      </w:r>
    </w:p>
    <w:p>
      <w:pPr>
        <w:spacing w:before="0" w:after="160"/>
      </w:pPr>
      <w:r>
        <w:rPr>
          <w:rFonts w:ascii="Calibri" w:hAnsi="Calibri"/>
          <w:b/>
          <w:i w:val="0"/>
          <w:color w:val="212121"/>
          <w:sz w:val="22"/>
        </w:rPr>
        <w:t xml:space="preserve">AKA </w:t>
      </w:r>
      <w:r>
        <w:rPr>
          <w:rFonts w:ascii="Calibri" w:hAnsi="Calibri"/>
          <w:b w:val="0"/>
          <w:i w:val="0"/>
          <w:color w:val="212121"/>
          <w:sz w:val="22"/>
        </w:rPr>
        <w:t>i.e., Hepatitis A virus (HAV) infection, Infectious hepatitis, Epidemic/catarrhal jaundice, ‘Peela peeliya’ / common jaundice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Hepatitis A is an acute, self-limiting inflammation of the liver caused by the hepatitis A virus (HAV), a small non-enveloped RNA picornavirus (genus Hepatovirus) spread by the faecal–oral route. It produces a short-lived illness with fever, jaundice and markedly deranged liver enzymes, does NOT progress to chronic infection, and confers lifelong immunity after recovery. Infection is usually silent in young children but is more often symptomatic and occasionally severe—including acute liver failure—in adolescents and adults.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HAV is hyperendemic to intermediate-endemic. A national serosurvey across eight states (2022–23) found overall anti-HAV seroprevalence of about 81.4%, rising from 33.2% at 2–4 years to 89.7% by 15–30 years and 97.4% beyond 30 years—yet with more than 40% of children under 15 still susceptible, signalling a shift from high to intermediate endemicity. HAV remains the commonest identified cause of acute viral hepatitis in Indian children and is now a leading cause of acute liver failure in Indian adults.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Hepatitis A is diagnosed from a compatible acute hepatitic illness together with serological confirmation; supporting tests define cholestasis and severity: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detectable serum IgM anti-HAV antibody — the confirmatory test for acute infection (positive from symptom onset and persisting about 4–6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IgG anti-HAV positive with IgM negative indicates past infection or vaccination and lifelong immunity;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markedly raised transaminases (ALT/AST commonly 10–100 times the upper limit of normal), typically with ALT &gt; AST;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conjugated (direct) hyperbilirubinaemia with raised alkaline phosphatase, dark urine and pale stools during the icteric phase;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prothrombin time / INR and serum ammonia to detect coagulopathy and impending acute liver failure (INR ≥ 1.5 with encephalopathy defines ALF);</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HAV RNA by RT-PCR (serum or stool) where available, mainly for outbreak investigation and atypical/relapsing cases.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Hepatitis A has no chronic form; it is described by its clinical patterns and phases:</w:t>
      </w:r>
    </w:p>
    <w:p>
      <w:pPr>
        <w:spacing w:before="0" w:after="80"/>
      </w:pPr>
      <w:r>
        <w:rPr>
          <w:rFonts w:ascii="Calibri" w:hAnsi="Calibri"/>
          <w:b w:val="0"/>
          <w:i w:val="0"/>
          <w:color w:val="212121"/>
          <w:sz w:val="21"/>
        </w:rPr>
        <w:t>(1) Asymptomatic / subclinical infection — the commonest form, especially in children under 6 years, detected only serologically yet still infectious;</w:t>
      </w:r>
    </w:p>
    <w:p>
      <w:pPr>
        <w:spacing w:before="0" w:after="80"/>
      </w:pPr>
      <w:r>
        <w:rPr>
          <w:rFonts w:ascii="Calibri" w:hAnsi="Calibri"/>
          <w:b w:val="0"/>
          <w:i w:val="0"/>
          <w:color w:val="212121"/>
          <w:sz w:val="21"/>
        </w:rPr>
        <w:t>(2) Classic acute icteric hepatitis — a pre-icteric (prodromal) phase of fever, malaise, anorexia, nausea and right-upper-quadrant pain, followed by an icteric phase with jaundice, dark urine and pale stools, usually resolving within about 2 months;</w:t>
      </w:r>
    </w:p>
    <w:p>
      <w:pPr>
        <w:spacing w:before="0" w:after="80"/>
      </w:pPr>
      <w:r>
        <w:rPr>
          <w:rFonts w:ascii="Calibri" w:hAnsi="Calibri"/>
          <w:b w:val="0"/>
          <w:i w:val="0"/>
          <w:color w:val="212121"/>
          <w:sz w:val="21"/>
        </w:rPr>
        <w:t>(3) Anicteric hepatitis — symptomatic hepatitis without visible jaundice, frequent in children;</w:t>
      </w:r>
    </w:p>
    <w:p>
      <w:pPr>
        <w:spacing w:before="0" w:after="80"/>
      </w:pPr>
      <w:r>
        <w:rPr>
          <w:rFonts w:ascii="Calibri" w:hAnsi="Calibri"/>
          <w:b w:val="0"/>
          <w:i w:val="0"/>
          <w:color w:val="212121"/>
          <w:sz w:val="21"/>
        </w:rPr>
        <w:t>(4) Cholestatic hepatitis A — prolonged jaundice (often &gt; 12 weeks) with pruritus, acholic stools and high alkaline phosphatase; self-limiting (&lt; 5% of cases);</w:t>
      </w:r>
    </w:p>
    <w:p>
      <w:pPr>
        <w:spacing w:before="0" w:after="80"/>
      </w:pPr>
      <w:r>
        <w:rPr>
          <w:rFonts w:ascii="Calibri" w:hAnsi="Calibri"/>
          <w:b w:val="0"/>
          <w:i w:val="0"/>
          <w:color w:val="212121"/>
          <w:sz w:val="21"/>
        </w:rPr>
        <w:t>(5) Relapsing / biphasic hepatitis A — recurrence weeks after apparent recovery with continued faecal shedding, seen in up to about 10%;</w:t>
      </w:r>
    </w:p>
    <w:p>
      <w:pPr>
        <w:spacing w:before="0" w:after="80"/>
      </w:pPr>
      <w:r>
        <w:rPr>
          <w:rFonts w:ascii="Calibri" w:hAnsi="Calibri"/>
          <w:b w:val="0"/>
          <w:i w:val="0"/>
          <w:color w:val="212121"/>
          <w:sz w:val="21"/>
        </w:rPr>
        <w:t>(6) Fulminant hepatitis / acute liver failure — under 1% of cases, with coagulopathy and encephalopathy; risk rises with older age and pre-existing chronic liver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Hepatitis A virus (HAV): A non-enveloped, acid- and heat-stable RNA picornavirus is the sole necessary cause; its environmental stability lets it survive in water, food and on surfaces for long periods.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Faecal–oral transmission: Ingestion of water or food contaminated with infected human faeces, or person-to-person spread via unwashed hands; peak infectivity is 1–2 weeks before jaundice appears.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Unsafe water and poor sanitation: Sewage-contaminated drinking water and inadequate excreta disposal are the dominant drivers of endemic and epidemic HAV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Contaminated food: Raw or undercooked shellfish from polluted waters, cut fruit, salads, ice and food handled by an infected, poorly hand-washed carrier.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Lack of immunity (immunologically naïve host): Absence of prior infection or vaccination; improving urban sanitation delays first exposure, leaving adolescents and adults susceptible to more severe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Crowding and close contact: Household and institutional contact, day-care and residential settings, and travel to or residence in high-endemicity areas.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children (&lt; 6 years)</w:t>
            </w:r>
          </w:p>
        </w:tc>
        <w:tc>
          <w:tcPr>
            <w:tcW w:type="dxa" w:w="4276"/>
            <w:vAlign w:val="top"/>
          </w:tcPr>
          <w:p>
            <w:pPr>
              <w:spacing w:after="60" w:line="259" w:lineRule="auto"/>
            </w:pPr>
            <w:r>
              <w:rPr>
                <w:rFonts w:ascii="Calibri" w:hAnsi="Calibri"/>
                <w:b w:val="0"/>
                <w:i w:val="0"/>
                <w:color w:val="212121"/>
                <w:sz w:val="19"/>
              </w:rPr>
              <w:t>Highest infection rates but usually asymptomatic or anicteric, so they act as a silent reservoir that transmits HAV within households, day-care and communities.</w:t>
            </w:r>
          </w:p>
          <w:p>
            <w:pPr>
              <w:spacing w:after="40" w:before="60" w:line="259" w:lineRule="auto"/>
            </w:pPr>
            <w:r>
              <w:rPr>
                <w:rFonts w:ascii="Calibri" w:hAnsi="Calibri"/>
                <w:b w:val="0"/>
                <w:i w:val="0"/>
                <w:color w:val="212121"/>
                <w:sz w:val="19"/>
              </w:rPr>
              <w:t>Where sanitation is poor, about 90% of children are infected before age 10; Indian seroprevalence is ~51.9% by 5–9 years. In children under 6, infection is usually asymptomatic and only ~10% develop jaundice.</w:t>
            </w:r>
          </w:p>
          <w:p>
            <w:pPr>
              <w:spacing w:after="40" w:line="252" w:lineRule="auto"/>
            </w:pPr>
            <w:hyperlink r:id="rId9">
              <w:r>
                <w:rPr>
                  <w:rFonts w:ascii="Calibri" w:hAnsi="Calibri" w:cs="Calibri"/>
                  <w:sz w:val="18"/>
                  <w:color w:val="1155CC"/>
                  <w:u w:val="single"/>
                </w:rPr>
                <w:t xml:space="preserve">who.int — hepatitis A fact sheet</w:t>
              </w:r>
            </w:hyperlink>
          </w:p>
          <w:p>
            <w:pPr>
              <w:spacing w:before="60" w:after="40"/>
            </w:pPr>
            <w:r>
              <w:rPr>
                <w:rFonts w:ascii="Calibri" w:hAnsi="Calibri"/>
                <w:b w:val="0"/>
                <w:i w:val="0"/>
                <w:color w:val="5A5A5A"/>
                <w:sz w:val="18"/>
              </w:rPr>
              <w:t>#faecaloral  #silentreservoir  #childhoodinfection  #asymptomatic  #daycare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adults</w:t>
            </w:r>
          </w:p>
        </w:tc>
        <w:tc>
          <w:tcPr>
            <w:tcW w:type="dxa" w:w="4276"/>
            <w:vAlign w:val="top"/>
          </w:tcPr>
          <w:p>
            <w:pPr>
              <w:spacing w:after="60" w:line="259" w:lineRule="auto"/>
            </w:pPr>
            <w:r>
              <w:rPr>
                <w:rFonts w:ascii="Calibri" w:hAnsi="Calibri"/>
                <w:b w:val="0"/>
                <w:i w:val="0"/>
                <w:color w:val="212121"/>
                <w:sz w:val="19"/>
              </w:rPr>
              <w:t>As sanitation improves, first exposure is delayed and a growing pool of immunologically naïve adults acquires HAV later, when disease is far more often symptomatic and severe, including acute liver failure.</w:t>
            </w:r>
          </w:p>
          <w:p>
            <w:pPr>
              <w:spacing w:after="40" w:before="60" w:line="259" w:lineRule="auto"/>
            </w:pPr>
            <w:r>
              <w:rPr>
                <w:rFonts w:ascii="Calibri" w:hAnsi="Calibri"/>
                <w:b w:val="0"/>
                <w:i w:val="0"/>
                <w:color w:val="212121"/>
                <w:sz w:val="19"/>
              </w:rPr>
              <w:t>Adult anti-HAV prevalence in New Delhi has been reported as low as 36.7%, and multicentric Indian studies now identify HAV as a leading cause of both severe acute liver injury and acute liver failure in adults.</w:t>
            </w:r>
          </w:p>
          <w:p>
            <w:pPr>
              <w:spacing w:after="40" w:line="252" w:lineRule="auto"/>
            </w:pPr>
            <w:hyperlink r:id="rId10">
              <w:r>
                <w:rPr>
                  <w:rFonts w:ascii="Calibri" w:hAnsi="Calibri" w:cs="Calibri"/>
                  <w:sz w:val="18"/>
                  <w:color w:val="1155CC"/>
                  <w:u w:val="single"/>
                </w:rPr>
                <w:t xml:space="preserve">Indian J Gastroenterol — ‘Hepatitis A: a wake-up call’</w:t>
              </w:r>
            </w:hyperlink>
          </w:p>
          <w:p>
            <w:pPr>
              <w:spacing w:before="60" w:after="40"/>
            </w:pPr>
            <w:r>
              <w:rPr>
                <w:rFonts w:ascii="Calibri" w:hAnsi="Calibri"/>
                <w:b w:val="0"/>
                <w:i w:val="0"/>
                <w:color w:val="5A5A5A"/>
                <w:sz w:val="18"/>
              </w:rPr>
              <w:t>#immunologicallynaive  #adultHAV  #severedisease  #sanitationparadox  #ALF</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&amp; those with chronic liver disease</w:t>
            </w:r>
          </w:p>
        </w:tc>
        <w:tc>
          <w:tcPr>
            <w:tcW w:type="dxa" w:w="4276"/>
            <w:vAlign w:val="top"/>
          </w:tcPr>
          <w:p>
            <w:pPr>
              <w:spacing w:after="60" w:line="259" w:lineRule="auto"/>
            </w:pPr>
            <w:r>
              <w:rPr>
                <w:rFonts w:ascii="Calibri" w:hAnsi="Calibri"/>
                <w:b w:val="0"/>
                <w:i w:val="0"/>
                <w:color w:val="212121"/>
                <w:sz w:val="19"/>
              </w:rPr>
              <w:t>Advancing age and any pre-existing liver disease sharply raise the risk of fulminant hepatitis and death when HAV is acquired, because hepatic reserve is reduced.</w:t>
            </w:r>
          </w:p>
          <w:p>
            <w:pPr>
              <w:spacing w:after="40" w:before="60" w:line="259" w:lineRule="auto"/>
            </w:pPr>
            <w:r>
              <w:rPr>
                <w:rFonts w:ascii="Calibri" w:hAnsi="Calibri"/>
                <w:b w:val="0"/>
                <w:i w:val="0"/>
                <w:color w:val="212121"/>
                <w:sz w:val="19"/>
              </w:rPr>
              <w:t>Overall case-fatality is only ~0.3%, but the risk of fulminant hepatitis and death rises steeply with age and with underlying chronic liver disease.</w:t>
            </w:r>
          </w:p>
          <w:p>
            <w:pPr>
              <w:spacing w:after="40" w:line="252" w:lineRule="auto"/>
            </w:pPr>
            <w:hyperlink r:id="rId11">
              <w:r>
                <w:rPr>
                  <w:rFonts w:ascii="Calibri" w:hAnsi="Calibri" w:cs="Calibri"/>
                  <w:sz w:val="18"/>
                  <w:color w:val="1155CC"/>
                  <w:u w:val="single"/>
                </w:rPr>
                <w:t xml:space="preserve">StatPearls (NCBI) — Hepatitis A</w:t>
              </w:r>
            </w:hyperlink>
          </w:p>
          <w:p>
            <w:pPr>
              <w:spacing w:before="60" w:after="40"/>
            </w:pPr>
            <w:r>
              <w:rPr>
                <w:rFonts w:ascii="Calibri" w:hAnsi="Calibri"/>
                <w:b w:val="0"/>
                <w:i w:val="0"/>
                <w:color w:val="5A5A5A"/>
                <w:sz w:val="18"/>
              </w:rPr>
              <w:t>#ageing  #fulminant  #casefatality  #hepaticreserve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(slight female seropositivity)</w:t>
            </w:r>
          </w:p>
        </w:tc>
        <w:tc>
          <w:tcPr>
            <w:tcW w:type="dxa" w:w="4276"/>
            <w:vAlign w:val="top"/>
          </w:tcPr>
          <w:p>
            <w:pPr>
              <w:spacing w:after="60" w:line="259" w:lineRule="auto"/>
            </w:pPr>
            <w:r>
              <w:rPr>
                <w:rFonts w:ascii="Calibri" w:hAnsi="Calibri"/>
                <w:b w:val="0"/>
                <w:i w:val="0"/>
                <w:color w:val="212121"/>
                <w:sz w:val="19"/>
              </w:rPr>
              <w:t>HAV has no strong sex predilection for acquisition; exposure differences give modestly higher seropositivity in females, while symptomatic hospitalised disease is often reported in young adult males.</w:t>
            </w:r>
          </w:p>
          <w:p>
            <w:pPr>
              <w:spacing w:after="40" w:before="60" w:line="259" w:lineRule="auto"/>
            </w:pPr>
            <w:r>
              <w:rPr>
                <w:rFonts w:ascii="Calibri" w:hAnsi="Calibri"/>
                <w:b w:val="0"/>
                <w:i w:val="0"/>
                <w:color w:val="212121"/>
                <w:sz w:val="19"/>
              </w:rPr>
              <w:t>In the national serosurvey crude anti-HAV seropositivity was somewhat higher in females (73.0%) than males (63.2%).</w:t>
            </w:r>
          </w:p>
          <w:p>
            <w:pPr>
              <w:spacing w:after="40" w:line="252" w:lineRule="auto"/>
            </w:pPr>
            <w:hyperlink r:id="rId12">
              <w:r>
                <w:rPr>
                  <w:rFonts w:ascii="Calibri" w:hAnsi="Calibri" w:cs="Calibri"/>
                  <w:sz w:val="18"/>
                  <w:color w:val="1155CC"/>
                  <w:u w:val="single"/>
                </w:rPr>
                <w:t xml:space="preserve">WHO Bulletin — HAV endemicity &amp; vaccine policy, India</w:t>
              </w:r>
            </w:hyperlink>
          </w:p>
          <w:p>
            <w:pPr>
              <w:spacing w:before="60" w:after="40"/>
            </w:pPr>
            <w:r>
              <w:rPr>
                <w:rFonts w:ascii="Calibri" w:hAnsi="Calibri"/>
                <w:b w:val="0"/>
                <w:i w:val="0"/>
                <w:color w:val="5A5A5A"/>
                <w:sz w:val="18"/>
              </w:rPr>
              <w:t>#sexdifference  #seroprevalence  #exposure  #youngadults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endemicity</w:t>
            </w:r>
          </w:p>
        </w:tc>
        <w:tc>
          <w:tcPr>
            <w:tcW w:type="dxa" w:w="2160"/>
            <w:vAlign w:val="top"/>
          </w:tcPr>
          <w:p>
            <w:pPr>
              <w:spacing w:after="40" w:before="0" w:line="259" w:lineRule="auto"/>
            </w:pPr>
            <w:r>
              <w:rPr>
                <w:rFonts w:ascii="Calibri" w:hAnsi="Calibri"/>
                <w:b w:val="0"/>
                <w:i w:val="0"/>
                <w:color w:val="212121"/>
                <w:sz w:val="19"/>
              </w:rPr>
              <w:t>High-endemic states (e.g., Bihar)</w:t>
            </w:r>
          </w:p>
        </w:tc>
        <w:tc>
          <w:tcPr>
            <w:tcW w:type="dxa" w:w="4276"/>
            <w:vAlign w:val="top"/>
          </w:tcPr>
          <w:p>
            <w:pPr>
              <w:spacing w:after="60" w:line="259" w:lineRule="auto"/>
            </w:pPr>
            <w:r>
              <w:rPr>
                <w:rFonts w:ascii="Calibri" w:hAnsi="Calibri"/>
                <w:b w:val="0"/>
                <w:i w:val="0"/>
                <w:color w:val="212121"/>
                <w:sz w:val="19"/>
              </w:rPr>
              <w:t>States with lower sanitation coverage have earlier, near-universal childhood exposure, so most residents are immune by adulthood but ongoing faecal–oral transmission sustains paediatric disease.</w:t>
            </w:r>
          </w:p>
          <w:p>
            <w:pPr>
              <w:spacing w:after="40" w:before="60" w:line="259" w:lineRule="auto"/>
            </w:pPr>
            <w:r>
              <w:rPr>
                <w:rFonts w:ascii="Calibri" w:hAnsi="Calibri"/>
                <w:b w:val="0"/>
                <w:i w:val="0"/>
                <w:color w:val="212121"/>
                <w:sz w:val="19"/>
              </w:rPr>
              <w:t>The 2022–23 serosurvey classified Bihar as high-endemic and Gujarat, Jammu, Karnataka, Punjab and Rajasthan as high-intermediate for HAV.</w:t>
            </w:r>
          </w:p>
          <w:p>
            <w:pPr>
              <w:spacing w:after="40" w:line="252" w:lineRule="auto"/>
            </w:pPr>
            <w:hyperlink r:id="rId12">
              <w:r>
                <w:rPr>
                  <w:rFonts w:ascii="Calibri" w:hAnsi="Calibri" w:cs="Calibri"/>
                  <w:sz w:val="18"/>
                  <w:color w:val="1155CC"/>
                  <w:u w:val="single"/>
                </w:rPr>
                <w:t xml:space="preserve">WHO Bulletin — HAV endemicity, India</w:t>
              </w:r>
            </w:hyperlink>
          </w:p>
          <w:p>
            <w:pPr>
              <w:spacing w:before="60" w:after="40"/>
            </w:pPr>
            <w:r>
              <w:rPr>
                <w:rFonts w:ascii="Calibri" w:hAnsi="Calibri"/>
                <w:b w:val="0"/>
                <w:i w:val="0"/>
                <w:color w:val="5A5A5A"/>
                <w:sz w:val="18"/>
              </w:rPr>
              <w:t>#endemicity  #Bihar  #childhoodexposure  #regionalvariation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urbanised</w:t>
            </w:r>
          </w:p>
        </w:tc>
        <w:tc>
          <w:tcPr>
            <w:tcW w:type="dxa" w:w="2160"/>
            <w:vAlign w:val="top"/>
          </w:tcPr>
          <w:p>
            <w:pPr>
              <w:spacing w:after="40" w:before="0" w:line="259" w:lineRule="auto"/>
            </w:pPr>
            <w:r>
              <w:rPr>
                <w:rFonts w:ascii="Calibri" w:hAnsi="Calibri"/>
                <w:b w:val="0"/>
                <w:i w:val="0"/>
                <w:color w:val="212121"/>
                <w:sz w:val="19"/>
              </w:rPr>
              <w:t>Kerala &amp; urbanised high-sanitation states</w:t>
            </w:r>
          </w:p>
        </w:tc>
        <w:tc>
          <w:tcPr>
            <w:tcW w:type="dxa" w:w="4276"/>
            <w:vAlign w:val="top"/>
          </w:tcPr>
          <w:p>
            <w:pPr>
              <w:spacing w:after="60" w:line="259" w:lineRule="auto"/>
            </w:pPr>
            <w:r>
              <w:rPr>
                <w:rFonts w:ascii="Calibri" w:hAnsi="Calibri"/>
                <w:b w:val="0"/>
                <w:i w:val="0"/>
                <w:color w:val="212121"/>
                <w:sz w:val="19"/>
              </w:rPr>
              <w:t>Better sanitation paradoxically delays exposure, leaving more susceptible adolescents and adults; when water sources are contaminated (often around the monsoon) large symptomatic adult outbreaks follow.</w:t>
            </w:r>
          </w:p>
          <w:p>
            <w:pPr>
              <w:spacing w:after="40" w:before="60" w:line="259" w:lineRule="auto"/>
            </w:pPr>
            <w:r>
              <w:rPr>
                <w:rFonts w:ascii="Calibri" w:hAnsi="Calibri"/>
                <w:b w:val="0"/>
                <w:i w:val="0"/>
                <w:color w:val="212121"/>
                <w:sz w:val="19"/>
              </w:rPr>
              <w:t>Kerala alone reported roughly 200 HAV outbreaks over the past decade, with clear pre- and post-monsoon peaks and rising adolescent/adult hospitalisation.</w:t>
            </w:r>
          </w:p>
          <w:p>
            <w:pPr>
              <w:spacing w:after="40" w:line="252" w:lineRule="auto"/>
            </w:pPr>
            <w:hyperlink r:id="rId12">
              <w:r>
                <w:rPr>
                  <w:rFonts w:ascii="Calibri" w:hAnsi="Calibri" w:cs="Calibri"/>
                  <w:sz w:val="18"/>
                  <w:color w:val="1155CC"/>
                  <w:u w:val="single"/>
                </w:rPr>
                <w:t xml:space="preserve">WHO Bulletin — HAV outbreaks, India</w:t>
              </w:r>
            </w:hyperlink>
          </w:p>
          <w:p>
            <w:pPr>
              <w:spacing w:before="60" w:after="40"/>
            </w:pPr>
            <w:r>
              <w:rPr>
                <w:rFonts w:ascii="Calibri" w:hAnsi="Calibri"/>
                <w:b w:val="0"/>
                <w:i w:val="0"/>
                <w:color w:val="5A5A5A"/>
                <w:sz w:val="18"/>
              </w:rPr>
              <w:t>#Kerala  #outbreaks  #monsoon  #adultsusceptibility  #urbanparadox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Sanitation / water access</w:t>
            </w:r>
          </w:p>
        </w:tc>
        <w:tc>
          <w:tcPr>
            <w:tcW w:type="dxa" w:w="2160"/>
            <w:vAlign w:val="top"/>
          </w:tcPr>
          <w:p>
            <w:pPr>
              <w:spacing w:after="40" w:before="0" w:line="259" w:lineRule="auto"/>
            </w:pPr>
            <w:r>
              <w:rPr>
                <w:rFonts w:ascii="Calibri" w:hAnsi="Calibri"/>
                <w:b w:val="0"/>
                <w:i w:val="0"/>
                <w:color w:val="212121"/>
                <w:sz w:val="19"/>
              </w:rPr>
              <w:t>Communities with unsafe water &amp; open defecation</w:t>
            </w:r>
          </w:p>
        </w:tc>
        <w:tc>
          <w:tcPr>
            <w:tcW w:type="dxa" w:w="4276"/>
            <w:vAlign w:val="top"/>
          </w:tcPr>
          <w:p>
            <w:pPr>
              <w:spacing w:after="60" w:line="259" w:lineRule="auto"/>
            </w:pPr>
            <w:r>
              <w:rPr>
                <w:rFonts w:ascii="Calibri" w:hAnsi="Calibri"/>
                <w:b w:val="0"/>
                <w:i w:val="0"/>
                <w:color w:val="212121"/>
                <w:sz w:val="19"/>
              </w:rPr>
              <w:t>Sewage-contaminated drinking water and inadequate excreta disposal allow direct faecal–oral transmission and are the dominant substrate for endemic and epidemic HAV.</w:t>
            </w:r>
          </w:p>
          <w:p>
            <w:pPr>
              <w:spacing w:after="40" w:before="60" w:line="259" w:lineRule="auto"/>
            </w:pPr>
            <w:r>
              <w:rPr>
                <w:rFonts w:ascii="Calibri" w:hAnsi="Calibri"/>
                <w:b w:val="0"/>
                <w:i w:val="0"/>
                <w:color w:val="212121"/>
                <w:sz w:val="19"/>
              </w:rPr>
              <w:t>In settings with poor water safety, sanitation and hygiene, about 90% of children are infected with HAV before the age of 10.</w:t>
            </w:r>
          </w:p>
          <w:p>
            <w:pPr>
              <w:spacing w:after="40" w:line="252" w:lineRule="auto"/>
            </w:pPr>
            <w:hyperlink r:id="rId9">
              <w:r>
                <w:rPr>
                  <w:rFonts w:ascii="Calibri" w:hAnsi="Calibri" w:cs="Calibri"/>
                  <w:sz w:val="18"/>
                  <w:color w:val="1155CC"/>
                  <w:u w:val="single"/>
                </w:rPr>
                <w:t xml:space="preserve">who.int — hepatitis A fact sheet</w:t>
              </w:r>
            </w:hyperlink>
          </w:p>
          <w:p>
            <w:pPr>
              <w:spacing w:before="60" w:after="40"/>
            </w:pPr>
            <w:r>
              <w:rPr>
                <w:rFonts w:ascii="Calibri" w:hAnsi="Calibri"/>
                <w:b w:val="0"/>
                <w:i w:val="0"/>
                <w:color w:val="5A5A5A"/>
                <w:sz w:val="18"/>
              </w:rPr>
              <w:t>#unsafewater  #opendefecation  #sewage  #WASH  #faecalcontamination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Hand hygiene</w:t>
            </w:r>
          </w:p>
        </w:tc>
        <w:tc>
          <w:tcPr>
            <w:tcW w:type="dxa" w:w="2160"/>
            <w:vAlign w:val="top"/>
          </w:tcPr>
          <w:p>
            <w:pPr>
              <w:spacing w:after="40" w:before="0" w:line="259" w:lineRule="auto"/>
            </w:pPr>
            <w:r>
              <w:rPr>
                <w:rFonts w:ascii="Calibri" w:hAnsi="Calibri"/>
                <w:b w:val="0"/>
                <w:i w:val="0"/>
                <w:color w:val="212121"/>
                <w:sz w:val="19"/>
              </w:rPr>
              <w:t>Poor handwashing after toilet / before food</w:t>
            </w:r>
          </w:p>
        </w:tc>
        <w:tc>
          <w:tcPr>
            <w:tcW w:type="dxa" w:w="4276"/>
            <w:vAlign w:val="top"/>
          </w:tcPr>
          <w:p>
            <w:pPr>
              <w:spacing w:after="60" w:line="259" w:lineRule="auto"/>
            </w:pPr>
            <w:r>
              <w:rPr>
                <w:rFonts w:ascii="Calibri" w:hAnsi="Calibri"/>
                <w:b w:val="0"/>
                <w:i w:val="0"/>
                <w:color w:val="212121"/>
                <w:sz w:val="19"/>
              </w:rPr>
              <w:t>HAV spreads on faecally contaminated hands; failure to wash hands with soap after defecation, after nappy changes or before preparing food is a direct route of transmission.</w:t>
            </w:r>
          </w:p>
          <w:p>
            <w:pPr>
              <w:spacing w:after="40" w:before="60" w:line="259" w:lineRule="auto"/>
            </w:pPr>
            <w:r>
              <w:rPr>
                <w:rFonts w:ascii="Calibri" w:hAnsi="Calibri"/>
                <w:b w:val="0"/>
                <w:i w:val="0"/>
                <w:color w:val="212121"/>
                <w:sz w:val="19"/>
              </w:rPr>
              <w:t>Handwashing with soap and safe food/water handling are the most important modifiable measures that interrupt faecal–oral spread of HAV.</w:t>
            </w:r>
          </w:p>
          <w:p>
            <w:pPr>
              <w:spacing w:after="40" w:line="252" w:lineRule="auto"/>
            </w:pPr>
            <w:hyperlink r:id="rId9">
              <w:r>
                <w:rPr>
                  <w:rFonts w:ascii="Calibri" w:hAnsi="Calibri" w:cs="Calibri"/>
                  <w:sz w:val="18"/>
                  <w:color w:val="1155CC"/>
                  <w:u w:val="single"/>
                </w:rPr>
                <w:t xml:space="preserve">who.int — hepatitis A fact sheet</w:t>
              </w:r>
            </w:hyperlink>
          </w:p>
          <w:p>
            <w:pPr>
              <w:spacing w:before="60" w:after="40"/>
            </w:pPr>
            <w:r>
              <w:rPr>
                <w:rFonts w:ascii="Calibri" w:hAnsi="Calibri"/>
                <w:b w:val="0"/>
                <w:i w:val="0"/>
                <w:color w:val="5A5A5A"/>
                <w:sz w:val="18"/>
              </w:rPr>
              <w:t>#handhygiene  #soap  #faecaloral  #foodhandlers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Street food / eating out</w:t>
            </w:r>
          </w:p>
        </w:tc>
        <w:tc>
          <w:tcPr>
            <w:tcW w:type="dxa" w:w="2160"/>
            <w:vAlign w:val="top"/>
          </w:tcPr>
          <w:p>
            <w:pPr>
              <w:spacing w:after="40" w:before="0" w:line="259" w:lineRule="auto"/>
            </w:pPr>
            <w:r>
              <w:rPr>
                <w:rFonts w:ascii="Calibri" w:hAnsi="Calibri"/>
                <w:b w:val="0"/>
                <w:i w:val="0"/>
                <w:color w:val="212121"/>
                <w:sz w:val="19"/>
              </w:rPr>
              <w:t>Frequent street-food &amp; roadside consumers</w:t>
            </w:r>
          </w:p>
        </w:tc>
        <w:tc>
          <w:tcPr>
            <w:tcW w:type="dxa" w:w="4276"/>
            <w:vAlign w:val="top"/>
          </w:tcPr>
          <w:p>
            <w:pPr>
              <w:spacing w:after="60" w:line="259" w:lineRule="auto"/>
            </w:pPr>
            <w:r>
              <w:rPr>
                <w:rFonts w:ascii="Calibri" w:hAnsi="Calibri"/>
                <w:b w:val="0"/>
                <w:i w:val="0"/>
                <w:color w:val="212121"/>
                <w:sz w:val="19"/>
              </w:rPr>
              <w:t>Roadside cut fruit, chutneys, ice, juices and food handled by infected vendors with poor hygiene are common vehicles, particularly where water for washing is contaminated.</w:t>
            </w:r>
          </w:p>
          <w:p>
            <w:pPr>
              <w:spacing w:after="40" w:before="60" w:line="259" w:lineRule="auto"/>
            </w:pPr>
            <w:r>
              <w:rPr>
                <w:rFonts w:ascii="Calibri" w:hAnsi="Calibri"/>
                <w:b w:val="0"/>
                <w:i w:val="0"/>
                <w:color w:val="212121"/>
                <w:sz w:val="19"/>
              </w:rPr>
              <w:t>Post-pandemic increases in street-food consumption in unhygienic conditions were identified as a driver of rising HAV transmission in Kerala.</w:t>
            </w:r>
          </w:p>
          <w:p>
            <w:pPr>
              <w:spacing w:after="40" w:line="252" w:lineRule="auto"/>
            </w:pPr>
            <w:hyperlink r:id="rId13">
              <w:r>
                <w:rPr>
                  <w:rFonts w:ascii="Calibri" w:hAnsi="Calibri" w:cs="Calibri"/>
                  <w:sz w:val="18"/>
                  <w:color w:val="1155CC"/>
                  <w:u w:val="single"/>
                </w:rPr>
                <w:t xml:space="preserve">Int J Med Public Health — Hepatitis A in Kerala</w:t>
              </w:r>
            </w:hyperlink>
          </w:p>
          <w:p>
            <w:pPr>
              <w:spacing w:before="60" w:after="40"/>
            </w:pPr>
            <w:r>
              <w:rPr>
                <w:rFonts w:ascii="Calibri" w:hAnsi="Calibri"/>
                <w:b w:val="0"/>
                <w:i w:val="0"/>
                <w:color w:val="5A5A5A"/>
                <w:sz w:val="18"/>
              </w:rPr>
              <w:t>#streetfood  #cutfruit  #ice  #vendorhygiene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w:t>
            </w:r>
          </w:p>
        </w:tc>
        <w:tc>
          <w:tcPr>
            <w:tcW w:type="dxa" w:w="2160"/>
            <w:vAlign w:val="top"/>
          </w:tcPr>
          <w:p>
            <w:pPr>
              <w:spacing w:after="40" w:before="0" w:line="259" w:lineRule="auto"/>
            </w:pPr>
            <w:r>
              <w:rPr>
                <w:rFonts w:ascii="Calibri" w:hAnsi="Calibri"/>
                <w:b w:val="0"/>
                <w:i w:val="0"/>
                <w:color w:val="212121"/>
                <w:sz w:val="19"/>
              </w:rPr>
              <w:t>Unvaccinated travellers &amp; pilgrims to endemic areas</w:t>
            </w:r>
          </w:p>
        </w:tc>
        <w:tc>
          <w:tcPr>
            <w:tcW w:type="dxa" w:w="4276"/>
            <w:vAlign w:val="top"/>
          </w:tcPr>
          <w:p>
            <w:pPr>
              <w:spacing w:after="60" w:line="259" w:lineRule="auto"/>
            </w:pPr>
            <w:r>
              <w:rPr>
                <w:rFonts w:ascii="Calibri" w:hAnsi="Calibri"/>
                <w:b w:val="0"/>
                <w:i w:val="0"/>
                <w:color w:val="212121"/>
                <w:sz w:val="19"/>
              </w:rPr>
              <w:t>Susceptible people from low-endemicity backgrounds who visit high-endemicity regions, or attend mass gatherings with strained sanitation, are exposed to contaminated food and water.</w:t>
            </w:r>
          </w:p>
          <w:p>
            <w:pPr>
              <w:spacing w:after="40" w:before="60" w:line="259" w:lineRule="auto"/>
            </w:pPr>
            <w:r>
              <w:rPr>
                <w:rFonts w:ascii="Calibri" w:hAnsi="Calibri"/>
                <w:b w:val="0"/>
                <w:i w:val="0"/>
                <w:color w:val="212121"/>
                <w:sz w:val="19"/>
              </w:rPr>
              <w:t>Travellers to areas of high endemicity are a recognised risk group and are advised to be vaccinated before travel.</w:t>
            </w:r>
          </w:p>
          <w:p>
            <w:pPr>
              <w:spacing w:after="40" w:line="252" w:lineRule="auto"/>
            </w:pPr>
            <w:hyperlink r:id="rId9">
              <w:r>
                <w:rPr>
                  <w:rFonts w:ascii="Calibri" w:hAnsi="Calibri" w:cs="Calibri"/>
                  <w:sz w:val="18"/>
                  <w:color w:val="1155CC"/>
                  <w:u w:val="single"/>
                </w:rPr>
                <w:t xml:space="preserve">who.int — hepatitis A fact sheet</w:t>
              </w:r>
            </w:hyperlink>
          </w:p>
          <w:p>
            <w:pPr>
              <w:spacing w:before="60" w:after="40"/>
            </w:pPr>
            <w:r>
              <w:rPr>
                <w:rFonts w:ascii="Calibri" w:hAnsi="Calibri"/>
                <w:b w:val="0"/>
                <w:i w:val="0"/>
                <w:color w:val="5A5A5A"/>
                <w:sz w:val="18"/>
              </w:rPr>
              <w:t>#travellers  #pilgrimage  #massgatherings  #prevaccination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behaviour</w:t>
            </w:r>
          </w:p>
        </w:tc>
        <w:tc>
          <w:tcPr>
            <w:tcW w:type="dxa" w:w="2160"/>
            <w:vAlign w:val="top"/>
          </w:tcPr>
          <w:p>
            <w:pPr>
              <w:spacing w:after="40" w:before="0" w:line="259" w:lineRule="auto"/>
            </w:pPr>
            <w:r>
              <w:rPr>
                <w:rFonts w:ascii="Calibri" w:hAnsi="Calibri"/>
                <w:b w:val="0"/>
                <w:i w:val="0"/>
                <w:color w:val="212121"/>
                <w:sz w:val="19"/>
              </w:rPr>
              <w:t>Sanitation &amp; food handlers, day-care staff; MSM &amp; PWID</w:t>
            </w:r>
          </w:p>
        </w:tc>
        <w:tc>
          <w:tcPr>
            <w:tcW w:type="dxa" w:w="4276"/>
            <w:vAlign w:val="top"/>
          </w:tcPr>
          <w:p>
            <w:pPr>
              <w:spacing w:after="60" w:line="259" w:lineRule="auto"/>
            </w:pPr>
            <w:r>
              <w:rPr>
                <w:rFonts w:ascii="Calibri" w:hAnsi="Calibri"/>
                <w:b w:val="0"/>
                <w:i w:val="0"/>
                <w:color w:val="212121"/>
                <w:sz w:val="19"/>
              </w:rPr>
              <w:t>Sewage and sanitation workers, food handlers and childcare staff face occupational faecal–oral exposure, while oral–anal contact (men who have sex with men) and injecting drug use are additional routes.</w:t>
            </w:r>
          </w:p>
          <w:p>
            <w:pPr>
              <w:spacing w:after="40" w:before="60" w:line="259" w:lineRule="auto"/>
            </w:pPr>
            <w:r>
              <w:rPr>
                <w:rFonts w:ascii="Calibri" w:hAnsi="Calibri"/>
                <w:b w:val="0"/>
                <w:i w:val="0"/>
                <w:color w:val="212121"/>
                <w:sz w:val="19"/>
              </w:rPr>
              <w:t>WHO lists men who have sex with men, people who inject drugs, and close contacts of infected persons among groups at increased risk of HAV.</w:t>
            </w:r>
          </w:p>
          <w:p>
            <w:pPr>
              <w:spacing w:after="40" w:line="252" w:lineRule="auto"/>
            </w:pPr>
            <w:hyperlink r:id="rId9">
              <w:r>
                <w:rPr>
                  <w:rFonts w:ascii="Calibri" w:hAnsi="Calibri" w:cs="Calibri"/>
                  <w:sz w:val="18"/>
                  <w:color w:val="1155CC"/>
                  <w:u w:val="single"/>
                </w:rPr>
                <w:t xml:space="preserve">who.int — hepatitis A fact sheet</w:t>
              </w:r>
            </w:hyperlink>
          </w:p>
          <w:p>
            <w:pPr>
              <w:spacing w:before="60" w:after="40"/>
            </w:pPr>
            <w:r>
              <w:rPr>
                <w:rFonts w:ascii="Calibri" w:hAnsi="Calibri"/>
                <w:b w:val="0"/>
                <w:i w:val="0"/>
                <w:color w:val="5A5A5A"/>
                <w:sz w:val="18"/>
              </w:rPr>
              <w:t>#occupational  #foodhandlers  #MSM  #PWID  #childcare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Shellfish</w:t>
            </w:r>
          </w:p>
        </w:tc>
        <w:tc>
          <w:tcPr>
            <w:tcW w:type="dxa" w:w="2160"/>
            <w:vAlign w:val="top"/>
          </w:tcPr>
          <w:p>
            <w:pPr>
              <w:spacing w:after="40" w:before="0" w:line="259" w:lineRule="auto"/>
            </w:pPr>
            <w:r>
              <w:rPr>
                <w:rFonts w:ascii="Calibri" w:hAnsi="Calibri"/>
                <w:b w:val="0"/>
                <w:i w:val="0"/>
                <w:color w:val="212121"/>
                <w:sz w:val="19"/>
              </w:rPr>
              <w:t>Consumers of raw / undercooked shellfish</w:t>
            </w:r>
          </w:p>
        </w:tc>
        <w:tc>
          <w:tcPr>
            <w:tcW w:type="dxa" w:w="4276"/>
            <w:vAlign w:val="top"/>
          </w:tcPr>
          <w:p>
            <w:pPr>
              <w:spacing w:after="60" w:line="259" w:lineRule="auto"/>
            </w:pPr>
            <w:r>
              <w:rPr>
                <w:rFonts w:ascii="Calibri" w:hAnsi="Calibri"/>
                <w:b w:val="0"/>
                <w:i w:val="0"/>
                <w:color w:val="212121"/>
                <w:sz w:val="19"/>
              </w:rPr>
              <w:t>Filter-feeding shellfish from sewage-polluted waters concentrate HAV; eating them raw or lightly cooked delivers an infectious dose.</w:t>
            </w:r>
          </w:p>
          <w:p>
            <w:pPr>
              <w:spacing w:after="40" w:before="60" w:line="259" w:lineRule="auto"/>
            </w:pPr>
            <w:r>
              <w:rPr>
                <w:rFonts w:ascii="Calibri" w:hAnsi="Calibri"/>
                <w:b w:val="0"/>
                <w:i w:val="0"/>
                <w:color w:val="212121"/>
                <w:sz w:val="19"/>
              </w:rPr>
              <w:t>Raw or undercooked shellfish harvested from contaminated water is a classic, well-documented vehicle for HAV transmission.</w:t>
            </w:r>
          </w:p>
          <w:p>
            <w:pPr>
              <w:spacing w:after="40" w:line="252" w:lineRule="auto"/>
            </w:pPr>
            <w:hyperlink r:id="rId11">
              <w:r>
                <w:rPr>
                  <w:rFonts w:ascii="Calibri" w:hAnsi="Calibri" w:cs="Calibri"/>
                  <w:sz w:val="18"/>
                  <w:color w:val="1155CC"/>
                  <w:u w:val="single"/>
                </w:rPr>
                <w:t xml:space="preserve">StatPearls (NCBI) — Hepatitis A</w:t>
              </w:r>
            </w:hyperlink>
          </w:p>
          <w:p>
            <w:pPr>
              <w:spacing w:before="60" w:after="40"/>
            </w:pPr>
            <w:r>
              <w:rPr>
                <w:rFonts w:ascii="Calibri" w:hAnsi="Calibri"/>
                <w:b w:val="0"/>
                <w:i w:val="0"/>
                <w:color w:val="5A5A5A"/>
                <w:sz w:val="18"/>
              </w:rPr>
              <w:t>#shellfish  #bioaccumulation  #seafood  #undercooked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Drinking water</w:t>
            </w:r>
          </w:p>
        </w:tc>
        <w:tc>
          <w:tcPr>
            <w:tcW w:type="dxa" w:w="2160"/>
            <w:vAlign w:val="top"/>
          </w:tcPr>
          <w:p>
            <w:pPr>
              <w:spacing w:after="40" w:before="0" w:line="259" w:lineRule="auto"/>
            </w:pPr>
            <w:r>
              <w:rPr>
                <w:rFonts w:ascii="Calibri" w:hAnsi="Calibri"/>
                <w:b w:val="0"/>
                <w:i w:val="0"/>
                <w:color w:val="212121"/>
                <w:sz w:val="19"/>
              </w:rPr>
              <w:t>Consumers of untreated / stored water</w:t>
            </w:r>
          </w:p>
        </w:tc>
        <w:tc>
          <w:tcPr>
            <w:tcW w:type="dxa" w:w="4276"/>
            <w:vAlign w:val="top"/>
          </w:tcPr>
          <w:p>
            <w:pPr>
              <w:spacing w:after="60" w:line="259" w:lineRule="auto"/>
            </w:pPr>
            <w:r>
              <w:rPr>
                <w:rFonts w:ascii="Calibri" w:hAnsi="Calibri"/>
                <w:b w:val="0"/>
                <w:i w:val="0"/>
                <w:color w:val="212121"/>
                <w:sz w:val="19"/>
              </w:rPr>
              <w:t>Untreated surface, well or intermittently supplied piped water contaminated by sewage is the principal dietary exposure; the virus resists chlorination poorly only at low doses and survives storage.</w:t>
            </w:r>
          </w:p>
          <w:p>
            <w:pPr>
              <w:spacing w:after="40" w:before="60" w:line="259" w:lineRule="auto"/>
            </w:pPr>
            <w:r>
              <w:rPr>
                <w:rFonts w:ascii="Calibri" w:hAnsi="Calibri"/>
                <w:b w:val="0"/>
                <w:i w:val="0"/>
                <w:color w:val="212121"/>
                <w:sz w:val="19"/>
              </w:rPr>
              <w:t>Faecally contaminated drinking water is the dominant vehicle for endemic and epidemic HAV in India, with major peaks during and after the monsoon.</w:t>
            </w:r>
          </w:p>
          <w:p>
            <w:pPr>
              <w:spacing w:after="40" w:line="252" w:lineRule="auto"/>
            </w:pPr>
            <w:hyperlink r:id="rId13">
              <w:r>
                <w:rPr>
                  <w:rFonts w:ascii="Calibri" w:hAnsi="Calibri" w:cs="Calibri"/>
                  <w:sz w:val="18"/>
                  <w:color w:val="1155CC"/>
                  <w:u w:val="single"/>
                </w:rPr>
                <w:t xml:space="preserve">Int J Med Public Health — Hepatitis A in Kerala</w:t>
              </w:r>
            </w:hyperlink>
          </w:p>
          <w:p>
            <w:pPr>
              <w:spacing w:before="60" w:after="40"/>
            </w:pPr>
            <w:r>
              <w:rPr>
                <w:rFonts w:ascii="Calibri" w:hAnsi="Calibri"/>
                <w:b w:val="0"/>
                <w:i w:val="0"/>
                <w:color w:val="5A5A5A"/>
                <w:sz w:val="18"/>
              </w:rPr>
              <w:t>#drinkingwater  #untreatedwater  #monsoon  #waterborne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w:t>
            </w:r>
          </w:p>
        </w:tc>
        <w:tc>
          <w:tcPr>
            <w:tcW w:type="dxa" w:w="2160"/>
            <w:vAlign w:val="top"/>
          </w:tcPr>
          <w:p>
            <w:pPr>
              <w:spacing w:after="40" w:before="0" w:line="259" w:lineRule="auto"/>
            </w:pPr>
            <w:r>
              <w:rPr>
                <w:rFonts w:ascii="Calibri" w:hAnsi="Calibri"/>
                <w:b w:val="0"/>
                <w:i w:val="0"/>
                <w:color w:val="212121"/>
                <w:sz w:val="19"/>
              </w:rPr>
              <w:t>Host genetic modifiers of severity</w:t>
            </w:r>
          </w:p>
        </w:tc>
        <w:tc>
          <w:tcPr>
            <w:tcW w:type="dxa" w:w="4276"/>
            <w:vAlign w:val="top"/>
          </w:tcPr>
          <w:p>
            <w:pPr>
              <w:spacing w:after="60" w:line="259" w:lineRule="auto"/>
            </w:pPr>
            <w:r>
              <w:rPr>
                <w:rFonts w:ascii="Calibri" w:hAnsi="Calibri"/>
                <w:b w:val="0"/>
                <w:i w:val="0"/>
                <w:color w:val="212121"/>
                <w:sz w:val="19"/>
              </w:rPr>
              <w:t>There is no meaningful inherited predisposition to ACQUIRING HAV, but host genetic factors (e.g., variants in the HAV receptor TIM-1/HAVCR1 and immune-response genes) are thought to influence how severe the illness becomes.</w:t>
            </w:r>
          </w:p>
          <w:p>
            <w:pPr>
              <w:spacing w:after="40" w:before="60" w:line="259" w:lineRule="auto"/>
            </w:pPr>
            <w:r>
              <w:rPr>
                <w:rFonts w:ascii="Calibri" w:hAnsi="Calibri"/>
                <w:b w:val="0"/>
                <w:i w:val="0"/>
                <w:color w:val="212121"/>
                <w:sz w:val="19"/>
              </w:rPr>
              <w:t>Severity of hepatitis A appears partly host-determined; susceptibility to infection itself is driven by exposure rather than heredity.</w:t>
            </w:r>
          </w:p>
          <w:p>
            <w:pPr>
              <w:spacing w:before="60" w:after="40"/>
            </w:pPr>
            <w:r>
              <w:rPr>
                <w:rFonts w:ascii="Calibri" w:hAnsi="Calibri"/>
                <w:b w:val="0"/>
                <w:i w:val="0"/>
                <w:color w:val="5A5A5A"/>
                <w:sz w:val="18"/>
              </w:rPr>
              <w:t>#hostgenetics  #TIM1  #severitymodifier  #immuneresponse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 / clustering</w:t>
            </w:r>
          </w:p>
        </w:tc>
        <w:tc>
          <w:tcPr>
            <w:tcW w:type="dxa" w:w="2160"/>
            <w:vAlign w:val="top"/>
          </w:tcPr>
          <w:p>
            <w:pPr>
              <w:spacing w:after="40" w:before="0" w:line="259" w:lineRule="auto"/>
            </w:pPr>
            <w:r>
              <w:rPr>
                <w:rFonts w:ascii="Calibri" w:hAnsi="Calibri"/>
                <w:b w:val="0"/>
                <w:i w:val="0"/>
                <w:color w:val="212121"/>
                <w:sz w:val="19"/>
              </w:rPr>
              <w:t>Household contacts of a case</w:t>
            </w:r>
          </w:p>
        </w:tc>
        <w:tc>
          <w:tcPr>
            <w:tcW w:type="dxa" w:w="4276"/>
            <w:vAlign w:val="top"/>
          </w:tcPr>
          <w:p>
            <w:pPr>
              <w:spacing w:after="60" w:line="259" w:lineRule="auto"/>
            </w:pPr>
            <w:r>
              <w:rPr>
                <w:rFonts w:ascii="Calibri" w:hAnsi="Calibri"/>
                <w:b w:val="0"/>
                <w:i w:val="0"/>
                <w:color w:val="212121"/>
                <w:sz w:val="19"/>
              </w:rPr>
              <w:t>HAV clusters in households and closed settings not through inheritance but through shared water, food and hands; unimmunised household contacts of a case have a high secondary attack rate.</w:t>
            </w:r>
          </w:p>
          <w:p>
            <w:pPr>
              <w:spacing w:after="40" w:before="60" w:line="259" w:lineRule="auto"/>
            </w:pPr>
            <w:r>
              <w:rPr>
                <w:rFonts w:ascii="Calibri" w:hAnsi="Calibri"/>
                <w:b w:val="0"/>
                <w:i w:val="0"/>
                <w:color w:val="212121"/>
                <w:sz w:val="19"/>
              </w:rPr>
              <w:t>Close personal contact with an infected person is a recognised major mode of HAV transmission, so household and institutional contacts are a priority for post-exposure prophylaxis.</w:t>
            </w:r>
          </w:p>
          <w:p>
            <w:pPr>
              <w:spacing w:after="40" w:line="252" w:lineRule="auto"/>
            </w:pPr>
            <w:hyperlink r:id="rId9">
              <w:r>
                <w:rPr>
                  <w:rFonts w:ascii="Calibri" w:hAnsi="Calibri" w:cs="Calibri"/>
                  <w:sz w:val="18"/>
                  <w:color w:val="1155CC"/>
                  <w:u w:val="single"/>
                </w:rPr>
                <w:t xml:space="preserve">who.int — hepatitis A fact sheet</w:t>
              </w:r>
            </w:hyperlink>
          </w:p>
          <w:p>
            <w:pPr>
              <w:spacing w:before="60" w:after="40"/>
            </w:pPr>
            <w:r>
              <w:rPr>
                <w:rFonts w:ascii="Calibri" w:hAnsi="Calibri"/>
                <w:b w:val="0"/>
                <w:i w:val="0"/>
                <w:color w:val="5A5A5A"/>
                <w:sz w:val="18"/>
              </w:rPr>
              <w:t>#householdcontact  #secondaryattack  #clustering  #postexposure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liver disease</w:t>
            </w:r>
          </w:p>
        </w:tc>
        <w:tc>
          <w:tcPr>
            <w:tcW w:type="dxa" w:w="2160"/>
            <w:vAlign w:val="top"/>
          </w:tcPr>
          <w:p>
            <w:pPr>
              <w:spacing w:after="40" w:before="0" w:line="259" w:lineRule="auto"/>
            </w:pPr>
            <w:r>
              <w:rPr>
                <w:rFonts w:ascii="Calibri" w:hAnsi="Calibri"/>
                <w:b w:val="0"/>
                <w:i w:val="0"/>
                <w:color w:val="212121"/>
                <w:sz w:val="19"/>
              </w:rPr>
              <w:t>Chronic hepatitis B/C, cirrhosis, NAFLD, alcoholic liver disease</w:t>
            </w:r>
          </w:p>
        </w:tc>
        <w:tc>
          <w:tcPr>
            <w:tcW w:type="dxa" w:w="4276"/>
            <w:vAlign w:val="top"/>
          </w:tcPr>
          <w:p>
            <w:pPr>
              <w:spacing w:after="60" w:line="259" w:lineRule="auto"/>
            </w:pPr>
            <w:r>
              <w:rPr>
                <w:rFonts w:ascii="Calibri" w:hAnsi="Calibri"/>
                <w:b w:val="0"/>
                <w:i w:val="0"/>
                <w:color w:val="212121"/>
                <w:sz w:val="19"/>
              </w:rPr>
              <w:t>Superimposed HAV on an already diseased liver frequently precipitates fulminant hepatic failure or decompensation, which is why HAV vaccination is specifically recommended in chronic liver disease.</w:t>
            </w:r>
          </w:p>
          <w:p>
            <w:pPr>
              <w:spacing w:after="40" w:before="60" w:line="259" w:lineRule="auto"/>
            </w:pPr>
            <w:r>
              <w:rPr>
                <w:rFonts w:ascii="Calibri" w:hAnsi="Calibri"/>
                <w:b w:val="0"/>
                <w:i w:val="0"/>
                <w:color w:val="212121"/>
                <w:sz w:val="19"/>
              </w:rPr>
              <w:t>In a landmark study, HAV superinfection in patients with chronic hepatitis C caused fulminant hepatitis in about 41% (7 of 17), with high mortality.</w:t>
            </w:r>
          </w:p>
          <w:p>
            <w:pPr>
              <w:spacing w:after="40" w:line="252" w:lineRule="auto"/>
            </w:pPr>
            <w:hyperlink r:id="rId14">
              <w:r>
                <w:rPr>
                  <w:rFonts w:ascii="Calibri" w:hAnsi="Calibri" w:cs="Calibri"/>
                  <w:sz w:val="18"/>
                  <w:color w:val="1155CC"/>
                  <w:u w:val="single"/>
                </w:rPr>
                <w:t xml:space="preserve">NEJM 1998 — HAV superinfection in chronic hepatitis C</w:t>
              </w:r>
            </w:hyperlink>
          </w:p>
          <w:p>
            <w:pPr>
              <w:spacing w:before="60" w:after="40"/>
            </w:pPr>
            <w:r>
              <w:rPr>
                <w:rFonts w:ascii="Calibri" w:hAnsi="Calibri"/>
                <w:b w:val="0"/>
                <w:i w:val="0"/>
                <w:color w:val="5A5A5A"/>
                <w:sz w:val="18"/>
              </w:rPr>
              <w:t>#chronicliverdisease  #superinfection  #fulminant  #vaccinateCLD  #decompensation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HAV in pregnancy is associated with more preterm labour and gestational complications, and any coexisting hepatitis E must be excluded because HEV is dangerous in pregnancy.</w:t>
            </w:r>
          </w:p>
          <w:p>
            <w:pPr>
              <w:spacing w:after="40" w:before="60" w:line="259" w:lineRule="auto"/>
            </w:pPr>
            <w:r>
              <w:rPr>
                <w:rFonts w:ascii="Calibri" w:hAnsi="Calibri"/>
                <w:b w:val="0"/>
                <w:i w:val="0"/>
                <w:color w:val="212121"/>
                <w:sz w:val="19"/>
              </w:rPr>
              <w:t>Hepatitis A during pregnancy has been linked to increased preterm labour and gestational complications.</w:t>
            </w:r>
          </w:p>
          <w:p>
            <w:pPr>
              <w:spacing w:after="40" w:line="252" w:lineRule="auto"/>
            </w:pPr>
            <w:hyperlink r:id="rId11">
              <w:r>
                <w:rPr>
                  <w:rFonts w:ascii="Calibri" w:hAnsi="Calibri" w:cs="Calibri"/>
                  <w:sz w:val="18"/>
                  <w:color w:val="1155CC"/>
                  <w:u w:val="single"/>
                </w:rPr>
                <w:t xml:space="preserve">StatPearls (NCBI) — Hepatitis A</w:t>
              </w:r>
            </w:hyperlink>
          </w:p>
          <w:p>
            <w:pPr>
              <w:spacing w:before="60" w:after="40"/>
            </w:pPr>
            <w:r>
              <w:rPr>
                <w:rFonts w:ascii="Calibri" w:hAnsi="Calibri"/>
                <w:b w:val="0"/>
                <w:i w:val="0"/>
                <w:color w:val="5A5A5A"/>
                <w:sz w:val="18"/>
              </w:rPr>
              <w:t>#pregnancy  #pretermlabour  #maternalhealth  #excludeHEV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Co-infection</w:t>
            </w:r>
          </w:p>
        </w:tc>
        <w:tc>
          <w:tcPr>
            <w:tcW w:type="dxa" w:w="2160"/>
            <w:vAlign w:val="top"/>
          </w:tcPr>
          <w:p>
            <w:pPr>
              <w:spacing w:after="40" w:before="0" w:line="259" w:lineRule="auto"/>
            </w:pPr>
            <w:r>
              <w:rPr>
                <w:rFonts w:ascii="Calibri" w:hAnsi="Calibri"/>
                <w:b w:val="0"/>
                <w:i w:val="0"/>
                <w:color w:val="212121"/>
                <w:sz w:val="19"/>
              </w:rPr>
              <w:t>Concurrent hepatitis E (HEV)</w:t>
            </w:r>
          </w:p>
        </w:tc>
        <w:tc>
          <w:tcPr>
            <w:tcW w:type="dxa" w:w="4276"/>
            <w:vAlign w:val="top"/>
          </w:tcPr>
          <w:p>
            <w:pPr>
              <w:spacing w:after="60" w:line="259" w:lineRule="auto"/>
            </w:pPr>
            <w:r>
              <w:rPr>
                <w:rFonts w:ascii="Calibri" w:hAnsi="Calibri"/>
                <w:b w:val="0"/>
                <w:i w:val="0"/>
                <w:color w:val="212121"/>
                <w:sz w:val="19"/>
              </w:rPr>
              <w:t>HAV and HEV share the faecal–oral route and co-circulate in the same contaminated water and food; dual infection can produce more severe acute hepatitis and complicates diagnosis.</w:t>
            </w:r>
          </w:p>
          <w:p>
            <w:pPr>
              <w:spacing w:after="40" w:before="60" w:line="259" w:lineRule="auto"/>
            </w:pPr>
            <w:r>
              <w:rPr>
                <w:rFonts w:ascii="Calibri" w:hAnsi="Calibri"/>
                <w:b w:val="0"/>
                <w:i w:val="0"/>
                <w:color w:val="212121"/>
                <w:sz w:val="19"/>
              </w:rPr>
              <w:t>HAV and HEV are the two most important agents of acute severe (enterically transmitted) hepatitis in Asia and frequently co-circulate.</w:t>
            </w:r>
          </w:p>
          <w:p>
            <w:pPr>
              <w:spacing w:after="40" w:line="252" w:lineRule="auto"/>
            </w:pPr>
            <w:hyperlink r:id="rId11">
              <w:r>
                <w:rPr>
                  <w:rFonts w:ascii="Calibri" w:hAnsi="Calibri" w:cs="Calibri"/>
                  <w:sz w:val="18"/>
                  <w:color w:val="1155CC"/>
                  <w:u w:val="single"/>
                </w:rPr>
                <w:t xml:space="preserve">StatPearls (NCBI) — Hepatitis A</w:t>
              </w:r>
            </w:hyperlink>
          </w:p>
          <w:p>
            <w:pPr>
              <w:spacing w:before="60" w:after="40"/>
            </w:pPr>
            <w:r>
              <w:rPr>
                <w:rFonts w:ascii="Calibri" w:hAnsi="Calibri"/>
                <w:b w:val="0"/>
                <w:i w:val="0"/>
                <w:color w:val="5A5A5A"/>
                <w:sz w:val="18"/>
              </w:rPr>
              <w:t>#HEV  #coinfection  #faecaloral  #acuteviralhepatitis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Activity does not influence acquisition of HAV. During acute illness, rest is advised and strenuous exercise or contact sport is avoided until liver enzymes normalise, but there is no evidence exercise alters transmission.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Contaminated food is a primary transmission route—raw/undercooked shellfish, roadside cut fruit, salads, ice and vendor-handled food are all documented vehicles for HAV.</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role in transmission; adequate rest supports recovery during the acute icteric phase but does not change the disease course.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an established route of HAV transmission or a determinant of severity; general avoidance of hepatotoxic exposures is nonetheless sensible during recovery.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is not a transmission route, but ongoing alcohol use and alcoholic/chronic liver disease markedly worsen HAV severity and fulminant risk; alcohol should be stopped during and after illness.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role in transmission; acute illness, jaundice and enforced rest can cause transient anxiety and low mood that resolve with recovery.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Faecally contaminated drinking water is the dominant vehicle for endemic and epidemic HAV in India; access to safe, treated water dramatically reduces transmission.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hepatitis 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safe sanitation and food hygiene are the most important modifiable determinants; handwashing with soap after the toilet and before food interrupts faecal–oral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Monsoon flooding, sewage overflow contaminating water supplies, and mass gatherings/pilgrimages with strained sanitation provoke seasonal outbreaks.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has no relevance to hepatitis 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w:t>
            </w:r>
          </w:p>
        </w:tc>
        <w:tc>
          <w:tcPr>
            <w:tcW w:type="dxa" w:w="1655"/>
            <w:vAlign w:val="top"/>
          </w:tcPr>
          <w:p>
            <w:pPr>
              <w:spacing w:after="40" w:before="0" w:line="259" w:lineRule="auto"/>
            </w:pPr>
            <w:r>
              <w:rPr>
                <w:rFonts w:ascii="Calibri" w:hAnsi="Calibri"/>
                <w:b w:val="0"/>
                <w:i w:val="0"/>
                <w:color w:val="212121"/>
                <w:sz w:val="19"/>
              </w:rPr>
              <w:t>All, especially food handlers &amp; carers</w:t>
            </w:r>
          </w:p>
        </w:tc>
        <w:tc>
          <w:tcPr>
            <w:tcW w:type="dxa" w:w="1512"/>
            <w:vAlign w:val="top"/>
          </w:tcPr>
          <w:p>
            <w:pPr>
              <w:spacing w:after="40" w:before="0" w:line="259" w:lineRule="auto"/>
            </w:pPr>
            <w:r>
              <w:rPr>
                <w:rFonts w:ascii="Calibri" w:hAnsi="Calibri"/>
                <w:b w:val="0"/>
                <w:i w:val="0"/>
                <w:color w:val="212121"/>
                <w:sz w:val="19"/>
              </w:rPr>
              <w:t>Always after toilet/nappy change &amp; before food</w:t>
            </w:r>
          </w:p>
        </w:tc>
        <w:tc>
          <w:tcPr>
            <w:tcW w:type="dxa" w:w="1512"/>
            <w:vAlign w:val="top"/>
          </w:tcPr>
          <w:p>
            <w:pPr>
              <w:spacing w:after="40" w:before="0" w:line="259" w:lineRule="auto"/>
            </w:pPr>
            <w:r>
              <w:rPr>
                <w:rFonts w:ascii="Calibri" w:hAnsi="Calibri"/>
                <w:b w:val="0"/>
                <w:i w:val="0"/>
                <w:color w:val="212121"/>
                <w:sz w:val="19"/>
              </w:rPr>
              <w:t>Inconsistent or water-only washing</w:t>
            </w:r>
          </w:p>
        </w:tc>
        <w:tc>
          <w:tcPr>
            <w:tcW w:type="dxa" w:w="1468"/>
            <w:vAlign w:val="top"/>
          </w:tcPr>
          <w:p>
            <w:pPr>
              <w:spacing w:after="60" w:line="259" w:lineRule="auto"/>
            </w:pPr>
            <w:r>
              <w:rPr>
                <w:rFonts w:ascii="Calibri" w:hAnsi="Calibri"/>
                <w:b w:val="0"/>
                <w:i w:val="0"/>
                <w:color w:val="212121"/>
                <w:sz w:val="19"/>
              </w:rPr>
              <w:t>Single most effective interruption of faecal–oral spread</w:t>
            </w:r>
          </w:p>
          <w:p>
            <w:pPr>
              <w:spacing w:after="40" w:line="252" w:lineRule="auto"/>
            </w:pPr>
            <w:hyperlink r:id="rId9">
              <w:r>
                <w:rPr>
                  <w:rFonts w:ascii="Calibri" w:hAnsi="Calibri" w:cs="Calibri"/>
                  <w:sz w:val="18"/>
                  <w:color w:val="1155CC"/>
                  <w:u w:val="single"/>
                </w:rPr>
                <w:t xml:space="preserve">https://www.who.int/news-room/fact-sheets/detail/hepatitis-a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Improved sanitation / toilet use</w:t>
            </w:r>
          </w:p>
        </w:tc>
        <w:tc>
          <w:tcPr>
            <w:tcW w:type="dxa" w:w="1655"/>
            <w:vAlign w:val="top"/>
          </w:tcPr>
          <w:p>
            <w:pPr>
              <w:spacing w:after="40" w:before="0" w:line="259" w:lineRule="auto"/>
            </w:pPr>
            <w:r>
              <w:rPr>
                <w:rFonts w:ascii="Calibri" w:hAnsi="Calibri"/>
                <w:b w:val="0"/>
                <w:i w:val="0"/>
                <w:color w:val="212121"/>
                <w:sz w:val="19"/>
              </w:rPr>
              <w:t>Households, communities</w:t>
            </w:r>
          </w:p>
        </w:tc>
        <w:tc>
          <w:tcPr>
            <w:tcW w:type="dxa" w:w="1512"/>
            <w:vAlign w:val="top"/>
          </w:tcPr>
          <w:p>
            <w:pPr>
              <w:spacing w:after="40" w:before="0" w:line="259" w:lineRule="auto"/>
            </w:pPr>
            <w:r>
              <w:rPr>
                <w:rFonts w:ascii="Calibri" w:hAnsi="Calibri"/>
                <w:b w:val="0"/>
                <w:i w:val="0"/>
                <w:color w:val="212121"/>
                <w:sz w:val="19"/>
              </w:rPr>
              <w:t>Improved toilet + safe sewage disposal</w:t>
            </w:r>
          </w:p>
        </w:tc>
        <w:tc>
          <w:tcPr>
            <w:tcW w:type="dxa" w:w="1512"/>
            <w:vAlign w:val="top"/>
          </w:tcPr>
          <w:p>
            <w:pPr>
              <w:spacing w:after="40" w:before="0" w:line="259" w:lineRule="auto"/>
            </w:pPr>
            <w:r>
              <w:rPr>
                <w:rFonts w:ascii="Calibri" w:hAnsi="Calibri"/>
                <w:b w:val="0"/>
                <w:i w:val="0"/>
                <w:color w:val="212121"/>
                <w:sz w:val="19"/>
              </w:rPr>
              <w:t>Open defecation or shared unsafe latrine</w:t>
            </w:r>
          </w:p>
        </w:tc>
        <w:tc>
          <w:tcPr>
            <w:tcW w:type="dxa" w:w="1468"/>
            <w:vAlign w:val="top"/>
          </w:tcPr>
          <w:p>
            <w:pPr>
              <w:spacing w:after="60" w:line="259" w:lineRule="auto"/>
            </w:pPr>
            <w:r>
              <w:rPr>
                <w:rFonts w:ascii="Calibri" w:hAnsi="Calibri"/>
                <w:b w:val="0"/>
                <w:i w:val="0"/>
                <w:color w:val="212121"/>
                <w:sz w:val="19"/>
              </w:rPr>
              <w:t>Poor excreta disposal sustains endemic transmission</w:t>
            </w:r>
          </w:p>
          <w:p>
            <w:pPr>
              <w:spacing w:after="40" w:line="252" w:lineRule="auto"/>
            </w:pPr>
            <w:hyperlink r:id="rId9">
              <w:r>
                <w:rPr>
                  <w:rFonts w:ascii="Calibri" w:hAnsi="Calibri" w:cs="Calibri"/>
                  <w:sz w:val="18"/>
                  <w:color w:val="1155CC"/>
                  <w:u w:val="single"/>
                </w:rPr>
                <w:t xml:space="preserve">https://www.who.int/news-room/fact-sheets/detail/hepatitis-a</w:t>
              </w:r>
            </w:hyperlink>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safety</w:t>
            </w:r>
          </w:p>
        </w:tc>
        <w:tc>
          <w:tcPr>
            <w:tcW w:type="dxa" w:w="1655"/>
            <w:vAlign w:val="top"/>
          </w:tcPr>
          <w:p>
            <w:pPr>
              <w:spacing w:after="40" w:before="0" w:line="259" w:lineRule="auto"/>
            </w:pPr>
            <w:r>
              <w:rPr>
                <w:rFonts w:ascii="Calibri" w:hAnsi="Calibri"/>
                <w:b w:val="0"/>
                <w:i w:val="0"/>
                <w:color w:val="212121"/>
                <w:sz w:val="19"/>
              </w:rPr>
              <w:t>All, outbreak-prone areas</w:t>
            </w:r>
          </w:p>
        </w:tc>
        <w:tc>
          <w:tcPr>
            <w:tcW w:type="dxa" w:w="1512"/>
            <w:vAlign w:val="top"/>
          </w:tcPr>
          <w:p>
            <w:pPr>
              <w:spacing w:after="40" w:before="0" w:line="259" w:lineRule="auto"/>
            </w:pPr>
            <w:r>
              <w:rPr>
                <w:rFonts w:ascii="Calibri" w:hAnsi="Calibri"/>
                <w:b w:val="0"/>
                <w:i w:val="0"/>
                <w:color w:val="212121"/>
                <w:sz w:val="19"/>
              </w:rPr>
              <w:t>Boiled, filtered or adequately chlorinated / treated piped supply</w:t>
            </w:r>
          </w:p>
        </w:tc>
        <w:tc>
          <w:tcPr>
            <w:tcW w:type="dxa" w:w="1512"/>
            <w:vAlign w:val="top"/>
          </w:tcPr>
          <w:p>
            <w:pPr>
              <w:spacing w:after="40" w:before="0" w:line="259" w:lineRule="auto"/>
            </w:pPr>
            <w:r>
              <w:rPr>
                <w:rFonts w:ascii="Calibri" w:hAnsi="Calibri"/>
                <w:b w:val="0"/>
                <w:i w:val="0"/>
                <w:color w:val="212121"/>
                <w:sz w:val="19"/>
              </w:rPr>
              <w:t>Untreated surface, well or intermittent piped water</w:t>
            </w:r>
          </w:p>
        </w:tc>
        <w:tc>
          <w:tcPr>
            <w:tcW w:type="dxa" w:w="1468"/>
            <w:vAlign w:val="top"/>
          </w:tcPr>
          <w:p>
            <w:pPr>
              <w:spacing w:after="60" w:line="259" w:lineRule="auto"/>
            </w:pPr>
            <w:r>
              <w:rPr>
                <w:rFonts w:ascii="Calibri" w:hAnsi="Calibri"/>
                <w:b w:val="0"/>
                <w:i w:val="0"/>
                <w:color w:val="212121"/>
                <w:sz w:val="19"/>
              </w:rPr>
              <w:t>Contaminated water is the dominant HAV vehicle in India</w:t>
            </w:r>
          </w:p>
          <w:p>
            <w:pPr>
              <w:spacing w:after="40" w:line="252" w:lineRule="auto"/>
            </w:pPr>
            <w:hyperlink r:id="rId13">
              <w:r>
                <w:rPr>
                  <w:rFonts w:ascii="Calibri" w:hAnsi="Calibri" w:cs="Calibri"/>
                  <w:sz w:val="18"/>
                  <w:color w:val="1155CC"/>
                  <w:u w:val="single"/>
                </w:rPr>
                <w:t xml:space="preserve">https://ijmedph.org/Uploads/Volume15Issue1/47.%20[1466.%20IJMEDPH_Arpita]%20256-260.pdf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 residual chlorine at point of use</w:t>
            </w:r>
          </w:p>
        </w:tc>
        <w:tc>
          <w:tcPr>
            <w:tcW w:type="dxa" w:w="1655"/>
            <w:vAlign w:val="top"/>
          </w:tcPr>
          <w:p>
            <w:pPr>
              <w:spacing w:after="40" w:before="0" w:line="259" w:lineRule="auto"/>
            </w:pPr>
            <w:r>
              <w:rPr>
                <w:rFonts w:ascii="Calibri" w:hAnsi="Calibri"/>
                <w:b w:val="0"/>
                <w:i w:val="0"/>
                <w:color w:val="212121"/>
                <w:sz w:val="19"/>
              </w:rPr>
              <w:t>Piped/community supplies</w:t>
            </w:r>
          </w:p>
        </w:tc>
        <w:tc>
          <w:tcPr>
            <w:tcW w:type="dxa" w:w="1512"/>
            <w:vAlign w:val="top"/>
          </w:tcPr>
          <w:p>
            <w:pPr>
              <w:spacing w:after="40" w:before="0" w:line="259" w:lineRule="auto"/>
            </w:pPr>
            <w:r>
              <w:rPr>
                <w:rFonts w:ascii="Calibri" w:hAnsi="Calibri"/>
                <w:b w:val="0"/>
                <w:i w:val="0"/>
                <w:color w:val="212121"/>
                <w:sz w:val="19"/>
              </w:rPr>
              <w:t>≥ 0.2 mg/L</w:t>
            </w:r>
          </w:p>
        </w:tc>
        <w:tc>
          <w:tcPr>
            <w:tcW w:type="dxa" w:w="1512"/>
            <w:vAlign w:val="top"/>
          </w:tcPr>
          <w:p>
            <w:pPr>
              <w:spacing w:after="40" w:before="0" w:line="259" w:lineRule="auto"/>
            </w:pPr>
            <w:r>
              <w:rPr>
                <w:rFonts w:ascii="Calibri" w:hAnsi="Calibri"/>
                <w:b w:val="0"/>
                <w:i w:val="0"/>
                <w:color w:val="212121"/>
                <w:sz w:val="19"/>
              </w:rPr>
              <w:t>&lt; 0.2 mg/L</w:t>
            </w:r>
          </w:p>
        </w:tc>
        <w:tc>
          <w:tcPr>
            <w:tcW w:type="dxa" w:w="1468"/>
            <w:vAlign w:val="top"/>
          </w:tcPr>
          <w:p>
            <w:pPr>
              <w:spacing w:after="40" w:before="0" w:line="259" w:lineRule="auto"/>
            </w:pPr>
            <w:r>
              <w:rPr>
                <w:rFonts w:ascii="Calibri" w:hAnsi="Calibri"/>
                <w:b w:val="0"/>
                <w:i w:val="0"/>
                <w:color w:val="212121"/>
                <w:sz w:val="19"/>
              </w:rPr>
              <w:t>Below-threshold chlorination permits enteric-virus survival (WHO drinking-water guidance)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Raw shellfish consumption</w:t>
            </w:r>
          </w:p>
        </w:tc>
        <w:tc>
          <w:tcPr>
            <w:tcW w:type="dxa" w:w="1655"/>
            <w:vAlign w:val="top"/>
          </w:tcPr>
          <w:p>
            <w:pPr>
              <w:spacing w:after="40" w:before="0" w:line="259" w:lineRule="auto"/>
            </w:pPr>
            <w:r>
              <w:rPr>
                <w:rFonts w:ascii="Calibri" w:hAnsi="Calibri"/>
                <w:b w:val="0"/>
                <w:i w:val="0"/>
                <w:color w:val="212121"/>
                <w:sz w:val="19"/>
              </w:rPr>
              <w:t>Coastal &amp; seafood-eating populations</w:t>
            </w:r>
          </w:p>
        </w:tc>
        <w:tc>
          <w:tcPr>
            <w:tcW w:type="dxa" w:w="1512"/>
            <w:vAlign w:val="top"/>
          </w:tcPr>
          <w:p>
            <w:pPr>
              <w:spacing w:after="40" w:before="0" w:line="259" w:lineRule="auto"/>
            </w:pPr>
            <w:r>
              <w:rPr>
                <w:rFonts w:ascii="Calibri" w:hAnsi="Calibri"/>
                <w:b w:val="0"/>
                <w:i w:val="0"/>
                <w:color w:val="212121"/>
                <w:sz w:val="19"/>
              </w:rPr>
              <w:t>Thoroughly cooked; avoid raw shellfish</w:t>
            </w:r>
          </w:p>
        </w:tc>
        <w:tc>
          <w:tcPr>
            <w:tcW w:type="dxa" w:w="1512"/>
            <w:vAlign w:val="top"/>
          </w:tcPr>
          <w:p>
            <w:pPr>
              <w:spacing w:after="40" w:before="0" w:line="259" w:lineRule="auto"/>
            </w:pPr>
            <w:r>
              <w:rPr>
                <w:rFonts w:ascii="Calibri" w:hAnsi="Calibri"/>
                <w:b w:val="0"/>
                <w:i w:val="0"/>
                <w:color w:val="212121"/>
                <w:sz w:val="19"/>
              </w:rPr>
              <w:t>Raw / lightly cooked shellfish from unknown waters</w:t>
            </w:r>
          </w:p>
        </w:tc>
        <w:tc>
          <w:tcPr>
            <w:tcW w:type="dxa" w:w="1468"/>
            <w:vAlign w:val="top"/>
          </w:tcPr>
          <w:p>
            <w:pPr>
              <w:spacing w:after="60" w:line="259" w:lineRule="auto"/>
            </w:pPr>
            <w:r>
              <w:rPr>
                <w:rFonts w:ascii="Calibri" w:hAnsi="Calibri"/>
                <w:b w:val="0"/>
                <w:i w:val="0"/>
                <w:color w:val="212121"/>
                <w:sz w:val="19"/>
              </w:rPr>
              <w:t>Filter feeders concentrate HAV from sewage-polluted water</w:t>
            </w:r>
          </w:p>
          <w:p>
            <w:pPr>
              <w:spacing w:after="40" w:line="252" w:lineRule="auto"/>
            </w:pPr>
            <w:hyperlink r:id="rId11">
              <w:r>
                <w:rPr>
                  <w:rFonts w:ascii="Calibri" w:hAnsi="Calibri" w:cs="Calibri"/>
                  <w:sz w:val="18"/>
                  <w:color w:val="1155CC"/>
                  <w:u w:val="single"/>
                </w:rPr>
                <w:t xml:space="preserve">https://www.ncbi.nlm.nih.gov/books/NBK459290/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Street cut-fruit / salad / ice intake</w:t>
            </w:r>
          </w:p>
        </w:tc>
        <w:tc>
          <w:tcPr>
            <w:tcW w:type="dxa" w:w="1655"/>
            <w:vAlign w:val="top"/>
          </w:tcPr>
          <w:p>
            <w:pPr>
              <w:spacing w:after="40" w:before="0" w:line="259" w:lineRule="auto"/>
            </w:pPr>
            <w:r>
              <w:rPr>
                <w:rFonts w:ascii="Calibri" w:hAnsi="Calibri"/>
                <w:b w:val="0"/>
                <w:i w:val="0"/>
                <w:color w:val="212121"/>
                <w:sz w:val="19"/>
              </w:rPr>
              <w:t>Urban commuters, students</w:t>
            </w:r>
          </w:p>
        </w:tc>
        <w:tc>
          <w:tcPr>
            <w:tcW w:type="dxa" w:w="1512"/>
            <w:vAlign w:val="top"/>
          </w:tcPr>
          <w:p>
            <w:pPr>
              <w:spacing w:after="40" w:before="0" w:line="259" w:lineRule="auto"/>
            </w:pPr>
            <w:r>
              <w:rPr>
                <w:rFonts w:ascii="Calibri" w:hAnsi="Calibri"/>
                <w:b w:val="0"/>
                <w:i w:val="0"/>
                <w:color w:val="212121"/>
                <w:sz w:val="19"/>
              </w:rPr>
              <w:t>Freshly peeled/cooked, safe-water preparation</w:t>
            </w:r>
          </w:p>
        </w:tc>
        <w:tc>
          <w:tcPr>
            <w:tcW w:type="dxa" w:w="1512"/>
            <w:vAlign w:val="top"/>
          </w:tcPr>
          <w:p>
            <w:pPr>
              <w:spacing w:after="40" w:before="0" w:line="259" w:lineRule="auto"/>
            </w:pPr>
            <w:r>
              <w:rPr>
                <w:rFonts w:ascii="Calibri" w:hAnsi="Calibri"/>
                <w:b w:val="0"/>
                <w:i w:val="0"/>
                <w:color w:val="212121"/>
                <w:sz w:val="19"/>
              </w:rPr>
              <w:t>Roadside cut fruit, salads, ice from untreated water</w:t>
            </w:r>
          </w:p>
        </w:tc>
        <w:tc>
          <w:tcPr>
            <w:tcW w:type="dxa" w:w="1468"/>
            <w:vAlign w:val="top"/>
          </w:tcPr>
          <w:p>
            <w:pPr>
              <w:spacing w:after="60" w:line="259" w:lineRule="auto"/>
            </w:pPr>
            <w:r>
              <w:rPr>
                <w:rFonts w:ascii="Calibri" w:hAnsi="Calibri"/>
                <w:b w:val="0"/>
                <w:i w:val="0"/>
                <w:color w:val="212121"/>
                <w:sz w:val="19"/>
              </w:rPr>
              <w:t>Common vehicle where wash-water is contaminated</w:t>
            </w:r>
          </w:p>
          <w:p>
            <w:pPr>
              <w:spacing w:after="40" w:line="252" w:lineRule="auto"/>
            </w:pPr>
            <w:hyperlink r:id="rId13">
              <w:r>
                <w:rPr>
                  <w:rFonts w:ascii="Calibri" w:hAnsi="Calibri" w:cs="Calibri"/>
                  <w:sz w:val="18"/>
                  <w:color w:val="1155CC"/>
                  <w:u w:val="single"/>
                </w:rPr>
                <w:t xml:space="preserve">https://ijmedph.org/Uploads/Volume15Issue1/47.%20[1466.%20IJMEDPH_Arpita]%20256-260.pdf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HAV vaccination status</w:t>
            </w:r>
          </w:p>
        </w:tc>
        <w:tc>
          <w:tcPr>
            <w:tcW w:type="dxa" w:w="1655"/>
            <w:vAlign w:val="top"/>
          </w:tcPr>
          <w:p>
            <w:pPr>
              <w:spacing w:after="40" w:before="0" w:line="259" w:lineRule="auto"/>
            </w:pPr>
            <w:r>
              <w:rPr>
                <w:rFonts w:ascii="Calibri" w:hAnsi="Calibri"/>
                <w:b w:val="0"/>
                <w:i w:val="0"/>
                <w:color w:val="212121"/>
                <w:sz w:val="19"/>
              </w:rPr>
              <w:t>Susceptible children, travellers, CLD patients</w:t>
            </w:r>
          </w:p>
        </w:tc>
        <w:tc>
          <w:tcPr>
            <w:tcW w:type="dxa" w:w="1512"/>
            <w:vAlign w:val="top"/>
          </w:tcPr>
          <w:p>
            <w:pPr>
              <w:spacing w:after="40" w:before="0" w:line="259" w:lineRule="auto"/>
            </w:pPr>
            <w:r>
              <w:rPr>
                <w:rFonts w:ascii="Calibri" w:hAnsi="Calibri"/>
                <w:b w:val="0"/>
                <w:i w:val="0"/>
                <w:color w:val="212121"/>
                <w:sz w:val="19"/>
              </w:rPr>
              <w:t>Documented immunity or completed vaccination</w:t>
            </w:r>
          </w:p>
        </w:tc>
        <w:tc>
          <w:tcPr>
            <w:tcW w:type="dxa" w:w="1512"/>
            <w:vAlign w:val="top"/>
          </w:tcPr>
          <w:p>
            <w:pPr>
              <w:spacing w:after="40" w:before="0" w:line="259" w:lineRule="auto"/>
            </w:pPr>
            <w:r>
              <w:rPr>
                <w:rFonts w:ascii="Calibri" w:hAnsi="Calibri"/>
                <w:b w:val="0"/>
                <w:i w:val="0"/>
                <w:color w:val="212121"/>
                <w:sz w:val="19"/>
              </w:rPr>
              <w:t>Unvaccinated and seronegative</w:t>
            </w:r>
          </w:p>
        </w:tc>
        <w:tc>
          <w:tcPr>
            <w:tcW w:type="dxa" w:w="1468"/>
            <w:vAlign w:val="top"/>
          </w:tcPr>
          <w:p>
            <w:pPr>
              <w:spacing w:after="60" w:line="259" w:lineRule="auto"/>
            </w:pPr>
            <w:r>
              <w:rPr>
                <w:rFonts w:ascii="Calibri" w:hAnsi="Calibri"/>
                <w:b w:val="0"/>
                <w:i w:val="0"/>
                <w:color w:val="212121"/>
                <w:sz w:val="19"/>
              </w:rPr>
              <w:t>Vaccine gives durable protection and interrupts spread</w:t>
            </w:r>
          </w:p>
          <w:p>
            <w:pPr>
              <w:spacing w:after="40" w:line="252" w:lineRule="auto"/>
            </w:pPr>
            <w:hyperlink r:id="rId15">
              <w:r>
                <w:rPr>
                  <w:rFonts w:ascii="Calibri" w:hAnsi="Calibri" w:cs="Calibri"/>
                  <w:sz w:val="18"/>
                  <w:color w:val="1155CC"/>
                  <w:u w:val="single"/>
                </w:rPr>
                <w:t xml:space="preserve">https://www.indianpediatrics.net/aug2015/aug-687-690.htm</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during/after acute HAV</w:t>
            </w:r>
          </w:p>
        </w:tc>
        <w:tc>
          <w:tcPr>
            <w:tcW w:type="dxa" w:w="1655"/>
            <w:vAlign w:val="top"/>
          </w:tcPr>
          <w:p>
            <w:pPr>
              <w:spacing w:after="40" w:before="0" w:line="259" w:lineRule="auto"/>
            </w:pPr>
            <w:r>
              <w:rPr>
                <w:rFonts w:ascii="Calibri" w:hAnsi="Calibri"/>
                <w:b w:val="0"/>
                <w:i w:val="0"/>
                <w:color w:val="212121"/>
                <w:sz w:val="19"/>
              </w:rPr>
              <w:t>Adults with acute HAV</w:t>
            </w:r>
          </w:p>
        </w:tc>
        <w:tc>
          <w:tcPr>
            <w:tcW w:type="dxa" w:w="1512"/>
            <w:vAlign w:val="top"/>
          </w:tcPr>
          <w:p>
            <w:pPr>
              <w:spacing w:after="40" w:before="0" w:line="259" w:lineRule="auto"/>
            </w:pPr>
            <w:r>
              <w:rPr>
                <w:rFonts w:ascii="Calibri" w:hAnsi="Calibri"/>
                <w:b w:val="0"/>
                <w:i w:val="0"/>
                <w:color w:val="212121"/>
                <w:sz w:val="19"/>
              </w:rPr>
              <w:t>0 units until full recovery</w:t>
            </w:r>
          </w:p>
        </w:tc>
        <w:tc>
          <w:tcPr>
            <w:tcW w:type="dxa" w:w="1512"/>
            <w:vAlign w:val="top"/>
          </w:tcPr>
          <w:p>
            <w:pPr>
              <w:spacing w:after="40" w:before="0" w:line="259" w:lineRule="auto"/>
            </w:pPr>
            <w:r>
              <w:rPr>
                <w:rFonts w:ascii="Calibri" w:hAnsi="Calibri"/>
                <w:b w:val="0"/>
                <w:i w:val="0"/>
                <w:color w:val="212121"/>
                <w:sz w:val="19"/>
              </w:rPr>
              <w:t>Any alcohol during illness/convalescence</w:t>
            </w:r>
          </w:p>
        </w:tc>
        <w:tc>
          <w:tcPr>
            <w:tcW w:type="dxa" w:w="1468"/>
            <w:vAlign w:val="top"/>
          </w:tcPr>
          <w:p>
            <w:pPr>
              <w:spacing w:after="40" w:before="0" w:line="259" w:lineRule="auto"/>
            </w:pPr>
            <w:r>
              <w:rPr>
                <w:rFonts w:ascii="Calibri" w:hAnsi="Calibri"/>
                <w:b w:val="0"/>
                <w:i w:val="0"/>
                <w:color w:val="212121"/>
                <w:sz w:val="19"/>
              </w:rPr>
              <w:t>Adds hepatotoxic injury to an inflamed liver</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Exertion during acute illness</w:t>
            </w:r>
          </w:p>
        </w:tc>
        <w:tc>
          <w:tcPr>
            <w:tcW w:type="dxa" w:w="1655"/>
            <w:vAlign w:val="top"/>
          </w:tcPr>
          <w:p>
            <w:pPr>
              <w:spacing w:after="40" w:before="0" w:line="259" w:lineRule="auto"/>
            </w:pPr>
            <w:r>
              <w:rPr>
                <w:rFonts w:ascii="Calibri" w:hAnsi="Calibri"/>
                <w:b w:val="0"/>
                <w:i w:val="0"/>
                <w:color w:val="212121"/>
                <w:sz w:val="19"/>
              </w:rPr>
              <w:t>Symptomatic patients</w:t>
            </w:r>
          </w:p>
        </w:tc>
        <w:tc>
          <w:tcPr>
            <w:tcW w:type="dxa" w:w="1512"/>
            <w:vAlign w:val="top"/>
          </w:tcPr>
          <w:p>
            <w:pPr>
              <w:spacing w:after="40" w:before="0" w:line="259" w:lineRule="auto"/>
            </w:pPr>
            <w:r>
              <w:rPr>
                <w:rFonts w:ascii="Calibri" w:hAnsi="Calibri"/>
                <w:b w:val="0"/>
                <w:i w:val="0"/>
                <w:color w:val="212121"/>
                <w:sz w:val="19"/>
              </w:rPr>
              <w:t>Rest; graded return once LFTs improve</w:t>
            </w:r>
          </w:p>
        </w:tc>
        <w:tc>
          <w:tcPr>
            <w:tcW w:type="dxa" w:w="1512"/>
            <w:vAlign w:val="top"/>
          </w:tcPr>
          <w:p>
            <w:pPr>
              <w:spacing w:after="40" w:before="0" w:line="259" w:lineRule="auto"/>
            </w:pPr>
            <w:r>
              <w:rPr>
                <w:rFonts w:ascii="Calibri" w:hAnsi="Calibri"/>
                <w:b w:val="0"/>
                <w:i w:val="0"/>
                <w:color w:val="212121"/>
                <w:sz w:val="19"/>
              </w:rPr>
              <w:t>Strenuous exercise/contact sport while symptomatic</w:t>
            </w:r>
          </w:p>
        </w:tc>
        <w:tc>
          <w:tcPr>
            <w:tcW w:type="dxa" w:w="1468"/>
            <w:vAlign w:val="top"/>
          </w:tcPr>
          <w:p>
            <w:pPr>
              <w:spacing w:after="40" w:before="0" w:line="259" w:lineRule="auto"/>
            </w:pPr>
            <w:r>
              <w:rPr>
                <w:rFonts w:ascii="Calibri" w:hAnsi="Calibri"/>
                <w:b w:val="0"/>
                <w:i w:val="0"/>
                <w:color w:val="212121"/>
                <w:sz w:val="19"/>
              </w:rPr>
              <w:t>Rest is symptomatic; avoid injury with tender hepatomegaly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Monsoon / flood water exposure</w:t>
            </w:r>
          </w:p>
        </w:tc>
        <w:tc>
          <w:tcPr>
            <w:tcW w:type="dxa" w:w="1655"/>
            <w:vAlign w:val="top"/>
          </w:tcPr>
          <w:p>
            <w:pPr>
              <w:spacing w:after="40" w:before="0" w:line="259" w:lineRule="auto"/>
            </w:pPr>
            <w:r>
              <w:rPr>
                <w:rFonts w:ascii="Calibri" w:hAnsi="Calibri"/>
                <w:b w:val="0"/>
                <w:i w:val="0"/>
                <w:color w:val="212121"/>
                <w:sz w:val="19"/>
              </w:rPr>
              <w:t>Flood-prone &amp; outbreak areas</w:t>
            </w:r>
          </w:p>
        </w:tc>
        <w:tc>
          <w:tcPr>
            <w:tcW w:type="dxa" w:w="1512"/>
            <w:vAlign w:val="top"/>
          </w:tcPr>
          <w:p>
            <w:pPr>
              <w:spacing w:after="40" w:before="0" w:line="259" w:lineRule="auto"/>
            </w:pPr>
            <w:r>
              <w:rPr>
                <w:rFonts w:ascii="Calibri" w:hAnsi="Calibri"/>
                <w:b w:val="0"/>
                <w:i w:val="0"/>
                <w:color w:val="212121"/>
                <w:sz w:val="19"/>
              </w:rPr>
              <w:t>Use safe stored water; avoid flood-contaminated supplies</w:t>
            </w:r>
          </w:p>
        </w:tc>
        <w:tc>
          <w:tcPr>
            <w:tcW w:type="dxa" w:w="1512"/>
            <w:vAlign w:val="top"/>
          </w:tcPr>
          <w:p>
            <w:pPr>
              <w:spacing w:after="40" w:before="0" w:line="259" w:lineRule="auto"/>
            </w:pPr>
            <w:r>
              <w:rPr>
                <w:rFonts w:ascii="Calibri" w:hAnsi="Calibri"/>
                <w:b w:val="0"/>
                <w:i w:val="0"/>
                <w:color w:val="212121"/>
                <w:sz w:val="19"/>
              </w:rPr>
              <w:t>Drinking/using sewage-mixed flood water</w:t>
            </w:r>
          </w:p>
        </w:tc>
        <w:tc>
          <w:tcPr>
            <w:tcW w:type="dxa" w:w="1468"/>
            <w:vAlign w:val="top"/>
          </w:tcPr>
          <w:p>
            <w:pPr>
              <w:spacing w:after="60" w:line="259" w:lineRule="auto"/>
            </w:pPr>
            <w:r>
              <w:rPr>
                <w:rFonts w:ascii="Calibri" w:hAnsi="Calibri"/>
                <w:b w:val="0"/>
                <w:i w:val="0"/>
                <w:color w:val="212121"/>
                <w:sz w:val="19"/>
              </w:rPr>
              <w:t>Seasonal pre- and post-monsoon outbreak peaks</w:t>
            </w:r>
          </w:p>
          <w:p>
            <w:pPr>
              <w:spacing w:after="40" w:line="252" w:lineRule="auto"/>
            </w:pPr>
            <w:hyperlink r:id="rId13">
              <w:r>
                <w:rPr>
                  <w:rFonts w:ascii="Calibri" w:hAnsi="Calibri" w:cs="Calibri"/>
                  <w:sz w:val="18"/>
                  <w:color w:val="1155CC"/>
                  <w:u w:val="single"/>
                </w:rPr>
                <w:t xml:space="preserve">https://ijmedph.org/Uploads/Volume15Issue1/47.%20[1466.%20IJMEDPH_Arpita]%20256-260.pdf</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IgM anti-HAV antibody</w:t>
            </w:r>
          </w:p>
        </w:tc>
        <w:tc>
          <w:tcPr>
            <w:tcW w:type="dxa" w:w="892"/>
            <w:vAlign w:val="top"/>
          </w:tcPr>
          <w:p>
            <w:pPr>
              <w:spacing w:after="40" w:before="0" w:line="259" w:lineRule="auto"/>
            </w:pPr>
            <w:r>
              <w:rPr>
                <w:rFonts w:ascii="Calibri" w:hAnsi="Calibri"/>
                <w:b w:val="0"/>
                <w:i w:val="0"/>
                <w:color w:val="212121"/>
                <w:sz w:val="16"/>
              </w:rPr>
              <w:t>Hepatitis A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Confirms acute/recent HAV infection; positive from onset for ~4–6 months</w:t>
            </w:r>
          </w:p>
        </w:tc>
        <w:tc>
          <w:tcPr>
            <w:tcW w:type="dxa" w:w="1036"/>
            <w:vAlign w:val="top"/>
          </w:tcPr>
          <w:p>
            <w:pPr>
              <w:spacing w:after="40" w:before="0" w:line="259" w:lineRule="auto"/>
            </w:pPr>
            <w:r>
              <w:rPr>
                <w:rFonts w:ascii="Calibri" w:hAnsi="Calibri"/>
                <w:b w:val="0"/>
                <w:i w:val="0"/>
                <w:color w:val="212121"/>
                <w:sz w:val="16"/>
              </w:rPr>
              <w:t>Anyone with acute hepatitis/jaundice, contacts, outbreak cases</w:t>
            </w:r>
          </w:p>
        </w:tc>
        <w:tc>
          <w:tcPr>
            <w:tcW w:type="dxa" w:w="720"/>
            <w:vAlign w:val="top"/>
          </w:tcPr>
          <w:p>
            <w:pPr>
              <w:spacing w:after="40" w:before="0" w:line="259" w:lineRule="auto"/>
            </w:pPr>
            <w:r>
              <w:rPr>
                <w:rFonts w:ascii="Calibri" w:hAnsi="Calibri"/>
                <w:b w:val="0"/>
                <w:i w:val="0"/>
                <w:color w:val="212121"/>
                <w:sz w:val="16"/>
              </w:rPr>
              <w:t>Water; Food; Hygiene</w:t>
            </w:r>
          </w:p>
        </w:tc>
        <w:tc>
          <w:tcPr>
            <w:tcW w:type="dxa" w:w="720"/>
            <w:vAlign w:val="top"/>
          </w:tcPr>
          <w:p>
            <w:pPr>
              <w:spacing w:after="40" w:before="0" w:line="259" w:lineRule="auto"/>
            </w:pPr>
            <w:r>
              <w:rPr>
                <w:rFonts w:ascii="Calibri" w:hAnsi="Calibri"/>
                <w:b w:val="0"/>
                <w:i w:val="0"/>
                <w:color w:val="212121"/>
                <w:sz w:val="16"/>
              </w:rPr>
              <w:t>Gold standard (diagnostic)</w:t>
            </w:r>
          </w:p>
        </w:tc>
        <w:tc>
          <w:tcPr>
            <w:tcW w:type="dxa" w:w="720"/>
            <w:vAlign w:val="top"/>
          </w:tcPr>
          <w:p>
            <w:pPr>
              <w:spacing w:after="40" w:before="0" w:line="259" w:lineRule="auto"/>
            </w:pPr>
            <w:r>
              <w:rPr>
                <w:rFonts w:ascii="Calibri" w:hAnsi="Calibri"/>
                <w:b w:val="0"/>
                <w:i w:val="0"/>
                <w:color w:val="212121"/>
                <w:sz w:val="16"/>
              </w:rPr>
              <w:t>Single positive test is diagnostic in a compatible illness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IgG anti-HAV antibody</w:t>
            </w:r>
          </w:p>
        </w:tc>
        <w:tc>
          <w:tcPr>
            <w:tcW w:type="dxa" w:w="892"/>
            <w:vAlign w:val="top"/>
          </w:tcPr>
          <w:p>
            <w:pPr>
              <w:spacing w:after="40" w:before="0" w:line="259" w:lineRule="auto"/>
            </w:pPr>
            <w:r>
              <w:rPr>
                <w:rFonts w:ascii="Calibri" w:hAnsi="Calibri"/>
                <w:b w:val="0"/>
                <w:i w:val="0"/>
                <w:color w:val="212121"/>
                <w:sz w:val="16"/>
              </w:rPr>
              <w:t>Hepatitis A serology</w:t>
            </w:r>
          </w:p>
        </w:tc>
        <w:tc>
          <w:tcPr>
            <w:tcW w:type="dxa" w:w="950"/>
            <w:vAlign w:val="top"/>
          </w:tcPr>
          <w:p>
            <w:pPr>
              <w:spacing w:after="40" w:before="0" w:line="259" w:lineRule="auto"/>
            </w:pPr>
            <w:r>
              <w:rPr>
                <w:rFonts w:ascii="Calibri" w:hAnsi="Calibri"/>
                <w:b w:val="0"/>
                <w:i w:val="0"/>
                <w:color w:val="212121"/>
                <w:sz w:val="16"/>
              </w:rPr>
              <w:t>Negative (if never exposed)</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Past infection or vaccination = lifelong immunity; used to identify susceptibles</w:t>
            </w:r>
          </w:p>
        </w:tc>
        <w:tc>
          <w:tcPr>
            <w:tcW w:type="dxa" w:w="1036"/>
            <w:vAlign w:val="top"/>
          </w:tcPr>
          <w:p>
            <w:pPr>
              <w:spacing w:after="40" w:before="0" w:line="259" w:lineRule="auto"/>
            </w:pPr>
            <w:r>
              <w:rPr>
                <w:rFonts w:ascii="Calibri" w:hAnsi="Calibri"/>
                <w:b w:val="0"/>
                <w:i w:val="0"/>
                <w:color w:val="212121"/>
                <w:sz w:val="16"/>
              </w:rPr>
              <w:t>Pre-vaccination screening, CLD patients, travellers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Immunity marker</w:t>
            </w:r>
          </w:p>
        </w:tc>
        <w:tc>
          <w:tcPr>
            <w:tcW w:type="dxa" w:w="720"/>
            <w:vAlign w:val="top"/>
          </w:tcPr>
          <w:p>
            <w:pPr>
              <w:spacing w:after="40" w:before="0" w:line="259" w:lineRule="auto"/>
            </w:pPr>
            <w:r>
              <w:rPr>
                <w:rFonts w:ascii="Calibri" w:hAnsi="Calibri"/>
                <w:b w:val="0"/>
                <w:i w:val="0"/>
                <w:color w:val="212121"/>
                <w:sz w:val="16"/>
              </w:rPr>
              <w:t>IgG+ with IgM− means immune, not acute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Alanine aminotransferase (ALT/SGPT)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7–56 U/L</w:t>
            </w:r>
          </w:p>
        </w:tc>
        <w:tc>
          <w:tcPr>
            <w:tcW w:type="dxa" w:w="950"/>
            <w:vAlign w:val="top"/>
          </w:tcPr>
          <w:p>
            <w:pPr>
              <w:spacing w:after="40" w:before="0" w:line="259" w:lineRule="auto"/>
            </w:pPr>
            <w:r>
              <w:rPr>
                <w:rFonts w:ascii="Calibri" w:hAnsi="Calibri"/>
                <w:b w:val="0"/>
                <w:i w:val="0"/>
                <w:color w:val="212121"/>
                <w:sz w:val="16"/>
              </w:rPr>
              <w:t>Often 10–100× ULN (frequently &gt; 1000 U/L)</w:t>
            </w:r>
          </w:p>
        </w:tc>
        <w:tc>
          <w:tcPr>
            <w:tcW w:type="dxa" w:w="1036"/>
            <w:vAlign w:val="top"/>
          </w:tcPr>
          <w:p>
            <w:pPr>
              <w:spacing w:after="40" w:before="0" w:line="259" w:lineRule="auto"/>
            </w:pPr>
            <w:r>
              <w:rPr>
                <w:rFonts w:ascii="Calibri" w:hAnsi="Calibri"/>
                <w:b w:val="0"/>
                <w:i w:val="0"/>
                <w:color w:val="212121"/>
                <w:sz w:val="16"/>
              </w:rPr>
              <w:t>Hepatocellular injury; ALT usually higher than in other viral hepatitides</w:t>
            </w:r>
          </w:p>
        </w:tc>
        <w:tc>
          <w:tcPr>
            <w:tcW w:type="dxa" w:w="1036"/>
            <w:vAlign w:val="top"/>
          </w:tcPr>
          <w:p>
            <w:pPr>
              <w:spacing w:after="40" w:before="0" w:line="259" w:lineRule="auto"/>
            </w:pPr>
            <w:r>
              <w:rPr>
                <w:rFonts w:ascii="Calibri" w:hAnsi="Calibri"/>
                <w:b w:val="0"/>
                <w:i w:val="0"/>
                <w:color w:val="212121"/>
                <w:sz w:val="16"/>
              </w:rPr>
              <w:t>All symptomatic HAV, icteric patients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Key severity/diagnostic</w:t>
            </w:r>
          </w:p>
        </w:tc>
        <w:tc>
          <w:tcPr>
            <w:tcW w:type="dxa" w:w="720"/>
            <w:vAlign w:val="top"/>
          </w:tcPr>
          <w:p>
            <w:pPr>
              <w:spacing w:after="40" w:before="0" w:line="259" w:lineRule="auto"/>
            </w:pPr>
            <w:r>
              <w:rPr>
                <w:rFonts w:ascii="Calibri" w:hAnsi="Calibri"/>
                <w:b w:val="0"/>
                <w:i w:val="0"/>
                <w:color w:val="212121"/>
                <w:sz w:val="16"/>
              </w:rPr>
              <w:t>Peaks around jaundice then falls; ALT &gt; AST typical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Aspartate aminotransferase (AST/SGOT)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5–40 U/L</w:t>
            </w:r>
          </w:p>
        </w:tc>
        <w:tc>
          <w:tcPr>
            <w:tcW w:type="dxa" w:w="950"/>
            <w:vAlign w:val="top"/>
          </w:tcPr>
          <w:p>
            <w:pPr>
              <w:spacing w:after="40" w:before="0" w:line="259" w:lineRule="auto"/>
            </w:pPr>
            <w:r>
              <w:rPr>
                <w:rFonts w:ascii="Calibri" w:hAnsi="Calibri"/>
                <w:b w:val="0"/>
                <w:i w:val="0"/>
                <w:color w:val="212121"/>
                <w:sz w:val="16"/>
              </w:rPr>
              <w:t>Markedly raised</w:t>
            </w:r>
          </w:p>
        </w:tc>
        <w:tc>
          <w:tcPr>
            <w:tcW w:type="dxa" w:w="1036"/>
            <w:vAlign w:val="top"/>
          </w:tcPr>
          <w:p>
            <w:pPr>
              <w:spacing w:after="40" w:before="0" w:line="259" w:lineRule="auto"/>
            </w:pPr>
            <w:r>
              <w:rPr>
                <w:rFonts w:ascii="Calibri" w:hAnsi="Calibri"/>
                <w:b w:val="0"/>
                <w:i w:val="0"/>
                <w:color w:val="212121"/>
                <w:sz w:val="16"/>
              </w:rPr>
              <w:t>Confirms hepatocellular injury; very high AST with rising INR flags severe injury</w:t>
            </w:r>
          </w:p>
        </w:tc>
        <w:tc>
          <w:tcPr>
            <w:tcW w:type="dxa" w:w="1036"/>
            <w:vAlign w:val="top"/>
          </w:tcPr>
          <w:p>
            <w:pPr>
              <w:spacing w:after="40" w:before="0" w:line="259" w:lineRule="auto"/>
            </w:pPr>
            <w:r>
              <w:rPr>
                <w:rFonts w:ascii="Calibri" w:hAnsi="Calibri"/>
                <w:b w:val="0"/>
                <w:i w:val="0"/>
                <w:color w:val="212121"/>
                <w:sz w:val="16"/>
              </w:rPr>
              <w:t>All symptomatic HAV</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ALT and synthetic function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Total &amp; direct (conjugated) bilirubin</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Total &lt; 1.2 mg/dL</w:t>
            </w:r>
          </w:p>
        </w:tc>
        <w:tc>
          <w:tcPr>
            <w:tcW w:type="dxa" w:w="950"/>
            <w:vAlign w:val="top"/>
          </w:tcPr>
          <w:p>
            <w:pPr>
              <w:spacing w:after="40" w:before="0" w:line="259" w:lineRule="auto"/>
            </w:pPr>
            <w:r>
              <w:rPr>
                <w:rFonts w:ascii="Calibri" w:hAnsi="Calibri"/>
                <w:b w:val="0"/>
                <w:i w:val="0"/>
                <w:color w:val="212121"/>
                <w:sz w:val="16"/>
              </w:rPr>
              <w:t>Raised, predominantly direct</w:t>
            </w:r>
          </w:p>
        </w:tc>
        <w:tc>
          <w:tcPr>
            <w:tcW w:type="dxa" w:w="1036"/>
            <w:vAlign w:val="top"/>
          </w:tcPr>
          <w:p>
            <w:pPr>
              <w:spacing w:after="40" w:before="0" w:line="259" w:lineRule="auto"/>
            </w:pPr>
            <w:r>
              <w:rPr>
                <w:rFonts w:ascii="Calibri" w:hAnsi="Calibri"/>
                <w:b w:val="0"/>
                <w:i w:val="0"/>
                <w:color w:val="212121"/>
                <w:sz w:val="16"/>
              </w:rPr>
              <w:t>Explains jaundice, dark urine, pale stools; very high/prolonged in cholestatic HAV</w:t>
            </w:r>
          </w:p>
        </w:tc>
        <w:tc>
          <w:tcPr>
            <w:tcW w:type="dxa" w:w="1036"/>
            <w:vAlign w:val="top"/>
          </w:tcPr>
          <w:p>
            <w:pPr>
              <w:spacing w:after="40" w:before="0" w:line="259" w:lineRule="auto"/>
            </w:pPr>
            <w:r>
              <w:rPr>
                <w:rFonts w:ascii="Calibri" w:hAnsi="Calibri"/>
                <w:b w:val="0"/>
                <w:i w:val="0"/>
                <w:color w:val="212121"/>
                <w:sz w:val="16"/>
              </w:rPr>
              <w:t>Icteric &amp; cholestatic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Diagnostic/monitoring</w:t>
            </w:r>
          </w:p>
        </w:tc>
        <w:tc>
          <w:tcPr>
            <w:tcW w:type="dxa" w:w="720"/>
            <w:vAlign w:val="top"/>
          </w:tcPr>
          <w:p>
            <w:pPr>
              <w:spacing w:after="40" w:before="0" w:line="259" w:lineRule="auto"/>
            </w:pPr>
            <w:r>
              <w:rPr>
                <w:rFonts w:ascii="Calibri" w:hAnsi="Calibri"/>
                <w:b w:val="0"/>
                <w:i w:val="0"/>
                <w:color w:val="212121"/>
                <w:sz w:val="16"/>
              </w:rPr>
              <w:t>Rises later than transaminases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Alkaline phosphatase (ALP)</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44–147 U/L</w:t>
            </w:r>
          </w:p>
        </w:tc>
        <w:tc>
          <w:tcPr>
            <w:tcW w:type="dxa" w:w="950"/>
            <w:vAlign w:val="top"/>
          </w:tcPr>
          <w:p>
            <w:pPr>
              <w:spacing w:after="40" w:before="0" w:line="259" w:lineRule="auto"/>
            </w:pPr>
            <w:r>
              <w:rPr>
                <w:rFonts w:ascii="Calibri" w:hAnsi="Calibri"/>
                <w:b w:val="0"/>
                <w:i w:val="0"/>
                <w:color w:val="212121"/>
                <w:sz w:val="16"/>
              </w:rPr>
              <w:t>Raised</w:t>
            </w:r>
          </w:p>
        </w:tc>
        <w:tc>
          <w:tcPr>
            <w:tcW w:type="dxa" w:w="1036"/>
            <w:vAlign w:val="top"/>
          </w:tcPr>
          <w:p>
            <w:pPr>
              <w:spacing w:after="40" w:before="0" w:line="259" w:lineRule="auto"/>
            </w:pPr>
            <w:r>
              <w:rPr>
                <w:rFonts w:ascii="Calibri" w:hAnsi="Calibri"/>
                <w:b w:val="0"/>
                <w:i w:val="0"/>
                <w:color w:val="212121"/>
                <w:sz w:val="16"/>
              </w:rPr>
              <w:t>Cholestatic pattern; markedly high in prolonged cholestatic hepatitis A</w:t>
            </w:r>
          </w:p>
        </w:tc>
        <w:tc>
          <w:tcPr>
            <w:tcW w:type="dxa" w:w="1036"/>
            <w:vAlign w:val="top"/>
          </w:tcPr>
          <w:p>
            <w:pPr>
              <w:spacing w:after="40" w:before="0" w:line="259" w:lineRule="auto"/>
            </w:pPr>
            <w:r>
              <w:rPr>
                <w:rFonts w:ascii="Calibri" w:hAnsi="Calibri"/>
                <w:b w:val="0"/>
                <w:i w:val="0"/>
                <w:color w:val="212121"/>
                <w:sz w:val="16"/>
              </w:rPr>
              <w:t>Cholestatic phase, pruritic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Pair with GGT to confirm hepatic origin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Prothrombin time / INR</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&lt; 1.1</w:t>
            </w:r>
          </w:p>
        </w:tc>
        <w:tc>
          <w:tcPr>
            <w:tcW w:type="dxa" w:w="950"/>
            <w:vAlign w:val="top"/>
          </w:tcPr>
          <w:p>
            <w:pPr>
              <w:spacing w:after="40" w:before="0" w:line="259" w:lineRule="auto"/>
            </w:pPr>
            <w:r>
              <w:rPr>
                <w:rFonts w:ascii="Calibri" w:hAnsi="Calibri"/>
                <w:b w:val="0"/>
                <w:i w:val="0"/>
                <w:color w:val="212121"/>
                <w:sz w:val="16"/>
              </w:rPr>
              <w:t>INR ≥ 1.5</w:t>
            </w:r>
          </w:p>
        </w:tc>
        <w:tc>
          <w:tcPr>
            <w:tcW w:type="dxa" w:w="1036"/>
            <w:vAlign w:val="top"/>
          </w:tcPr>
          <w:p>
            <w:pPr>
              <w:spacing w:after="40" w:before="0" w:line="259" w:lineRule="auto"/>
            </w:pPr>
            <w:r>
              <w:rPr>
                <w:rFonts w:ascii="Calibri" w:hAnsi="Calibri"/>
                <w:b w:val="0"/>
                <w:i w:val="0"/>
                <w:color w:val="212121"/>
                <w:sz w:val="16"/>
              </w:rPr>
              <w:t>Reflects hepatic synthetic function; INR ≥ 1.5 with encephalopathy defines acute liver failure</w:t>
            </w:r>
          </w:p>
        </w:tc>
        <w:tc>
          <w:tcPr>
            <w:tcW w:type="dxa" w:w="1036"/>
            <w:vAlign w:val="top"/>
          </w:tcPr>
          <w:p>
            <w:pPr>
              <w:spacing w:after="40" w:before="0" w:line="259" w:lineRule="auto"/>
            </w:pPr>
            <w:r>
              <w:rPr>
                <w:rFonts w:ascii="Calibri" w:hAnsi="Calibri"/>
                <w:b w:val="0"/>
                <w:i w:val="0"/>
                <w:color w:val="212121"/>
                <w:sz w:val="16"/>
              </w:rPr>
              <w:t>Any severe/worsening case, elderly, CLD</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Critical prognostic</w:t>
            </w:r>
          </w:p>
        </w:tc>
        <w:tc>
          <w:tcPr>
            <w:tcW w:type="dxa" w:w="720"/>
            <w:vAlign w:val="top"/>
          </w:tcPr>
          <w:p>
            <w:pPr>
              <w:spacing w:after="40" w:before="0" w:line="259" w:lineRule="auto"/>
            </w:pPr>
            <w:r>
              <w:rPr>
                <w:rFonts w:ascii="Calibri" w:hAnsi="Calibri"/>
                <w:b w:val="0"/>
                <w:i w:val="0"/>
                <w:color w:val="212121"/>
                <w:sz w:val="16"/>
              </w:rPr>
              <w:t>Most important single marker of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arterial ammonia</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&lt; 35 µmol/L</w:t>
            </w:r>
          </w:p>
        </w:tc>
        <w:tc>
          <w:tcPr>
            <w:tcW w:type="dxa" w:w="950"/>
            <w:vAlign w:val="top"/>
          </w:tcPr>
          <w:p>
            <w:pPr>
              <w:spacing w:after="40" w:before="0" w:line="259" w:lineRule="auto"/>
            </w:pPr>
            <w:r>
              <w:rPr>
                <w:rFonts w:ascii="Calibri" w:hAnsi="Calibri"/>
                <w:b w:val="0"/>
                <w:i w:val="0"/>
                <w:color w:val="212121"/>
                <w:sz w:val="16"/>
              </w:rPr>
              <w:t>Elevated (≈ &gt; 144 µmol/L predicts ALF progression)</w:t>
            </w:r>
          </w:p>
        </w:tc>
        <w:tc>
          <w:tcPr>
            <w:tcW w:type="dxa" w:w="1036"/>
            <w:vAlign w:val="top"/>
          </w:tcPr>
          <w:p>
            <w:pPr>
              <w:spacing w:after="40" w:before="0" w:line="259" w:lineRule="auto"/>
            </w:pPr>
            <w:r>
              <w:rPr>
                <w:rFonts w:ascii="Calibri" w:hAnsi="Calibri"/>
                <w:b w:val="0"/>
                <w:i w:val="0"/>
                <w:color w:val="212121"/>
                <w:sz w:val="16"/>
              </w:rPr>
              <w:t>High ammonia tracks encephalopathy and predicts progression to acute liver failure</w:t>
            </w:r>
          </w:p>
        </w:tc>
        <w:tc>
          <w:tcPr>
            <w:tcW w:type="dxa" w:w="1036"/>
            <w:vAlign w:val="top"/>
          </w:tcPr>
          <w:p>
            <w:pPr>
              <w:spacing w:after="40" w:before="0" w:line="259" w:lineRule="auto"/>
            </w:pPr>
            <w:r>
              <w:rPr>
                <w:rFonts w:ascii="Calibri" w:hAnsi="Calibri"/>
                <w:b w:val="0"/>
                <w:i w:val="0"/>
                <w:color w:val="212121"/>
                <w:sz w:val="16"/>
              </w:rPr>
              <w:t>Severe acute liver injury, altered sensorium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Baseline &gt; ~144 µmol/L associated with ALF (Indian adult s-ALI study)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HAV RNA (RT-PCR, serum/stool)</w:t>
            </w:r>
          </w:p>
        </w:tc>
        <w:tc>
          <w:tcPr>
            <w:tcW w:type="dxa" w:w="892"/>
            <w:vAlign w:val="top"/>
          </w:tcPr>
          <w:p>
            <w:pPr>
              <w:spacing w:after="40" w:before="0" w:line="259" w:lineRule="auto"/>
            </w:pPr>
            <w:r>
              <w:rPr>
                <w:rFonts w:ascii="Calibri" w:hAnsi="Calibri"/>
                <w:b w:val="0"/>
                <w:i w:val="0"/>
                <w:color w:val="212121"/>
                <w:sz w:val="16"/>
              </w:rPr>
              <w:t>Nucleic acid test</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w:t>
            </w:r>
          </w:p>
        </w:tc>
        <w:tc>
          <w:tcPr>
            <w:tcW w:type="dxa" w:w="1036"/>
            <w:vAlign w:val="top"/>
          </w:tcPr>
          <w:p>
            <w:pPr>
              <w:spacing w:after="40" w:before="0" w:line="259" w:lineRule="auto"/>
            </w:pPr>
            <w:r>
              <w:rPr>
                <w:rFonts w:ascii="Calibri" w:hAnsi="Calibri"/>
                <w:b w:val="0"/>
                <w:i w:val="0"/>
                <w:color w:val="212121"/>
                <w:sz w:val="16"/>
              </w:rPr>
              <w:t>Confirms/ genotypes infection for outbreak tracing and atypical or relapsing cases</w:t>
            </w:r>
          </w:p>
        </w:tc>
        <w:tc>
          <w:tcPr>
            <w:tcW w:type="dxa" w:w="1036"/>
            <w:vAlign w:val="top"/>
          </w:tcPr>
          <w:p>
            <w:pPr>
              <w:spacing w:after="40" w:before="0" w:line="259" w:lineRule="auto"/>
            </w:pPr>
            <w:r>
              <w:rPr>
                <w:rFonts w:ascii="Calibri" w:hAnsi="Calibri"/>
                <w:b w:val="0"/>
                <w:i w:val="0"/>
                <w:color w:val="212121"/>
                <w:sz w:val="16"/>
              </w:rPr>
              <w:t>Outbreak investigation, atypical/relapsing, immunocompromised</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Epidemiological</w:t>
            </w:r>
          </w:p>
        </w:tc>
        <w:tc>
          <w:tcPr>
            <w:tcW w:type="dxa" w:w="720"/>
            <w:vAlign w:val="top"/>
          </w:tcPr>
          <w:p>
            <w:pPr>
              <w:spacing w:after="40" w:before="0" w:line="259" w:lineRule="auto"/>
            </w:pPr>
            <w:r>
              <w:rPr>
                <w:rFonts w:ascii="Calibri" w:hAnsi="Calibri"/>
                <w:b w:val="0"/>
                <w:i w:val="0"/>
                <w:color w:val="212121"/>
                <w:sz w:val="16"/>
              </w:rPr>
              <w:t>Not required for routine diagnosis; may be negative late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Unsafe water, street food, raw shellfish, travel, sick contacts</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One or more exposures present</w:t>
            </w:r>
          </w:p>
        </w:tc>
        <w:tc>
          <w:tcPr>
            <w:tcW w:type="dxa" w:w="1036"/>
            <w:vAlign w:val="top"/>
          </w:tcPr>
          <w:p>
            <w:pPr>
              <w:spacing w:after="40" w:before="0" w:line="259" w:lineRule="auto"/>
            </w:pPr>
            <w:r>
              <w:rPr>
                <w:rFonts w:ascii="Calibri" w:hAnsi="Calibri"/>
                <w:b w:val="0"/>
                <w:i w:val="0"/>
                <w:color w:val="212121"/>
                <w:sz w:val="16"/>
              </w:rPr>
              <w:t>Establishes faecal–oral source and outbreak links</w:t>
            </w:r>
          </w:p>
        </w:tc>
        <w:tc>
          <w:tcPr>
            <w:tcW w:type="dxa" w:w="1036"/>
            <w:vAlign w:val="top"/>
          </w:tcPr>
          <w:p>
            <w:pPr>
              <w:spacing w:after="40" w:before="0" w:line="259" w:lineRule="auto"/>
            </w:pPr>
            <w:r>
              <w:rPr>
                <w:rFonts w:ascii="Calibri" w:hAnsi="Calibri"/>
                <w:b w:val="0"/>
                <w:i w:val="0"/>
                <w:color w:val="212121"/>
                <w:sz w:val="16"/>
              </w:rPr>
              <w:t>All suspected HAV, outbreak clusters</w:t>
            </w:r>
          </w:p>
        </w:tc>
        <w:tc>
          <w:tcPr>
            <w:tcW w:type="dxa" w:w="720"/>
            <w:vAlign w:val="top"/>
          </w:tcPr>
          <w:p>
            <w:pPr>
              <w:spacing w:after="40" w:before="0" w:line="259" w:lineRule="auto"/>
            </w:pPr>
            <w:r>
              <w:rPr>
                <w:rFonts w:ascii="Calibri" w:hAnsi="Calibri"/>
                <w:b w:val="0"/>
                <w:i w:val="0"/>
                <w:color w:val="212121"/>
                <w:sz w:val="16"/>
              </w:rPr>
              <w:t>Water; Food;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monsoon/flooding and mass gatherings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Immunisation &amp; prior jaundice</w:t>
            </w:r>
          </w:p>
        </w:tc>
        <w:tc>
          <w:tcPr>
            <w:tcW w:type="dxa" w:w="979"/>
            <w:vAlign w:val="top"/>
          </w:tcPr>
          <w:p>
            <w:pPr>
              <w:spacing w:after="40" w:before="0" w:line="259" w:lineRule="auto"/>
            </w:pPr>
            <w:r>
              <w:rPr>
                <w:rFonts w:ascii="Calibri" w:hAnsi="Calibri"/>
                <w:b w:val="0"/>
                <w:i w:val="0"/>
                <w:color w:val="212121"/>
                <w:sz w:val="16"/>
              </w:rPr>
              <w:t>HAV vaccination status, past hepatitis A</w:t>
            </w:r>
          </w:p>
        </w:tc>
        <w:tc>
          <w:tcPr>
            <w:tcW w:type="dxa" w:w="950"/>
            <w:vAlign w:val="top"/>
          </w:tcPr>
          <w:p>
            <w:pPr>
              <w:spacing w:after="40" w:before="0" w:line="259" w:lineRule="auto"/>
            </w:pPr>
            <w:r>
              <w:rPr>
                <w:rFonts w:ascii="Calibri" w:hAnsi="Calibri"/>
                <w:b w:val="0"/>
                <w:i w:val="0"/>
                <w:color w:val="212121"/>
                <w:sz w:val="16"/>
              </w:rPr>
              <w:t>Vaccinated / documented past infection</w:t>
            </w:r>
          </w:p>
        </w:tc>
        <w:tc>
          <w:tcPr>
            <w:tcW w:type="dxa" w:w="950"/>
            <w:vAlign w:val="top"/>
          </w:tcPr>
          <w:p>
            <w:pPr>
              <w:spacing w:after="40" w:before="0" w:line="259" w:lineRule="auto"/>
            </w:pPr>
            <w:r>
              <w:rPr>
                <w:rFonts w:ascii="Calibri" w:hAnsi="Calibri"/>
                <w:b w:val="0"/>
                <w:i w:val="0"/>
                <w:color w:val="212121"/>
                <w:sz w:val="16"/>
              </w:rPr>
              <w:t>Unvaccinated &amp; no past HAV</w:t>
            </w:r>
          </w:p>
        </w:tc>
        <w:tc>
          <w:tcPr>
            <w:tcW w:type="dxa" w:w="1036"/>
            <w:vAlign w:val="top"/>
          </w:tcPr>
          <w:p>
            <w:pPr>
              <w:spacing w:after="40" w:before="0" w:line="259" w:lineRule="auto"/>
            </w:pPr>
            <w:r>
              <w:rPr>
                <w:rFonts w:ascii="Calibri" w:hAnsi="Calibri"/>
                <w:b w:val="0"/>
                <w:i w:val="0"/>
                <w:color w:val="212121"/>
                <w:sz w:val="16"/>
              </w:rPr>
              <w:t>Identifies susceptibility and immunity</w:t>
            </w:r>
          </w:p>
        </w:tc>
        <w:tc>
          <w:tcPr>
            <w:tcW w:type="dxa" w:w="1036"/>
            <w:vAlign w:val="top"/>
          </w:tcPr>
          <w:p>
            <w:pPr>
              <w:spacing w:after="40" w:before="0" w:line="259" w:lineRule="auto"/>
            </w:pPr>
            <w:r>
              <w:rPr>
                <w:rFonts w:ascii="Calibri" w:hAnsi="Calibri"/>
                <w:b w:val="0"/>
                <w:i w:val="0"/>
                <w:color w:val="212121"/>
                <w:sz w:val="16"/>
              </w:rPr>
              <w:t>Children, travellers, CLD patients, contacts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Prognostic/preventive</w:t>
            </w:r>
          </w:p>
        </w:tc>
        <w:tc>
          <w:tcPr>
            <w:tcW w:type="dxa" w:w="720"/>
            <w:vAlign w:val="top"/>
          </w:tcPr>
          <w:p>
            <w:pPr>
              <w:spacing w:after="40" w:before="0" w:line="259" w:lineRule="auto"/>
            </w:pPr>
            <w:r>
              <w:rPr>
                <w:rFonts w:ascii="Calibri" w:hAnsi="Calibri"/>
                <w:b w:val="0"/>
                <w:i w:val="0"/>
                <w:color w:val="212121"/>
                <w:sz w:val="16"/>
              </w:rPr>
              <w:t>Guides post-exposure prophylaxis decisions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Prodrome then jaundice, dark urine, pale stools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Typical biphasic prodromal–icteric course of acute hepatitis</w:t>
            </w:r>
          </w:p>
        </w:tc>
        <w:tc>
          <w:tcPr>
            <w:tcW w:type="dxa" w:w="1036"/>
            <w:vAlign w:val="top"/>
          </w:tcPr>
          <w:p>
            <w:pPr>
              <w:spacing w:after="40" w:before="0" w:line="259" w:lineRule="auto"/>
            </w:pPr>
            <w:r>
              <w:rPr>
                <w:rFonts w:ascii="Calibri" w:hAnsi="Calibri"/>
                <w:b w:val="0"/>
                <w:i w:val="0"/>
                <w:color w:val="212121"/>
                <w:sz w:val="16"/>
              </w:rPr>
              <w:t>Adolescents &amp; adults with symptomatic HAV</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Prodrome: fever, malaise, anorexia, nausea, RUQ pain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symptoms</w:t>
            </w:r>
          </w:p>
        </w:tc>
        <w:tc>
          <w:tcPr>
            <w:tcW w:type="dxa" w:w="979"/>
            <w:vAlign w:val="top"/>
          </w:tcPr>
          <w:p>
            <w:pPr>
              <w:spacing w:after="40" w:before="0" w:line="259" w:lineRule="auto"/>
            </w:pPr>
            <w:r>
              <w:rPr>
                <w:rFonts w:ascii="Calibri" w:hAnsi="Calibri"/>
                <w:b w:val="0"/>
                <w:i w:val="0"/>
                <w:color w:val="212121"/>
                <w:sz w:val="16"/>
              </w:rPr>
              <w:t>Drowsiness, confusion, bleeding, intractable vomiting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Warns of acute liver failure needing urgent referral</w:t>
            </w:r>
          </w:p>
        </w:tc>
        <w:tc>
          <w:tcPr>
            <w:tcW w:type="dxa" w:w="1036"/>
            <w:vAlign w:val="top"/>
          </w:tcPr>
          <w:p>
            <w:pPr>
              <w:spacing w:after="40" w:before="0" w:line="259" w:lineRule="auto"/>
            </w:pPr>
            <w:r>
              <w:rPr>
                <w:rFonts w:ascii="Calibri" w:hAnsi="Calibri"/>
                <w:b w:val="0"/>
                <w:i w:val="0"/>
                <w:color w:val="212121"/>
                <w:sz w:val="16"/>
              </w:rPr>
              <w:t>Elderly, CLD, deep/worsening jaundice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Critical triage</w:t>
            </w:r>
          </w:p>
        </w:tc>
        <w:tc>
          <w:tcPr>
            <w:tcW w:type="dxa" w:w="720"/>
            <w:vAlign w:val="top"/>
          </w:tcPr>
          <w:p>
            <w:pPr>
              <w:spacing w:after="40" w:before="0" w:line="259" w:lineRule="auto"/>
            </w:pPr>
            <w:r>
              <w:rPr>
                <w:rFonts w:ascii="Calibri" w:hAnsi="Calibri"/>
                <w:b w:val="0"/>
                <w:i w:val="0"/>
                <w:color w:val="212121"/>
                <w:sz w:val="16"/>
              </w:rPr>
              <w:t>Prompt transfer to a liver unit if present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Icterus</w:t>
            </w:r>
          </w:p>
        </w:tc>
        <w:tc>
          <w:tcPr>
            <w:tcW w:type="dxa" w:w="979"/>
            <w:vAlign w:val="top"/>
          </w:tcPr>
          <w:p>
            <w:pPr>
              <w:spacing w:after="40" w:before="0" w:line="259" w:lineRule="auto"/>
            </w:pPr>
            <w:r>
              <w:rPr>
                <w:rFonts w:ascii="Calibri" w:hAnsi="Calibri"/>
                <w:b w:val="0"/>
                <w:i w:val="0"/>
                <w:color w:val="212121"/>
                <w:sz w:val="16"/>
              </w:rPr>
              <w:t>Scleral &amp; mucocutaneous jaundice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Confirms clinically significant hyperbilirubinaemia</w:t>
            </w:r>
          </w:p>
        </w:tc>
        <w:tc>
          <w:tcPr>
            <w:tcW w:type="dxa" w:w="1036"/>
            <w:vAlign w:val="top"/>
          </w:tcPr>
          <w:p>
            <w:pPr>
              <w:spacing w:after="40" w:before="0" w:line="259" w:lineRule="auto"/>
            </w:pPr>
            <w:r>
              <w:rPr>
                <w:rFonts w:ascii="Calibri" w:hAnsi="Calibri"/>
                <w:b w:val="0"/>
                <w:i w:val="0"/>
                <w:color w:val="212121"/>
                <w:sz w:val="16"/>
              </w:rPr>
              <w:t>Icteric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Best seen in sclera and under the tongue in daylight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Tender, smooth hepatomegaly ± splenomegaly</w:t>
            </w:r>
          </w:p>
        </w:tc>
        <w:tc>
          <w:tcPr>
            <w:tcW w:type="dxa" w:w="950"/>
            <w:vAlign w:val="top"/>
          </w:tcPr>
          <w:p>
            <w:pPr>
              <w:spacing w:after="40" w:before="0" w:line="259" w:lineRule="auto"/>
            </w:pPr>
            <w:r>
              <w:rPr>
                <w:rFonts w:ascii="Calibri" w:hAnsi="Calibri"/>
                <w:b w:val="0"/>
                <w:i w:val="0"/>
                <w:color w:val="212121"/>
                <w:sz w:val="16"/>
              </w:rPr>
              <w:t>Non-tender, no organomegaly</w:t>
            </w:r>
          </w:p>
        </w:tc>
        <w:tc>
          <w:tcPr>
            <w:tcW w:type="dxa" w:w="950"/>
            <w:vAlign w:val="top"/>
          </w:tcPr>
          <w:p>
            <w:pPr>
              <w:spacing w:after="40" w:before="0" w:line="259" w:lineRule="auto"/>
            </w:pPr>
            <w:r>
              <w:rPr>
                <w:rFonts w:ascii="Calibri" w:hAnsi="Calibri"/>
                <w:b w:val="0"/>
                <w:i w:val="0"/>
                <w:color w:val="212121"/>
                <w:sz w:val="16"/>
              </w:rPr>
              <w:t>Tender hepatomegaly present</w:t>
            </w:r>
          </w:p>
        </w:tc>
        <w:tc>
          <w:tcPr>
            <w:tcW w:type="dxa" w:w="1036"/>
            <w:vAlign w:val="top"/>
          </w:tcPr>
          <w:p>
            <w:pPr>
              <w:spacing w:after="40" w:before="0" w:line="259" w:lineRule="auto"/>
            </w:pPr>
            <w:r>
              <w:rPr>
                <w:rFonts w:ascii="Calibri" w:hAnsi="Calibri"/>
                <w:b w:val="0"/>
                <w:i w:val="0"/>
                <w:color w:val="212121"/>
                <w:sz w:val="16"/>
              </w:rPr>
              <w:t>Reflects acute hepatic inflammation</w:t>
            </w:r>
          </w:p>
        </w:tc>
        <w:tc>
          <w:tcPr>
            <w:tcW w:type="dxa" w:w="1036"/>
            <w:vAlign w:val="top"/>
          </w:tcPr>
          <w:p>
            <w:pPr>
              <w:spacing w:after="40" w:before="0" w:line="259" w:lineRule="auto"/>
            </w:pPr>
            <w:r>
              <w:rPr>
                <w:rFonts w:ascii="Calibri" w:hAnsi="Calibri"/>
                <w:b w:val="0"/>
                <w:i w:val="0"/>
                <w:color w:val="212121"/>
                <w:sz w:val="16"/>
              </w:rPr>
              <w:t>Symptomatic acute HAV</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Avoid contact sport with an enlarged tender liver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Signs of hepatic failure</w:t>
            </w:r>
          </w:p>
        </w:tc>
        <w:tc>
          <w:tcPr>
            <w:tcW w:type="dxa" w:w="979"/>
            <w:vAlign w:val="top"/>
          </w:tcPr>
          <w:p>
            <w:pPr>
              <w:spacing w:after="40" w:before="0" w:line="259" w:lineRule="auto"/>
            </w:pPr>
            <w:r>
              <w:rPr>
                <w:rFonts w:ascii="Calibri" w:hAnsi="Calibri"/>
                <w:b w:val="0"/>
                <w:i w:val="0"/>
                <w:color w:val="212121"/>
                <w:sz w:val="16"/>
              </w:rPr>
              <w:t>Asterixis, altered sensorium, ecchymoses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Encephalopathy and coagulopathy indicate fulminant disease</w:t>
            </w:r>
          </w:p>
        </w:tc>
        <w:tc>
          <w:tcPr>
            <w:tcW w:type="dxa" w:w="1036"/>
            <w:vAlign w:val="top"/>
          </w:tcPr>
          <w:p>
            <w:pPr>
              <w:spacing w:after="40" w:before="0" w:line="259" w:lineRule="auto"/>
            </w:pPr>
            <w:r>
              <w:rPr>
                <w:rFonts w:ascii="Calibri" w:hAnsi="Calibri"/>
                <w:b w:val="0"/>
                <w:i w:val="0"/>
                <w:color w:val="212121"/>
                <w:sz w:val="16"/>
              </w:rPr>
              <w:t>Severe cases, elderly, CLD</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Critical prognostic</w:t>
            </w:r>
          </w:p>
        </w:tc>
        <w:tc>
          <w:tcPr>
            <w:tcW w:type="dxa" w:w="720"/>
            <w:vAlign w:val="top"/>
          </w:tcPr>
          <w:p>
            <w:pPr>
              <w:spacing w:after="40" w:before="0" w:line="259" w:lineRule="auto"/>
            </w:pPr>
            <w:r>
              <w:rPr>
                <w:rFonts w:ascii="Calibri" w:hAnsi="Calibri"/>
                <w:b w:val="0"/>
                <w:i w:val="0"/>
                <w:color w:val="212121"/>
                <w:sz w:val="16"/>
              </w:rPr>
              <w:t>Grade encephalopathy; check INR urgently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 (usually low-grade)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prodromal symptom before jaundice; often with chills and headache.</w:t>
            </w:r>
          </w:p>
        </w:tc>
      </w:tr>
      <w:tr>
        <w:trPr>
          <w:cantSplit/>
        </w:trPr>
        <w:tc>
          <w:tcPr>
            <w:tcW w:type="dxa" w:w="2304"/>
            <w:vAlign w:val="top"/>
          </w:tcPr>
          <w:p>
            <w:pPr>
              <w:spacing w:after="40" w:before="0" w:line="259" w:lineRule="auto"/>
            </w:pPr>
            <w:r>
              <w:rPr>
                <w:rFonts w:ascii="Calibri" w:hAnsi="Calibri"/>
                <w:b/>
                <w:i w:val="0"/>
                <w:color w:val="212121"/>
                <w:sz w:val="19"/>
              </w:rPr>
              <w:t>Fatigue /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tiredness is a leading complaint (reported in ~52–91%) and can outlast jaundice.</w:t>
            </w:r>
          </w:p>
        </w:tc>
      </w:tr>
      <w:tr>
        <w:trPr>
          <w:cantSplit/>
        </w:trPr>
        <w:tc>
          <w:tcPr>
            <w:tcW w:type="dxa" w:w="2304"/>
            <w:vAlign w:val="top"/>
          </w:tcPr>
          <w:p>
            <w:pPr>
              <w:spacing w:after="40" w:before="0" w:line="259" w:lineRule="auto"/>
            </w:pPr>
            <w:r>
              <w:rPr>
                <w:rFonts w:ascii="Calibri" w:hAnsi="Calibri"/>
                <w:b/>
                <w:i w:val="0"/>
                <w:color w:val="212121"/>
                <w:sz w:val="19"/>
              </w:rPr>
              <w:t>Anorexia (loss of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appetite loss, sometimes with distaste for fatty food or cigarettes; present in ~42–90%.</w:t>
            </w:r>
          </w:p>
        </w:tc>
      </w:tr>
      <w:tr>
        <w:trPr>
          <w:cantSplit/>
        </w:trPr>
        <w:tc>
          <w:tcPr>
            <w:tcW w:type="dxa" w:w="2304"/>
            <w:vAlign w:val="top"/>
          </w:tcPr>
          <w:p>
            <w:pPr>
              <w:spacing w:after="40" w:before="0" w:line="259" w:lineRule="auto"/>
            </w:pPr>
            <w:r>
              <w:rPr>
                <w:rFonts w:ascii="Calibri" w:hAnsi="Calibri"/>
                <w:b/>
                <w:i w:val="0"/>
                <w:color w:val="212121"/>
                <w:sz w:val="19"/>
              </w:rPr>
              <w:t>Nausea &amp;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the prodrome; persistent vomiting risks dehydration.</w:t>
            </w:r>
          </w:p>
        </w:tc>
      </w:tr>
      <w:tr>
        <w:trPr>
          <w:cantSplit/>
        </w:trPr>
        <w:tc>
          <w:tcPr>
            <w:tcW w:type="dxa" w:w="2304"/>
            <w:vAlign w:val="top"/>
          </w:tcPr>
          <w:p>
            <w:pPr>
              <w:spacing w:after="40" w:before="0" w:line="259" w:lineRule="auto"/>
            </w:pPr>
            <w:r>
              <w:rPr>
                <w:rFonts w:ascii="Calibri" w:hAnsi="Calibri"/>
                <w:b/>
                <w:i w:val="0"/>
                <w:color w:val="212121"/>
                <w:sz w:val="19"/>
              </w:rPr>
              <w:t>Right-upper-quadrant / abdominal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ache from hepatic inflammation and capsular stretch.</w:t>
            </w:r>
          </w:p>
        </w:tc>
      </w:tr>
      <w:tr>
        <w:trPr>
          <w:cantSplit/>
        </w:trPr>
        <w:tc>
          <w:tcPr>
            <w:tcW w:type="dxa" w:w="2304"/>
            <w:vAlign w:val="top"/>
          </w:tcPr>
          <w:p>
            <w:pPr>
              <w:spacing w:after="40" w:before="0" w:line="259" w:lineRule="auto"/>
            </w:pPr>
            <w:r>
              <w:rPr>
                <w:rFonts w:ascii="Calibri" w:hAnsi="Calibri"/>
                <w:b/>
                <w:i w:val="0"/>
                <w:color w:val="212121"/>
                <w:sz w:val="19"/>
              </w:rPr>
              <w:t>Jaundice (yellow eyes/skin)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the icteric phase; seen in ~40–80% overall and &gt; 70% of symptomatic adults.</w:t>
            </w:r>
          </w:p>
        </w:tc>
      </w:tr>
      <w:tr>
        <w:trPr>
          <w:cantSplit/>
        </w:trPr>
        <w:tc>
          <w:tcPr>
            <w:tcW w:type="dxa" w:w="2304"/>
            <w:vAlign w:val="top"/>
          </w:tcPr>
          <w:p>
            <w:pPr>
              <w:spacing w:after="40" w:before="0" w:line="259" w:lineRule="auto"/>
            </w:pPr>
            <w:r>
              <w:rPr>
                <w:rFonts w:ascii="Calibri" w:hAnsi="Calibri"/>
                <w:b/>
                <w:i w:val="0"/>
                <w:color w:val="212121"/>
                <w:sz w:val="19"/>
              </w:rPr>
              <w:t>Dark (tea-coloured)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conjugated bilirubin in urine; often precedes visible jaundice (reported in ~68–94%).</w:t>
            </w:r>
          </w:p>
        </w:tc>
      </w:tr>
      <w:tr>
        <w:trPr>
          <w:cantSplit/>
        </w:trPr>
        <w:tc>
          <w:tcPr>
            <w:tcW w:type="dxa" w:w="2304"/>
            <w:vAlign w:val="top"/>
          </w:tcPr>
          <w:p>
            <w:pPr>
              <w:spacing w:after="40" w:before="0" w:line="259" w:lineRule="auto"/>
            </w:pPr>
            <w:r>
              <w:rPr>
                <w:rFonts w:ascii="Calibri" w:hAnsi="Calibri"/>
                <w:b/>
                <w:i w:val="0"/>
                <w:color w:val="212121"/>
                <w:sz w:val="19"/>
              </w:rPr>
              <w:t>Pale / clay-coloured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reduced bile flow into the gut during the icteric/cholestatic phase.</w:t>
            </w:r>
          </w:p>
        </w:tc>
      </w:tr>
      <w:tr>
        <w:trPr>
          <w:cantSplit/>
        </w:trPr>
        <w:tc>
          <w:tcPr>
            <w:tcW w:type="dxa" w:w="2304"/>
            <w:vAlign w:val="top"/>
          </w:tcPr>
          <w:p>
            <w:pPr>
              <w:spacing w:after="40" w:before="0" w:line="259" w:lineRule="auto"/>
            </w:pPr>
            <w:r>
              <w:rPr>
                <w:rFonts w:ascii="Calibri" w:hAnsi="Calibri"/>
                <w:b/>
                <w:i w:val="0"/>
                <w:color w:val="212121"/>
                <w:sz w:val="19"/>
              </w:rPr>
              <w:t>Pruritus (itching)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Prominent in the cholestatic variant with prolonged deep jaundice.</w:t>
            </w:r>
          </w:p>
        </w:tc>
      </w:tr>
      <w:tr>
        <w:trPr>
          <w:cantSplit/>
        </w:trPr>
        <w:tc>
          <w:tcPr>
            <w:tcW w:type="dxa" w:w="2304"/>
            <w:vAlign w:val="top"/>
          </w:tcPr>
          <w:p>
            <w:pPr>
              <w:spacing w:after="40" w:before="0" w:line="259" w:lineRule="auto"/>
            </w:pPr>
            <w:r>
              <w:rPr>
                <w:rFonts w:ascii="Calibri" w:hAnsi="Calibri"/>
                <w:b/>
                <w:i w:val="0"/>
                <w:color w:val="212121"/>
                <w:sz w:val="19"/>
              </w:rPr>
              <w:t>Arthralgia / 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Part of the prodrome or extrahepatic manifestations; usually self-limiting.</w:t>
            </w:r>
          </w:p>
        </w:tc>
      </w:tr>
      <w:tr>
        <w:trPr>
          <w:cantSplit/>
        </w:trPr>
        <w:tc>
          <w:tcPr>
            <w:tcW w:type="dxa" w:w="2304"/>
            <w:vAlign w:val="top"/>
          </w:tcPr>
          <w:p>
            <w:pPr>
              <w:spacing w:after="40" w:before="0" w:line="259" w:lineRule="auto"/>
            </w:pPr>
            <w:r>
              <w:rPr>
                <w:rFonts w:ascii="Calibri" w:hAnsi="Calibri"/>
                <w:b/>
                <w:i w:val="0"/>
                <w:color w:val="212121"/>
                <w:sz w:val="19"/>
              </w:rPr>
              <w:t>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frequent in children; part of the enteric prodrome.</w:t>
            </w:r>
          </w:p>
        </w:tc>
      </w:tr>
      <w:tr>
        <w:trPr>
          <w:cantSplit/>
        </w:trPr>
        <w:tc>
          <w:tcPr>
            <w:tcW w:type="dxa" w:w="2304"/>
            <w:vAlign w:val="top"/>
          </w:tcPr>
          <w:p>
            <w:pPr>
              <w:spacing w:after="40" w:before="0" w:line="259" w:lineRule="auto"/>
            </w:pPr>
            <w:r>
              <w:rPr>
                <w:rFonts w:ascii="Calibri" w:hAnsi="Calibri"/>
                <w:b/>
                <w:i w:val="0"/>
                <w:color w:val="212121"/>
                <w:sz w:val="19"/>
              </w:rPr>
              <w:t>Drowsiness / confusion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Signals hepatic encephalopathy and impending acute liver failure —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Scleral icterus / jaundice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Yellowing of sclerae and skin from conjugated hyperbilirubinaemia; the defining sign of the icteric phase.</w:t>
            </w:r>
          </w:p>
        </w:tc>
      </w:tr>
      <w:tr>
        <w:trPr>
          <w:cantSplit/>
        </w:trPr>
        <w:tc>
          <w:tcPr>
            <w:tcW w:type="dxa" w:w="3456"/>
            <w:vAlign w:val="top"/>
          </w:tcPr>
          <w:p>
            <w:pPr>
              <w:spacing w:after="40" w:before="0" w:line="259" w:lineRule="auto"/>
            </w:pPr>
            <w:r>
              <w:rPr>
                <w:rFonts w:ascii="Calibri" w:hAnsi="Calibri"/>
                <w:b/>
                <w:i w:val="0"/>
                <w:color w:val="212121"/>
                <w:sz w:val="19"/>
              </w:rPr>
              <w:t>Tender 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mildly enlarged, tender liver reflecting acute inflammation.</w:t>
            </w:r>
          </w:p>
        </w:tc>
      </w:tr>
      <w:tr>
        <w:trPr>
          <w:cantSplit/>
        </w:trPr>
        <w:tc>
          <w:tcPr>
            <w:tcW w:type="dxa" w:w="3456"/>
            <w:vAlign w:val="top"/>
          </w:tcPr>
          <w:p>
            <w:pPr>
              <w:spacing w:after="40" w:before="0" w:line="259" w:lineRule="auto"/>
            </w:pPr>
            <w:r>
              <w:rPr>
                <w:rFonts w:ascii="Calibri" w:hAnsi="Calibri"/>
                <w:b/>
                <w:i w:val="0"/>
                <w:color w:val="212121"/>
                <w:sz w:val="19"/>
              </w:rPr>
              <w:t>Dark urine on inspection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Cola/tea-coloured urine due to bilirubinuria.</w:t>
            </w:r>
          </w:p>
        </w:tc>
      </w:tr>
      <w:tr>
        <w:trPr>
          <w:cantSplit/>
        </w:trPr>
        <w:tc>
          <w:tcPr>
            <w:tcW w:type="dxa" w:w="3456"/>
            <w:vAlign w:val="top"/>
          </w:tcPr>
          <w:p>
            <w:pPr>
              <w:spacing w:after="40" w:before="0" w:line="259" w:lineRule="auto"/>
            </w:pPr>
            <w:r>
              <w:rPr>
                <w:rFonts w:ascii="Calibri" w:hAnsi="Calibri"/>
                <w:b/>
                <w:i w:val="0"/>
                <w:color w:val="212121"/>
                <w:sz w:val="19"/>
              </w:rPr>
              <w:t>Low-grade pyrexia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 fever accompanying the prodrome.</w:t>
            </w:r>
          </w:p>
        </w:tc>
      </w:tr>
      <w:tr>
        <w:trPr>
          <w:cantSplit/>
        </w:trPr>
        <w:tc>
          <w:tcPr>
            <w:tcW w:type="dxa" w:w="3456"/>
            <w:vAlign w:val="top"/>
          </w:tcPr>
          <w:p>
            <w:pPr>
              <w:spacing w:after="40" w:before="0" w:line="259" w:lineRule="auto"/>
            </w:pPr>
            <w:r>
              <w:rPr>
                <w:rFonts w:ascii="Calibri" w:hAnsi="Calibri"/>
                <w:b/>
                <w:i w:val="0"/>
                <w:color w:val="212121"/>
                <w:sz w:val="19"/>
              </w:rPr>
              <w:t>Right hypochondrial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Elicited over the liver edge on palpation.</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Mild splenic enlargement in a minority; part of reticulo-endothelial response.</w:t>
            </w:r>
          </w:p>
        </w:tc>
      </w:tr>
      <w:tr>
        <w:trPr>
          <w:cantSplit/>
        </w:trPr>
        <w:tc>
          <w:tcPr>
            <w:tcW w:type="dxa" w:w="3456"/>
            <w:vAlign w:val="top"/>
          </w:tcPr>
          <w:p>
            <w:pPr>
              <w:spacing w:after="40" w:before="0" w:line="259" w:lineRule="auto"/>
            </w:pPr>
            <w:r>
              <w:rPr>
                <w:rFonts w:ascii="Calibri" w:hAnsi="Calibri"/>
                <w:b/>
                <w:i w:val="0"/>
                <w:color w:val="212121"/>
                <w:sz w:val="19"/>
              </w:rPr>
              <w:t>Excoriations / scratch marks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pruritus in cholestatic hepatitis A.</w:t>
            </w:r>
          </w:p>
        </w:tc>
      </w:tr>
      <w:tr>
        <w:trPr>
          <w:cantSplit/>
        </w:trPr>
        <w:tc>
          <w:tcPr>
            <w:tcW w:type="dxa" w:w="3456"/>
            <w:vAlign w:val="top"/>
          </w:tcPr>
          <w:p>
            <w:pPr>
              <w:spacing w:after="40" w:before="0" w:line="259" w:lineRule="auto"/>
            </w:pPr>
            <w:r>
              <w:rPr>
                <w:rFonts w:ascii="Calibri" w:hAnsi="Calibri"/>
                <w:b/>
                <w:i w:val="0"/>
                <w:color w:val="212121"/>
                <w:sz w:val="19"/>
              </w:rPr>
              <w:t>Cervical lymphadenopathy / rash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Occasional accompaniment; part of atypical/extrahepatic presentation.</w:t>
            </w:r>
          </w:p>
        </w:tc>
      </w:tr>
      <w:tr>
        <w:trPr>
          <w:cantSplit/>
        </w:trPr>
        <w:tc>
          <w:tcPr>
            <w:tcW w:type="dxa" w:w="3456"/>
            <w:vAlign w:val="top"/>
          </w:tcPr>
          <w:p>
            <w:pPr>
              <w:spacing w:after="40" w:before="0" w:line="259" w:lineRule="auto"/>
            </w:pPr>
            <w:r>
              <w:rPr>
                <w:rFonts w:ascii="Calibri" w:hAnsi="Calibri"/>
                <w:b/>
                <w:i w:val="0"/>
                <w:color w:val="212121"/>
                <w:sz w:val="19"/>
              </w:rPr>
              <w:t>Asterixis (flapping tremor)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hepatic encephalopathy in fulminant disease.</w:t>
            </w:r>
          </w:p>
        </w:tc>
      </w:tr>
      <w:tr>
        <w:trPr>
          <w:cantSplit/>
        </w:trPr>
        <w:tc>
          <w:tcPr>
            <w:tcW w:type="dxa" w:w="3456"/>
            <w:vAlign w:val="top"/>
          </w:tcPr>
          <w:p>
            <w:pPr>
              <w:spacing w:after="40" w:before="0" w:line="259" w:lineRule="auto"/>
            </w:pPr>
            <w:r>
              <w:rPr>
                <w:rFonts w:ascii="Calibri" w:hAnsi="Calibri"/>
                <w:b/>
                <w:i w:val="0"/>
                <w:color w:val="212121"/>
                <w:sz w:val="19"/>
              </w:rPr>
              <w:t>Ecchymoses / mucosal bleeding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Reflects coagulopathy from failing hepatic synthetic function.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cholestatic hepatitis (deep jaundice, pruritus, high ALP for weeks to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 biphasic hepatitis with recurrence and renewed faecal shedding (up to ~10%)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acute liver injury (marked coagulopathy without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disturbance from vomiting and poor intake</w:t>
            </w:r>
          </w:p>
        </w:tc>
        <w:tc>
          <w:tcPr>
            <w:tcW w:type="dxa" w:w="2980"/>
            <w:vAlign w:val="top"/>
          </w:tcPr>
          <w:p>
            <w:pPr>
              <w:spacing w:after="40" w:before="0" w:line="259" w:lineRule="auto"/>
            </w:pPr>
            <w:r>
              <w:rPr>
                <w:rFonts w:ascii="Calibri" w:hAnsi="Calibri"/>
                <w:b w:val="0"/>
                <w:i w:val="0"/>
                <w:color w:val="212121"/>
                <w:sz w:val="19"/>
              </w:rPr>
              <w:t>Direct acute consequences of hepatic inflammation; nearly all resolve with supportive care.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Fulminant hepatitis / acute liver failure with hepatic encephalopathy and coagulopathy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(hepatorenal or HAV-associated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Extrahepatic: arthralgia, leukocytoclastic/cutaneous vasculitis, cryoglobulinaemia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Haematological: thrombocytopenia, aplastic anaemia, autoimmune haemolysis, pure red cell aplasia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systemic: acute pancreatitis, myocarditis, Guillain–Barré syndrome, transverse myelitis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Triggering of autoimmune hepatitis in predisposed individuals</w:t>
            </w:r>
          </w:p>
        </w:tc>
        <w:tc>
          <w:tcPr>
            <w:tcW w:type="dxa" w:w="2980"/>
            <w:vAlign w:val="top"/>
          </w:tcPr>
          <w:p>
            <w:pPr>
              <w:spacing w:after="40" w:before="0" w:line="259" w:lineRule="auto"/>
            </w:pPr>
            <w:r>
              <w:rPr>
                <w:rFonts w:ascii="Calibri" w:hAnsi="Calibri"/>
                <w:b w:val="0"/>
                <w:i w:val="0"/>
                <w:color w:val="212121"/>
                <w:sz w:val="19"/>
              </w:rPr>
              <w:t>Progression and immune-mediated or extrahepatic sequelae; uncommon (~10–15% have some extrahepatic feature) but clinically important.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fulminant hepatic failure (overall case-fatality ~0.3%, higher in elderly/CLD)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emergency liver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Acute-on-chronic liver failure / decompensation in pre-existing chronic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Pregnancy: preterm labour and adverse fetal outcomes</w:t>
            </w:r>
          </w:p>
        </w:tc>
        <w:tc>
          <w:tcPr>
            <w:tcW w:type="dxa" w:w="2980"/>
            <w:vAlign w:val="top"/>
          </w:tcPr>
          <w:p>
            <w:pPr>
              <w:spacing w:after="40" w:before="0" w:line="259" w:lineRule="auto"/>
            </w:pPr>
            <w:r>
              <w:rPr>
                <w:rFonts w:ascii="Calibri" w:hAnsi="Calibri"/>
                <w:b w:val="0"/>
                <w:i w:val="0"/>
                <w:color w:val="212121"/>
                <w:sz w:val="19"/>
              </w:rPr>
              <w:t>Irreversible, life-threatening outcomes concentrated in older adults and those with underlying liver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liver disease (chronic hepatitis B/C, cirrhosis, NAFLD, alcoholic liver disease)</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Superimposed HAV on a compromised liver frequently precipitates fulminant failure or decompensation; HAV vaccination of susceptible CLD patients is specifically recommended.</w:t>
            </w:r>
          </w:p>
          <w:p>
            <w:pPr>
              <w:spacing w:after="40" w:before="0" w:line="259" w:lineRule="auto"/>
            </w:pPr>
            <w:r>
              <w:rPr>
                <w:rFonts w:ascii="Calibri" w:hAnsi="Calibri"/>
                <w:b/>
                <w:i w:val="0"/>
                <w:color w:val="212121"/>
                <w:sz w:val="19"/>
              </w:rPr>
              <w:t>Fulminant hepatitis in ~41% of chronic HCV with HAV superinfection</w:t>
            </w:r>
          </w:p>
        </w:tc>
      </w:tr>
      <w:tr>
        <w:trPr>
          <w:cantSplit/>
        </w:trPr>
        <w:tc>
          <w:tcPr>
            <w:tcW w:type="dxa" w:w="2232"/>
            <w:vAlign w:val="top"/>
          </w:tcPr>
          <w:p>
            <w:pPr>
              <w:spacing w:after="40" w:before="0" w:line="259" w:lineRule="auto"/>
            </w:pPr>
            <w:r>
              <w:rPr>
                <w:rFonts w:ascii="Calibri" w:hAnsi="Calibri"/>
                <w:b/>
                <w:i w:val="0"/>
                <w:color w:val="212121"/>
                <w:sz w:val="19"/>
              </w:rPr>
              <w:t>Hepatitis E (HEV) co-infection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faecal–oral route and co-circulates in contaminated water/food; dual infection can worsen acute hepatitis and must be distinguished, especially in pregnancy.</w:t>
            </w:r>
          </w:p>
        </w:tc>
      </w:tr>
      <w:tr>
        <w:trPr>
          <w:cantSplit/>
        </w:trPr>
        <w:tc>
          <w:tcPr>
            <w:tcW w:type="dxa" w:w="2232"/>
            <w:vAlign w:val="top"/>
          </w:tcPr>
          <w:p>
            <w:pPr>
              <w:spacing w:after="40" w:before="0" w:line="259" w:lineRule="auto"/>
            </w:pPr>
            <w:r>
              <w:rPr>
                <w:rFonts w:ascii="Calibri" w:hAnsi="Calibri"/>
                <w:b/>
                <w:i w:val="0"/>
                <w:color w:val="212121"/>
                <w:sz w:val="19"/>
              </w:rPr>
              <w:t>Acute liver failure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HAV is now a leading cause of acute liver failure in Indian adults; develops as coagulopathy and encephalopathy after jaundice onset.</w:t>
            </w:r>
          </w:p>
          <w:p>
            <w:pPr>
              <w:spacing w:after="40" w:before="0" w:line="259" w:lineRule="auto"/>
            </w:pPr>
            <w:r>
              <w:rPr>
                <w:rFonts w:ascii="Calibri" w:hAnsi="Calibri"/>
                <w:b/>
                <w:i w:val="0"/>
                <w:color w:val="212121"/>
                <w:sz w:val="19"/>
              </w:rPr>
              <w:t>&lt; 1% of adult cases progress to ALF</w:t>
            </w:r>
          </w:p>
        </w:tc>
      </w:tr>
      <w:tr>
        <w:trPr>
          <w:cantSplit/>
        </w:trPr>
        <w:tc>
          <w:tcPr>
            <w:tcW w:type="dxa" w:w="2232"/>
            <w:vAlign w:val="top"/>
          </w:tcPr>
          <w:p>
            <w:pPr>
              <w:spacing w:after="40" w:before="0" w:line="259" w:lineRule="auto"/>
            </w:pPr>
            <w:r>
              <w:rPr>
                <w:rFonts w:ascii="Calibri" w:hAnsi="Calibri"/>
                <w:b/>
                <w:i w:val="0"/>
                <w:color w:val="212121"/>
                <w:sz w:val="19"/>
              </w:rPr>
              <w:t>Autoimmune hepatitis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Acute HAV can act as an environmental trigger for autoimmune hepatitis in genetically predisposed people.</w:t>
            </w:r>
          </w:p>
        </w:tc>
      </w:tr>
      <w:tr>
        <w:trPr>
          <w:cantSplit/>
        </w:trPr>
        <w:tc>
          <w:tcPr>
            <w:tcW w:type="dxa" w:w="2232"/>
            <w:vAlign w:val="top"/>
          </w:tcPr>
          <w:p>
            <w:pPr>
              <w:spacing w:after="40" w:before="0" w:line="259" w:lineRule="auto"/>
            </w:pPr>
            <w:r>
              <w:rPr>
                <w:rFonts w:ascii="Calibri" w:hAnsi="Calibri"/>
                <w:b/>
                <w:i w:val="0"/>
                <w:color w:val="212121"/>
                <w:sz w:val="19"/>
              </w:rPr>
              <w:t>Cholestatic (obstructive) jaundice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prolonged cholestatic variant of HAV mimics biliary obstruction with pruritus and very high ALP/bilirubin; imaging excludes true obstruction.</w:t>
            </w:r>
          </w:p>
        </w:tc>
      </w:tr>
      <w:tr>
        <w:trPr>
          <w:cantSplit/>
        </w:trPr>
        <w:tc>
          <w:tcPr>
            <w:tcW w:type="dxa" w:w="2232"/>
            <w:vAlign w:val="top"/>
          </w:tcPr>
          <w:p>
            <w:pPr>
              <w:spacing w:after="40" w:before="0" w:line="259" w:lineRule="auto"/>
            </w:pPr>
            <w:r>
              <w:rPr>
                <w:rFonts w:ascii="Calibri" w:hAnsi="Calibri"/>
                <w:b/>
                <w:i w:val="0"/>
                <w:color w:val="212121"/>
                <w:sz w:val="19"/>
              </w:rPr>
              <w:t>Acute pancreatitis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An uncommon extrahepatic complication of acute HAV, presenting with epigastric pain and raised amylase/lipase.</w:t>
            </w:r>
          </w:p>
        </w:tc>
      </w:tr>
      <w:tr>
        <w:trPr>
          <w:cantSplit/>
        </w:trPr>
        <w:tc>
          <w:tcPr>
            <w:tcW w:type="dxa" w:w="2232"/>
            <w:vAlign w:val="top"/>
          </w:tcPr>
          <w:p>
            <w:pPr>
              <w:spacing w:after="40" w:before="0" w:line="259" w:lineRule="auto"/>
            </w:pPr>
            <w:r>
              <w:rPr>
                <w:rFonts w:ascii="Calibri" w:hAnsi="Calibri"/>
                <w:b/>
                <w:i w:val="0"/>
                <w:color w:val="212121"/>
                <w:sz w:val="19"/>
              </w:rPr>
              <w:t>Aplastic anaemia / haematological cytopenias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Rare post-hepatitic aplastic anaemia, thrombocytopenia and pure red cell aplasia can follow HAV, occasionally severe.</w:t>
            </w:r>
          </w:p>
        </w:tc>
      </w:tr>
      <w:tr>
        <w:trPr>
          <w:cantSplit/>
        </w:trPr>
        <w:tc>
          <w:tcPr>
            <w:tcW w:type="dxa" w:w="2232"/>
            <w:vAlign w:val="top"/>
          </w:tcPr>
          <w:p>
            <w:pPr>
              <w:spacing w:after="40" w:before="0" w:line="259" w:lineRule="auto"/>
            </w:pPr>
            <w:r>
              <w:rPr>
                <w:rFonts w:ascii="Calibri" w:hAnsi="Calibri"/>
                <w:b/>
                <w:i w:val="0"/>
                <w:color w:val="212121"/>
                <w:sz w:val="19"/>
              </w:rPr>
              <w:t>Pregnancy-related complications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HAV in pregnancy is associated with more preterm labour and gestational complications, altering monitoring and delivery planning.</w:t>
            </w:r>
          </w:p>
        </w:tc>
      </w:tr>
      <w:tr>
        <w:trPr>
          <w:cantSplit/>
        </w:trPr>
        <w:tc>
          <w:tcPr>
            <w:tcW w:type="dxa" w:w="2232"/>
            <w:vAlign w:val="top"/>
          </w:tcPr>
          <w:p>
            <w:pPr>
              <w:spacing w:after="40" w:before="0" w:line="259" w:lineRule="auto"/>
            </w:pPr>
            <w:r>
              <w:rPr>
                <w:rFonts w:ascii="Calibri" w:hAnsi="Calibri"/>
                <w:b/>
                <w:i w:val="0"/>
                <w:color w:val="212121"/>
                <w:sz w:val="19"/>
              </w:rPr>
              <w:t>Acute kidney injury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Severe HAV may be complicated by acute kidney injury (hepatorenal physiology or HAV-associated glomerulonephritis), worsening prognosis.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hepatitis A spreads by the faecal–oral route — through water, food, or hands contaminated with an infected person’s stool — and is preventable.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thoroughly with soap and water after using the toilet, after changing nappies, and before preparing or eating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boiled, filtered or safely treated/bottled water, and avoid ice, cut fruit and salads of uncertain water source.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the hepatitis A vaccine if susceptible — especially children, travellers to endemic areas, and anyone with chronic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close contacts of a case, seek the vaccine (or immunoglobulin) ideally within 2 weeks of exposure for post-exposure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yellow eyes, dark urine, persistent vomiting, or drowsiness/confusion — and seek prompt medical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Susceptible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&amp; pilgrims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liver disease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hepatitis A is self-limiting in over 99% of cases and there is no specific antiviral — care is supportive.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non-essential and potentially liver-toxic medicines and herbal/‘liver-tonic’ remedies; use paracetamol only in low, doctor-advised doses.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strict hand hygiene and do not prepare food for others while infectious to prevent onward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urgently if vomiting prevents fluids, jaundice deepens, or drowsiness/confusion or bleeding develop.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 who are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symptomatic phase; let energy and appetite guide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exercise and contact sports while the liver is tender/enlarged and enzymes are high.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activity gradually as symptoms settle and liver enzymes trend towards normal.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‘boil it, cook it, peel it, or forget it’ — eat freshly, thoroughly cooked hot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 or undercooked shellfish, and roadside cut fruit, salads, chutneys and ice made with untreated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fruits and vegetables in safe water and peel them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food handlers practise scrupulous hand hygiene; exclude infectious cases from food preparation.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Coastal/seafood-eating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Street-food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 frequent, easily digestible meals; adequate calories aid recovery even if appetite is poor.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with safe fluids and oral rehydration solution if vomiting or anorexia is significant.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lighter, lower-fat meals if nausea and fatty-food intolerance are prominent.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unproven ‘liver’ supplements and megadose vitamins that can add to hepatic load.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Nauseated/anorexic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rest and sleep during the acute phase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fatigue to persist for some weeks after jaundice clears and pace daily activities accordingly.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Convalescing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and other hepatotoxic exposures during illness and convalescence.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any acute illness as an opportunity to seek support to stop smoking.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acute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alcohol during acute illness and for the full convalescent period to avoid compounding liver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alcohol-related or other chronic liver disease should abstain and be vaccinated against HAV.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resume alcohol until liver enzymes have normalised and a clinician advises it is safe.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chronic/alcoholic liver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that hepatitis A almost always resolves completely with lifelong immunity and no chronic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around visible jaundice and enforced rest, and normalise post-viral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if low mood or anxiety persists during a prolonged cholestatic or relapsing course.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prolonged/relapsing disease</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hepatitis-a" TargetMode="External"/><Relationship Id="rId10" Type="http://schemas.openxmlformats.org/officeDocument/2006/relationships/hyperlink" Target="https://link.springer.com/article/10.1007/s12664-025-01803-6" TargetMode="External"/><Relationship Id="rId11" Type="http://schemas.openxmlformats.org/officeDocument/2006/relationships/hyperlink" Target="https://www.ncbi.nlm.nih.gov/books/NBK459290/" TargetMode="External"/><Relationship Id="rId12" Type="http://schemas.openxmlformats.org/officeDocument/2006/relationships/hyperlink" Target="https://cdn.who.int/media/docs/default-source/bulletin/online-first/blt.25.293642.pdf?sfvrsn=f514b081_3" TargetMode="External"/><Relationship Id="rId13" Type="http://schemas.openxmlformats.org/officeDocument/2006/relationships/hyperlink" Target="https://ijmedph.org/Uploads/Volume15Issue1/47.%20[1466.%20IJMEDPH_Arpita]%20256-260.pdf" TargetMode="External"/><Relationship Id="rId14" Type="http://schemas.openxmlformats.org/officeDocument/2006/relationships/hyperlink" Target="https://www.nejm.org/doi/abs/10.1056/NEJM199801293380503" TargetMode="External"/><Relationship Id="rId15" Type="http://schemas.openxmlformats.org/officeDocument/2006/relationships/hyperlink" Target="https://www.indianpediatrics.net/aug2015/aug-687-69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