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Hepatitis C (chronic)</w:t>
      </w:r>
    </w:p>
    <w:p>
      <w:pPr>
        <w:spacing w:before="0" w:after="160"/>
      </w:pPr>
      <w:r>
        <w:rPr>
          <w:rFonts w:ascii="Calibri" w:hAnsi="Calibri"/>
          <w:b/>
          <w:i w:val="0"/>
          <w:color w:val="212121"/>
          <w:sz w:val="22"/>
        </w:rPr>
        <w:t xml:space="preserve">AKA </w:t>
      </w:r>
      <w:r>
        <w:rPr>
          <w:rFonts w:ascii="Calibri" w:hAnsi="Calibri"/>
          <w:b w:val="0"/>
          <w:i w:val="0"/>
          <w:color w:val="212121"/>
          <w:sz w:val="22"/>
        </w:rPr>
        <w:t>i.e., Chronic HCV infection, Chronic viral hepatitis C, Hep C</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hepatitis C is a persistent blood-borne infection of the liver caused by the hepatitis C virus (HCV), a single-stranded RNA flavivirus, defined by the continued detection of HCV RNA in blood for more than six months. It develops when an acute infection fails to clear spontaneously (in roughly 55–85% of cases) and produces slowly progressive hepatic inflammation and fibrosis that, over 20–30 years, can advance to cirrhosis, hepatocellular carcinoma and liver failure. The infection is often silent for decades but is now curable in more than 95% of patients with oral direct-acting antiviral (DAA) therapy.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An estimated 5–6 million Indians live with chronic hepatitis C — one of the largest national burdens worldwide, with the WHO Global Hepatitis Report 2024 citing about 0.55 crore (5.5 million) people living with HCV in India. Community-based seroprevalence in the general population is around 0.85% (broadly 0.5–1%), but rises sharply in high-burden pockets — an anti-HCV prevalence of 3.6% was found in a population-based serosurvey in Punjab. India recorded roughly 1.4 lakh (140,000) new HCV infections in 2022, yet only about 28% of cases are diagnosed and 21% treated.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Chronic hepatitis C is diagnosed through a two-step serological-then-virological approach followed by staging of liver fibrosis; infection is termed chronic once HCV RNA persists for more than six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reactive anti-HCV antibody on a third-generation immunoassay (approximately 99% sensitivity and specificity), which signals exposure but not necessarily active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confirmation of active infection by a positive quantitative HCV RNA (PCR) test; a detectable viral load persisting beyond six months defines chronic infection (15–45% of acutely infected people clear the virus spontaneously);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HCV genotype/subtype determination (genotype 3 predominates in India) to guide the choice and duration of antiviral therapy;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non-invasive fibrosis staging using APRI (score ≥ 0.7 suggests significant fibrosis), FIB-4 (&gt; 3.25 suggests cirrhosis) and/or transient elastography (FibroScan &gt; 12.5 kPa suggests cirrhosis), with liver biopsy reserved for discordant results;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baseline assessment of HIV and hepatitis B (HBsAg) status, liver function (ALT/AST, bilirubin, albumin, INR), complete blood count and renal function prior to treatment.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Chronic hepatitis C is classified by viral genotype, by the stage of hepatic fibrosis, and by the presence or absence of cirrhosis and its complications:</w:t>
      </w:r>
    </w:p>
    <w:p>
      <w:pPr>
        <w:spacing w:before="0" w:after="80"/>
      </w:pPr>
      <w:r>
        <w:rPr>
          <w:rFonts w:ascii="Calibri" w:hAnsi="Calibri"/>
          <w:b w:val="0"/>
          <w:i w:val="0"/>
          <w:color w:val="212121"/>
          <w:sz w:val="21"/>
        </w:rPr>
        <w:t>(1) By genotype — six major HCV genotypes (1–6) with numerous subtypes; genotype 3 is the most common in India (about 45% of infections nationally and 58–61% in Punjab), followed by genotype 1, with genotypes 4 and 6 emerging in the south and north-east. Genotype influences regimen, treatment duration and the risk of viral steatosis;</w:t>
      </w:r>
    </w:p>
    <w:p>
      <w:pPr>
        <w:spacing w:before="0" w:after="80"/>
      </w:pPr>
      <w:r>
        <w:rPr>
          <w:rFonts w:ascii="Calibri" w:hAnsi="Calibri"/>
          <w:b w:val="0"/>
          <w:i w:val="0"/>
          <w:color w:val="212121"/>
          <w:sz w:val="21"/>
        </w:rPr>
        <w:t>(2) By fibrosis stage (METAVIR F0–F4) — from F0 (no fibrosis) through F1–F2 (portal/periportal fibrosis) and F3 (bridging fibrosis) to F4 (cirrhosis); staging determines the urgency of therapy and the need for cancer surveillance;</w:t>
      </w:r>
    </w:p>
    <w:p>
      <w:pPr>
        <w:spacing w:before="0" w:after="80"/>
      </w:pPr>
      <w:r>
        <w:rPr>
          <w:rFonts w:ascii="Calibri" w:hAnsi="Calibri"/>
          <w:b w:val="0"/>
          <w:i w:val="0"/>
          <w:color w:val="212121"/>
          <w:sz w:val="21"/>
        </w:rPr>
        <w:t>(3) Compensated versus decompensated cirrhosis — compensated cirrhosis (Child–Pugh A) is often asymptomatic with preserved synthetic function, whereas decompensated cirrhosis (ascites, variceal bleeding, hepatic encephalopathy, jaundice) carries markedly worse survival;</w:t>
      </w:r>
    </w:p>
    <w:p>
      <w:pPr>
        <w:spacing w:before="0" w:after="80"/>
      </w:pPr>
      <w:r>
        <w:rPr>
          <w:rFonts w:ascii="Calibri" w:hAnsi="Calibri"/>
          <w:b w:val="0"/>
          <w:i w:val="0"/>
          <w:color w:val="212121"/>
          <w:sz w:val="21"/>
        </w:rPr>
        <w:t>(4) By dominant extrahepatic disease — a subset present chiefly with extrahepatic manifestations (mixed cryoglobulinemia, glomerulonephritis, B-cell non-Hodgkin lymphoma, type 2 diabetes, porphyria cutanea tarda), which may dominate the clinical picture.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Hepatitis C virus (HCV): A single-stranded RNA flavivirus with high genetic variability; its error-prone replication generates quasispecies that evade immune clearance and underlie viral persistence.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Percutaneous blood exposure: The dominant route in India — unsafe therapeutic injections, reuse of needles and syringes, and unscreened or repeated blood transfusions are leading contributors.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Injection drug use: Sharing of needles and injecting equipment carries the highest per-exposure risk and drives concentrated epidemics (e.g., Punjab and north-east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Unsafe medical, dental and cosmetic procedures: Inadequately sterilised instruments, unsafe haemodialysis, and non-sterile tattooing, body-piercing and barber/shaving practices transmit HCV.</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Vertical and sexual transmission: Lower-efficiency routes; mother-to-child transmission occurs in a minority of pregnancies, and sexual transmission is uncommon but increased with HIV co-infection and mucosal trauma.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Failure of spontaneous clearance: Older age at infection, male sex, HIV co-infection and unfavourable host IL28B (IFNL3) genotype reduce spontaneous clearance, allowing chronic infection to establish.</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(40–60 years)</w:t>
            </w:r>
          </w:p>
        </w:tc>
        <w:tc>
          <w:tcPr>
            <w:tcW w:type="dxa" w:w="4276"/>
            <w:vAlign w:val="top"/>
          </w:tcPr>
          <w:p>
            <w:pPr>
              <w:spacing w:after="60" w:line="259" w:lineRule="auto"/>
            </w:pPr>
            <w:r>
              <w:rPr>
                <w:rFonts w:ascii="Calibri" w:hAnsi="Calibri"/>
                <w:b w:val="0"/>
                <w:i w:val="0"/>
                <w:color w:val="212121"/>
                <w:sz w:val="19"/>
              </w:rPr>
              <w:t>Peak diagnosed prevalence reflects decades of accumulated, often silent fibrosis from remote percutaneous exposures during the pre-screening era. Longstanding viraemia is the main determinant of cirrhosis risk.</w:t>
            </w:r>
          </w:p>
          <w:p>
            <w:pPr>
              <w:spacing w:after="40" w:before="60" w:line="259" w:lineRule="auto"/>
            </w:pPr>
            <w:r>
              <w:rPr>
                <w:rFonts w:ascii="Calibri" w:hAnsi="Calibri"/>
                <w:b w:val="0"/>
                <w:i w:val="0"/>
                <w:color w:val="212121"/>
                <w:sz w:val="19"/>
              </w:rPr>
              <w:t>In the Punjab population-based serosurvey, age 40–49 years showed the strongest association with HCV (odds ratio 3.41 versus 19–29-year-olds).</w:t>
            </w:r>
          </w:p>
          <w:p>
            <w:pPr>
              <w:spacing w:after="40" w:line="252" w:lineRule="auto"/>
            </w:pPr>
            <w:hyperlink r:id="rId9">
              <w:r>
                <w:rPr>
                  <w:rFonts w:ascii="Calibri" w:hAnsi="Calibri" w:cs="Calibri"/>
                  <w:sz w:val="18"/>
                  <w:color w:val="1155CC"/>
                  <w:u w:val="single"/>
                </w:rPr>
                <w:t xml:space="preserve">PLOS One — Punjab HCV serosurvey</w:t>
              </w:r>
            </w:hyperlink>
          </w:p>
          <w:p>
            <w:pPr>
              <w:spacing w:before="60" w:after="40"/>
            </w:pPr>
            <w:r>
              <w:rPr>
                <w:rFonts w:ascii="Calibri" w:hAnsi="Calibri"/>
                <w:b w:val="0"/>
                <w:i w:val="0"/>
                <w:color w:val="5A5A5A"/>
                <w:sz w:val="18"/>
              </w:rPr>
              <w:t>#hepatitisC  #viralload  #silentinfection  #fibrosis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Longer duration of infection means more advanced fibrosis and a higher cumulative risk of cirrhosis and liver cancer, compounded by age-related comorbidity and polypharmacy.</w:t>
            </w:r>
          </w:p>
          <w:p>
            <w:pPr>
              <w:spacing w:after="40" w:before="60" w:line="259" w:lineRule="auto"/>
            </w:pPr>
            <w:r>
              <w:rPr>
                <w:rFonts w:ascii="Calibri" w:hAnsi="Calibri"/>
                <w:b w:val="0"/>
                <w:i w:val="0"/>
                <w:color w:val="212121"/>
                <w:sz w:val="19"/>
              </w:rPr>
              <w:t>About 20–30% of chronically infected people develop cirrhosis over 25–30 years, and hepatocellular carcinoma then arises at 1–4% per year.</w:t>
            </w:r>
          </w:p>
          <w:p>
            <w:pPr>
              <w:spacing w:after="40" w:line="252" w:lineRule="auto"/>
            </w:pPr>
            <w:hyperlink r:id="rId10">
              <w:r>
                <w:rPr>
                  <w:rFonts w:ascii="Calibri" w:hAnsi="Calibri" w:cs="Calibri"/>
                  <w:sz w:val="18"/>
                  <w:color w:val="1155CC"/>
                  <w:u w:val="single"/>
                </w:rPr>
                <w:t xml:space="preserve">PMC — natural history of hepatitis C</w:t>
              </w:r>
            </w:hyperlink>
          </w:p>
          <w:p>
            <w:pPr>
              <w:spacing w:before="60" w:after="40"/>
            </w:pPr>
            <w:r>
              <w:rPr>
                <w:rFonts w:ascii="Calibri" w:hAnsi="Calibri"/>
                <w:b w:val="0"/>
                <w:i w:val="0"/>
                <w:color w:val="5A5A5A"/>
                <w:sz w:val="18"/>
              </w:rPr>
              <w:t>#cirrhosis  #HCC  #ageing  #longdurationinfection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Higher prevalence and faster fibrosis progression in men; oestrogen is relatively hepatoprotective and slows fibrogenesis in women before menopause.</w:t>
            </w:r>
          </w:p>
          <w:p>
            <w:pPr>
              <w:spacing w:after="40" w:before="60" w:line="259" w:lineRule="auto"/>
            </w:pPr>
            <w:r>
              <w:rPr>
                <w:rFonts w:ascii="Calibri" w:hAnsi="Calibri"/>
                <w:b w:val="0"/>
                <w:i w:val="0"/>
                <w:color w:val="212121"/>
                <w:sz w:val="19"/>
              </w:rPr>
              <w:t>Male sex was an independent risk factor in Punjab (adjusted odds ratio 1.52).</w:t>
            </w:r>
          </w:p>
          <w:p>
            <w:pPr>
              <w:spacing w:after="40" w:line="252" w:lineRule="auto"/>
            </w:pPr>
            <w:hyperlink r:id="rId9">
              <w:r>
                <w:rPr>
                  <w:rFonts w:ascii="Calibri" w:hAnsi="Calibri" w:cs="Calibri"/>
                  <w:sz w:val="18"/>
                  <w:color w:val="1155CC"/>
                  <w:u w:val="single"/>
                </w:rPr>
                <w:t xml:space="preserve">PLOS One — Punjab HCV serosurvey</w:t>
              </w:r>
            </w:hyperlink>
          </w:p>
          <w:p>
            <w:pPr>
              <w:spacing w:before="60" w:after="40"/>
            </w:pPr>
            <w:r>
              <w:rPr>
                <w:rFonts w:ascii="Calibri" w:hAnsi="Calibri"/>
                <w:b w:val="0"/>
                <w:i w:val="0"/>
                <w:color w:val="5A5A5A"/>
                <w:sz w:val="18"/>
              </w:rPr>
              <w:t>#malesex  #fibrosisprogression  #oestrogen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and rural populations</w:t>
            </w:r>
          </w:p>
        </w:tc>
        <w:tc>
          <w:tcPr>
            <w:tcW w:type="dxa" w:w="4276"/>
            <w:vAlign w:val="top"/>
          </w:tcPr>
          <w:p>
            <w:pPr>
              <w:spacing w:after="60" w:line="259" w:lineRule="auto"/>
            </w:pPr>
            <w:r>
              <w:rPr>
                <w:rFonts w:ascii="Calibri" w:hAnsi="Calibri"/>
                <w:b w:val="0"/>
                <w:i w:val="0"/>
                <w:color w:val="212121"/>
                <w:sz w:val="19"/>
              </w:rPr>
              <w:t>Greater exposure to unsafe injections by informal practitioners, unscreened transfusions and low awareness increase both acquisition and late diagnosis.</w:t>
            </w:r>
          </w:p>
          <w:p>
            <w:pPr>
              <w:spacing w:after="40" w:before="60" w:line="259" w:lineRule="auto"/>
            </w:pPr>
            <w:r>
              <w:rPr>
                <w:rFonts w:ascii="Calibri" w:hAnsi="Calibri"/>
                <w:b w:val="0"/>
                <w:i w:val="0"/>
                <w:color w:val="212121"/>
                <w:sz w:val="19"/>
              </w:rPr>
              <w:t>Rural residence independently predicted HCV in Punjab (adjusted odds ratio 2.53), as did injections given by non-physician practitioners.</w:t>
            </w:r>
          </w:p>
          <w:p>
            <w:pPr>
              <w:spacing w:after="40" w:line="252" w:lineRule="auto"/>
            </w:pPr>
            <w:hyperlink r:id="rId9">
              <w:r>
                <w:rPr>
                  <w:rFonts w:ascii="Calibri" w:hAnsi="Calibri" w:cs="Calibri"/>
                  <w:sz w:val="18"/>
                  <w:color w:val="1155CC"/>
                  <w:u w:val="single"/>
                </w:rPr>
                <w:t xml:space="preserve">PLOS One — Punjab HCV serosurvey</w:t>
              </w:r>
            </w:hyperlink>
          </w:p>
          <w:p>
            <w:pPr>
              <w:spacing w:before="60" w:after="40"/>
            </w:pPr>
            <w:r>
              <w:rPr>
                <w:rFonts w:ascii="Calibri" w:hAnsi="Calibri"/>
                <w:b w:val="0"/>
                <w:i w:val="0"/>
                <w:color w:val="5A5A5A"/>
                <w:sz w:val="18"/>
              </w:rPr>
              <w:t>#unsafeinjections  #ruralhealth  #awarenessgap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General Indian population</w:t>
            </w:r>
          </w:p>
        </w:tc>
        <w:tc>
          <w:tcPr>
            <w:tcW w:type="dxa" w:w="4276"/>
            <w:vAlign w:val="top"/>
          </w:tcPr>
          <w:p>
            <w:pPr>
              <w:spacing w:after="60" w:line="259" w:lineRule="auto"/>
            </w:pPr>
            <w:r>
              <w:rPr>
                <w:rFonts w:ascii="Calibri" w:hAnsi="Calibri"/>
                <w:b w:val="0"/>
                <w:i w:val="0"/>
                <w:color w:val="212121"/>
                <w:sz w:val="19"/>
              </w:rPr>
              <w:t>Baseline community transmission occurs mainly through health-care-associated percutaneous exposure; most infections are undiagnosed because the disease is asymptomatic for years.</w:t>
            </w:r>
          </w:p>
          <w:p>
            <w:pPr>
              <w:spacing w:after="40" w:before="60" w:line="259" w:lineRule="auto"/>
            </w:pPr>
            <w:r>
              <w:rPr>
                <w:rFonts w:ascii="Calibri" w:hAnsi="Calibri"/>
                <w:b w:val="0"/>
                <w:i w:val="0"/>
                <w:color w:val="212121"/>
                <w:sz w:val="19"/>
              </w:rPr>
              <w:t>Pooled community-based seroprevalence in India is about 0.85% (broadly 0.5–1%), against 0.44% in blood donors.</w:t>
            </w:r>
          </w:p>
          <w:p>
            <w:pPr>
              <w:spacing w:after="40" w:line="252" w:lineRule="auto"/>
            </w:pPr>
            <w:hyperlink r:id="rId11">
              <w:r>
                <w:rPr>
                  <w:rFonts w:ascii="Calibri" w:hAnsi="Calibri" w:cs="Calibri"/>
                  <w:sz w:val="18"/>
                  <w:color w:val="1155CC"/>
                  <w:u w:val="single"/>
                </w:rPr>
                <w:t xml:space="preserve">PubMed — HCV burden in India (meta-analysis)</w:t>
              </w:r>
            </w:hyperlink>
          </w:p>
          <w:p>
            <w:pPr>
              <w:spacing w:before="60" w:after="40"/>
            </w:pPr>
            <w:r>
              <w:rPr>
                <w:rFonts w:ascii="Calibri" w:hAnsi="Calibri"/>
                <w:b w:val="0"/>
                <w:i w:val="0"/>
                <w:color w:val="5A5A5A"/>
                <w:sz w:val="18"/>
              </w:rPr>
              <w:t>#India  #seroprevalence  #undiagnosed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Punjab and north-west India</w:t>
            </w:r>
          </w:p>
        </w:tc>
        <w:tc>
          <w:tcPr>
            <w:tcW w:type="dxa" w:w="4276"/>
            <w:vAlign w:val="top"/>
          </w:tcPr>
          <w:p>
            <w:pPr>
              <w:spacing w:after="60" w:line="259" w:lineRule="auto"/>
            </w:pPr>
            <w:r>
              <w:rPr>
                <w:rFonts w:ascii="Calibri" w:hAnsi="Calibri"/>
                <w:b w:val="0"/>
                <w:i w:val="0"/>
                <w:color w:val="212121"/>
                <w:sz w:val="19"/>
              </w:rPr>
              <w:t>A recognised high-burden belt driven by widespread unsafe injection practices and injection drug use, with genotype 3 predominating.</w:t>
            </w:r>
          </w:p>
          <w:p>
            <w:pPr>
              <w:spacing w:after="40" w:before="60" w:line="259" w:lineRule="auto"/>
            </w:pPr>
            <w:r>
              <w:rPr>
                <w:rFonts w:ascii="Calibri" w:hAnsi="Calibri"/>
                <w:b w:val="0"/>
                <w:i w:val="0"/>
                <w:color w:val="212121"/>
                <w:sz w:val="19"/>
              </w:rPr>
              <w:t>Anti-HCV prevalence of 3.6% (RNA-positive 2.6%) — nearly three-quarters of a million people chronically infected in Punjab alone.</w:t>
            </w:r>
          </w:p>
          <w:p>
            <w:pPr>
              <w:spacing w:after="40" w:line="252" w:lineRule="auto"/>
            </w:pPr>
            <w:hyperlink r:id="rId9">
              <w:r>
                <w:rPr>
                  <w:rFonts w:ascii="Calibri" w:hAnsi="Calibri" w:cs="Calibri"/>
                  <w:sz w:val="18"/>
                  <w:color w:val="1155CC"/>
                  <w:u w:val="single"/>
                </w:rPr>
                <w:t xml:space="preserve">PLOS One — Punjab HCV serosurvey</w:t>
              </w:r>
            </w:hyperlink>
          </w:p>
          <w:p>
            <w:pPr>
              <w:spacing w:before="60" w:after="40"/>
            </w:pPr>
            <w:r>
              <w:rPr>
                <w:rFonts w:ascii="Calibri" w:hAnsi="Calibri"/>
                <w:b w:val="0"/>
                <w:i w:val="0"/>
                <w:color w:val="5A5A5A"/>
                <w:sz w:val="18"/>
              </w:rPr>
              <w:t>#Punjab  #highburden  #genotype3</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Injection drug use</w:t>
            </w:r>
          </w:p>
        </w:tc>
        <w:tc>
          <w:tcPr>
            <w:tcW w:type="dxa" w:w="2160"/>
            <w:vAlign w:val="top"/>
          </w:tcPr>
          <w:p>
            <w:pPr>
              <w:spacing w:after="40" w:before="0" w:line="259" w:lineRule="auto"/>
            </w:pPr>
            <w:r>
              <w:rPr>
                <w:rFonts w:ascii="Calibri" w:hAnsi="Calibri"/>
                <w:b w:val="0"/>
                <w:i w:val="0"/>
                <w:color w:val="212121"/>
                <w:sz w:val="19"/>
              </w:rPr>
              <w:t>People who inject drugs (PWID)</w:t>
            </w:r>
          </w:p>
        </w:tc>
        <w:tc>
          <w:tcPr>
            <w:tcW w:type="dxa" w:w="4276"/>
            <w:vAlign w:val="top"/>
          </w:tcPr>
          <w:p>
            <w:pPr>
              <w:spacing w:after="60" w:line="259" w:lineRule="auto"/>
            </w:pPr>
            <w:r>
              <w:rPr>
                <w:rFonts w:ascii="Calibri" w:hAnsi="Calibri"/>
                <w:b w:val="0"/>
                <w:i w:val="0"/>
                <w:color w:val="212121"/>
                <w:sz w:val="19"/>
              </w:rPr>
              <w:t>Sharing of needles and injecting paraphernalia is the most efficient route of HCV transmission and sustains concentrated epidemics.</w:t>
            </w:r>
          </w:p>
          <w:p>
            <w:pPr>
              <w:spacing w:after="40" w:before="60" w:line="259" w:lineRule="auto"/>
            </w:pPr>
            <w:r>
              <w:rPr>
                <w:rFonts w:ascii="Calibri" w:hAnsi="Calibri"/>
                <w:b w:val="0"/>
                <w:i w:val="0"/>
                <w:color w:val="212121"/>
                <w:sz w:val="19"/>
              </w:rPr>
              <w:t>Pooled anti-HCV prevalence among people who inject drugs in India is 44.71% — the highest of any risk group.</w:t>
            </w:r>
          </w:p>
          <w:p>
            <w:pPr>
              <w:spacing w:after="40" w:line="252" w:lineRule="auto"/>
            </w:pPr>
            <w:hyperlink r:id="rId11">
              <w:r>
                <w:rPr>
                  <w:rFonts w:ascii="Calibri" w:hAnsi="Calibri" w:cs="Calibri"/>
                  <w:sz w:val="18"/>
                  <w:color w:val="1155CC"/>
                  <w:u w:val="single"/>
                </w:rPr>
                <w:t xml:space="preserve">PubMed — HCV burden in India (meta-analysis)</w:t>
              </w:r>
            </w:hyperlink>
          </w:p>
          <w:p>
            <w:pPr>
              <w:spacing w:before="60" w:after="40"/>
            </w:pPr>
            <w:r>
              <w:rPr>
                <w:rFonts w:ascii="Calibri" w:hAnsi="Calibri"/>
                <w:b w:val="0"/>
                <w:i w:val="0"/>
                <w:color w:val="5A5A5A"/>
                <w:sz w:val="18"/>
              </w:rPr>
              <w:t>#PWID  #needlesharing  #harmreduction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(and cannabis) smokers</w:t>
            </w:r>
          </w:p>
        </w:tc>
        <w:tc>
          <w:tcPr>
            <w:tcW w:type="dxa" w:w="4276"/>
            <w:vAlign w:val="top"/>
          </w:tcPr>
          <w:p>
            <w:pPr>
              <w:spacing w:after="60" w:line="259" w:lineRule="auto"/>
            </w:pPr>
            <w:r>
              <w:rPr>
                <w:rFonts w:ascii="Calibri" w:hAnsi="Calibri"/>
                <w:b w:val="0"/>
                <w:i w:val="0"/>
                <w:color w:val="212121"/>
                <w:sz w:val="19"/>
              </w:rPr>
              <w:t>Smoking is associated with greater histological inflammatory activity, faster fibrosis progression and a higher risk of hepatocellular carcinoma in people with chronic HCV.</w:t>
            </w:r>
          </w:p>
          <w:p>
            <w:pPr>
              <w:spacing w:after="40" w:before="60" w:line="259" w:lineRule="auto"/>
            </w:pPr>
            <w:r>
              <w:rPr>
                <w:rFonts w:ascii="Calibri" w:hAnsi="Calibri"/>
                <w:b w:val="0"/>
                <w:i w:val="0"/>
                <w:color w:val="212121"/>
                <w:sz w:val="19"/>
              </w:rPr>
              <w:t>Considered a modifiable cofactor that accelerates liver disease progression in HCV; cessation is advised in all patients.</w:t>
            </w:r>
          </w:p>
          <w:p>
            <w:pPr>
              <w:spacing w:before="60" w:after="40"/>
            </w:pPr>
            <w:r>
              <w:rPr>
                <w:rFonts w:ascii="Calibri" w:hAnsi="Calibri"/>
                <w:b w:val="0"/>
                <w:i w:val="0"/>
                <w:color w:val="5A5A5A"/>
                <w:sz w:val="18"/>
              </w:rPr>
              <w:t>#smoking  #cofactor  #HCCrisk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Tattoos / cosmetic exposure</w:t>
            </w:r>
          </w:p>
        </w:tc>
        <w:tc>
          <w:tcPr>
            <w:tcW w:type="dxa" w:w="2160"/>
            <w:vAlign w:val="top"/>
          </w:tcPr>
          <w:p>
            <w:pPr>
              <w:spacing w:after="40" w:before="0" w:line="259" w:lineRule="auto"/>
            </w:pPr>
            <w:r>
              <w:rPr>
                <w:rFonts w:ascii="Calibri" w:hAnsi="Calibri"/>
                <w:b w:val="0"/>
                <w:i w:val="0"/>
                <w:color w:val="212121"/>
                <w:sz w:val="19"/>
              </w:rPr>
              <w:t>Non-sterile tattooing, piercing and shaving</w:t>
            </w:r>
          </w:p>
        </w:tc>
        <w:tc>
          <w:tcPr>
            <w:tcW w:type="dxa" w:w="4276"/>
            <w:vAlign w:val="top"/>
          </w:tcPr>
          <w:p>
            <w:pPr>
              <w:spacing w:after="60" w:line="259" w:lineRule="auto"/>
            </w:pPr>
            <w:r>
              <w:rPr>
                <w:rFonts w:ascii="Calibri" w:hAnsi="Calibri"/>
                <w:b w:val="0"/>
                <w:i w:val="0"/>
                <w:color w:val="212121"/>
                <w:sz w:val="19"/>
              </w:rPr>
              <w:t>Percutaneous exposure to contaminated equipment during tattooing, body-piercing and shared barber/shaving instruments transmits HCV.</w:t>
            </w:r>
          </w:p>
          <w:p>
            <w:pPr>
              <w:spacing w:after="40" w:before="60" w:line="259" w:lineRule="auto"/>
            </w:pPr>
            <w:r>
              <w:rPr>
                <w:rFonts w:ascii="Calibri" w:hAnsi="Calibri"/>
                <w:b w:val="0"/>
                <w:i w:val="0"/>
                <w:color w:val="212121"/>
                <w:sz w:val="19"/>
              </w:rPr>
              <w:t>Permanent tattoos were an independent risk factor for HCV in the Punjab serosurvey.</w:t>
            </w:r>
          </w:p>
          <w:p>
            <w:pPr>
              <w:spacing w:after="40" w:line="252" w:lineRule="auto"/>
            </w:pPr>
            <w:hyperlink r:id="rId9">
              <w:r>
                <w:rPr>
                  <w:rFonts w:ascii="Calibri" w:hAnsi="Calibri" w:cs="Calibri"/>
                  <w:sz w:val="18"/>
                  <w:color w:val="1155CC"/>
                  <w:u w:val="single"/>
                </w:rPr>
                <w:t xml:space="preserve">PLOS One — Punjab HCV serosurvey</w:t>
              </w:r>
            </w:hyperlink>
          </w:p>
          <w:p>
            <w:pPr>
              <w:spacing w:before="60" w:after="40"/>
            </w:pPr>
            <w:r>
              <w:rPr>
                <w:rFonts w:ascii="Calibri" w:hAnsi="Calibri"/>
                <w:b w:val="0"/>
                <w:i w:val="0"/>
                <w:color w:val="5A5A5A"/>
                <w:sz w:val="18"/>
              </w:rPr>
              <w:t>#tattoos  #barber  #percutaneous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Alcohol and energy-dense diet</w:t>
            </w:r>
          </w:p>
        </w:tc>
        <w:tc>
          <w:tcPr>
            <w:tcW w:type="dxa" w:w="2160"/>
            <w:vAlign w:val="top"/>
          </w:tcPr>
          <w:p>
            <w:pPr>
              <w:spacing w:after="40" w:before="0" w:line="259" w:lineRule="auto"/>
            </w:pPr>
            <w:r>
              <w:rPr>
                <w:rFonts w:ascii="Calibri" w:hAnsi="Calibri"/>
                <w:b w:val="0"/>
                <w:i w:val="0"/>
                <w:color w:val="212121"/>
                <w:sz w:val="19"/>
              </w:rPr>
              <w:t>Heavy drinkers with high-fat, iron-rich diets</w:t>
            </w:r>
          </w:p>
        </w:tc>
        <w:tc>
          <w:tcPr>
            <w:tcW w:type="dxa" w:w="4276"/>
            <w:vAlign w:val="top"/>
          </w:tcPr>
          <w:p>
            <w:pPr>
              <w:spacing w:after="60" w:line="259" w:lineRule="auto"/>
            </w:pPr>
            <w:r>
              <w:rPr>
                <w:rFonts w:ascii="Calibri" w:hAnsi="Calibri"/>
                <w:b w:val="0"/>
                <w:i w:val="0"/>
                <w:color w:val="212121"/>
                <w:sz w:val="19"/>
              </w:rPr>
              <w:t>Alcohol and high-calorie, high-fat, iron-rich intake promote hepatic steatosis, insulin resistance and oxidative stress, which synergise with HCV to accelerate fibrosis and raise cancer risk.</w:t>
            </w:r>
          </w:p>
          <w:p>
            <w:pPr>
              <w:spacing w:after="40" w:before="60" w:line="259" w:lineRule="auto"/>
            </w:pPr>
            <w:r>
              <w:rPr>
                <w:rFonts w:ascii="Calibri" w:hAnsi="Calibri"/>
                <w:b w:val="0"/>
                <w:i w:val="0"/>
                <w:color w:val="212121"/>
                <w:sz w:val="19"/>
              </w:rPr>
              <w:t>Alcohol is the strongest dietary/lifestyle cofactor accelerating fibrosis, cirrhosis and HCC in chronic HCV; abstinence is recommended.</w:t>
            </w:r>
          </w:p>
          <w:p>
            <w:pPr>
              <w:spacing w:before="60" w:after="40"/>
            </w:pPr>
            <w:r>
              <w:rPr>
                <w:rFonts w:ascii="Calibri" w:hAnsi="Calibri"/>
                <w:b w:val="0"/>
                <w:i w:val="0"/>
                <w:color w:val="5A5A5A"/>
                <w:sz w:val="18"/>
              </w:rPr>
              <w:t>#alcohol  #steatosis  #ironoverload</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 household history</w:t>
            </w:r>
          </w:p>
        </w:tc>
        <w:tc>
          <w:tcPr>
            <w:tcW w:type="dxa" w:w="2160"/>
            <w:vAlign w:val="top"/>
          </w:tcPr>
          <w:p>
            <w:pPr>
              <w:spacing w:after="40" w:before="0" w:line="259" w:lineRule="auto"/>
            </w:pPr>
            <w:r>
              <w:rPr>
                <w:rFonts w:ascii="Calibri" w:hAnsi="Calibri"/>
                <w:b w:val="0"/>
                <w:i w:val="0"/>
                <w:color w:val="212121"/>
                <w:sz w:val="19"/>
              </w:rPr>
              <w:t>Household contacts of an HCV-infected person</w:t>
            </w:r>
          </w:p>
        </w:tc>
        <w:tc>
          <w:tcPr>
            <w:tcW w:type="dxa" w:w="4276"/>
            <w:vAlign w:val="top"/>
          </w:tcPr>
          <w:p>
            <w:pPr>
              <w:spacing w:after="60" w:line="259" w:lineRule="auto"/>
            </w:pPr>
            <w:r>
              <w:rPr>
                <w:rFonts w:ascii="Calibri" w:hAnsi="Calibri"/>
                <w:b w:val="0"/>
                <w:i w:val="0"/>
                <w:color w:val="212121"/>
                <w:sz w:val="19"/>
              </w:rPr>
              <w:t>Shared percutaneous exposures (razors, needles), vertical transmission and clustered high-risk practices concentrate infection within families and households.</w:t>
            </w:r>
          </w:p>
          <w:p>
            <w:pPr>
              <w:spacing w:after="40" w:before="60" w:line="259" w:lineRule="auto"/>
            </w:pPr>
            <w:r>
              <w:rPr>
                <w:rFonts w:ascii="Calibri" w:hAnsi="Calibri"/>
                <w:b w:val="0"/>
                <w:i w:val="0"/>
                <w:color w:val="212121"/>
                <w:sz w:val="19"/>
              </w:rPr>
              <w:t>Household and sexual contacts of index cases warrant screening; vertical transmission occurs in a minority of pregnancies of viraemic mothers.</w:t>
            </w:r>
          </w:p>
          <w:p>
            <w:pPr>
              <w:spacing w:before="60" w:after="40"/>
            </w:pPr>
            <w:r>
              <w:rPr>
                <w:rFonts w:ascii="Calibri" w:hAnsi="Calibri"/>
                <w:b w:val="0"/>
                <w:i w:val="0"/>
                <w:color w:val="5A5A5A"/>
                <w:sz w:val="18"/>
              </w:rPr>
              <w:t>#householdcontact  #verticaltransmission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Host genotype</w:t>
            </w:r>
          </w:p>
        </w:tc>
        <w:tc>
          <w:tcPr>
            <w:tcW w:type="dxa" w:w="2160"/>
            <w:vAlign w:val="top"/>
          </w:tcPr>
          <w:p>
            <w:pPr>
              <w:spacing w:after="40" w:before="0" w:line="259" w:lineRule="auto"/>
            </w:pPr>
            <w:r>
              <w:rPr>
                <w:rFonts w:ascii="Calibri" w:hAnsi="Calibri"/>
                <w:b w:val="0"/>
                <w:i w:val="0"/>
                <w:color w:val="212121"/>
                <w:sz w:val="19"/>
              </w:rPr>
              <w:t>Unfavourable IL28B (IFNL3) genotype</w:t>
            </w:r>
          </w:p>
        </w:tc>
        <w:tc>
          <w:tcPr>
            <w:tcW w:type="dxa" w:w="4276"/>
            <w:vAlign w:val="top"/>
          </w:tcPr>
          <w:p>
            <w:pPr>
              <w:spacing w:after="60" w:line="259" w:lineRule="auto"/>
            </w:pPr>
            <w:r>
              <w:rPr>
                <w:rFonts w:ascii="Calibri" w:hAnsi="Calibri"/>
                <w:b w:val="0"/>
                <w:i w:val="0"/>
                <w:color w:val="212121"/>
                <w:sz w:val="19"/>
              </w:rPr>
              <w:t>Host interferon-lambda (IL28B/IFNL3) polymorphisms strongly influence spontaneous clearance; the unfavourable genotype reduces clearance and favours chronicity.</w:t>
            </w:r>
          </w:p>
          <w:p>
            <w:pPr>
              <w:spacing w:after="40" w:before="60" w:line="259" w:lineRule="auto"/>
            </w:pPr>
            <w:r>
              <w:rPr>
                <w:rFonts w:ascii="Calibri" w:hAnsi="Calibri"/>
                <w:b w:val="0"/>
                <w:i w:val="0"/>
                <w:color w:val="212121"/>
                <w:sz w:val="19"/>
              </w:rPr>
              <w:t>A well-established host genetic determinant of failure to clear acute HCV and of interferon-era treatment response.</w:t>
            </w:r>
          </w:p>
          <w:p>
            <w:pPr>
              <w:spacing w:before="60" w:after="40"/>
            </w:pPr>
            <w:r>
              <w:rPr>
                <w:rFonts w:ascii="Calibri" w:hAnsi="Calibri"/>
                <w:b w:val="0"/>
                <w:i w:val="0"/>
                <w:color w:val="5A5A5A"/>
                <w:sz w:val="18"/>
              </w:rPr>
              <w:t>#IL28B  #IFNL3  #viralpersistence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co-infection</w:t>
            </w:r>
          </w:p>
        </w:tc>
        <w:tc>
          <w:tcPr>
            <w:tcW w:type="dxa" w:w="2160"/>
            <w:vAlign w:val="top"/>
          </w:tcPr>
          <w:p>
            <w:pPr>
              <w:spacing w:after="40" w:before="0" w:line="259" w:lineRule="auto"/>
            </w:pPr>
            <w:r>
              <w:rPr>
                <w:rFonts w:ascii="Calibri" w:hAnsi="Calibri"/>
                <w:b w:val="0"/>
                <w:i w:val="0"/>
                <w:color w:val="212121"/>
                <w:sz w:val="19"/>
              </w:rPr>
              <w:t>People living with HIV</w:t>
            </w:r>
          </w:p>
        </w:tc>
        <w:tc>
          <w:tcPr>
            <w:tcW w:type="dxa" w:w="4276"/>
            <w:vAlign w:val="top"/>
          </w:tcPr>
          <w:p>
            <w:pPr>
              <w:spacing w:after="60" w:line="259" w:lineRule="auto"/>
            </w:pPr>
            <w:r>
              <w:rPr>
                <w:rFonts w:ascii="Calibri" w:hAnsi="Calibri"/>
                <w:b w:val="0"/>
                <w:i w:val="0"/>
                <w:color w:val="212121"/>
                <w:sz w:val="19"/>
              </w:rPr>
              <w:t>Shared blood-borne and injecting routes cause frequent co-infection; HIV accelerates HCV fibrosis progression and worsens outcomes.</w:t>
            </w:r>
          </w:p>
          <w:p>
            <w:pPr>
              <w:spacing w:after="40" w:before="60" w:line="259" w:lineRule="auto"/>
            </w:pPr>
            <w:r>
              <w:rPr>
                <w:rFonts w:ascii="Calibri" w:hAnsi="Calibri"/>
                <w:b w:val="0"/>
                <w:i w:val="0"/>
                <w:color w:val="212121"/>
                <w:sz w:val="19"/>
              </w:rPr>
              <w:t>Pooled anti-HCV prevalence among people living with HIV in India is 3.51%.</w:t>
            </w:r>
          </w:p>
          <w:p>
            <w:pPr>
              <w:spacing w:after="40" w:line="252" w:lineRule="auto"/>
            </w:pPr>
            <w:hyperlink r:id="rId11">
              <w:r>
                <w:rPr>
                  <w:rFonts w:ascii="Calibri" w:hAnsi="Calibri" w:cs="Calibri"/>
                  <w:sz w:val="18"/>
                  <w:color w:val="1155CC"/>
                  <w:u w:val="single"/>
                </w:rPr>
                <w:t xml:space="preserve">PubMed — HCV burden in India (meta-analysis)</w:t>
              </w:r>
            </w:hyperlink>
          </w:p>
          <w:p>
            <w:pPr>
              <w:spacing w:before="60" w:after="40"/>
            </w:pPr>
            <w:r>
              <w:rPr>
                <w:rFonts w:ascii="Calibri" w:hAnsi="Calibri"/>
                <w:b w:val="0"/>
                <w:i w:val="0"/>
                <w:color w:val="5A5A5A"/>
                <w:sz w:val="18"/>
              </w:rPr>
              <w:t>#HIV  #coinfection  #acceleratedfibrosis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on maintenance haemodialysis</w:t>
            </w:r>
          </w:p>
        </w:tc>
        <w:tc>
          <w:tcPr>
            <w:tcW w:type="dxa" w:w="4276"/>
            <w:vAlign w:val="top"/>
          </w:tcPr>
          <w:p>
            <w:pPr>
              <w:spacing w:after="60" w:line="259" w:lineRule="auto"/>
            </w:pPr>
            <w:r>
              <w:rPr>
                <w:rFonts w:ascii="Calibri" w:hAnsi="Calibri"/>
                <w:b w:val="0"/>
                <w:i w:val="0"/>
                <w:color w:val="212121"/>
                <w:sz w:val="19"/>
              </w:rPr>
              <w:t>Repeated vascular access and historically imperfect infection control in dialysis units cause nosocomial HCV transmission.</w:t>
            </w:r>
          </w:p>
          <w:p>
            <w:pPr>
              <w:spacing w:after="40" w:before="60" w:line="259" w:lineRule="auto"/>
            </w:pPr>
            <w:r>
              <w:rPr>
                <w:rFonts w:ascii="Calibri" w:hAnsi="Calibri"/>
                <w:b w:val="0"/>
                <w:i w:val="0"/>
                <w:color w:val="212121"/>
                <w:sz w:val="19"/>
              </w:rPr>
              <w:t>Pooled anti-HCV prevalence among haemodialysis patients in India is 19.23%.</w:t>
            </w:r>
          </w:p>
          <w:p>
            <w:pPr>
              <w:spacing w:after="40" w:line="252" w:lineRule="auto"/>
            </w:pPr>
            <w:hyperlink r:id="rId11">
              <w:r>
                <w:rPr>
                  <w:rFonts w:ascii="Calibri" w:hAnsi="Calibri" w:cs="Calibri"/>
                  <w:sz w:val="18"/>
                  <w:color w:val="1155CC"/>
                  <w:u w:val="single"/>
                </w:rPr>
                <w:t xml:space="preserve">PubMed — HCV burden in India (meta-analysis)</w:t>
              </w:r>
            </w:hyperlink>
          </w:p>
          <w:p>
            <w:pPr>
              <w:spacing w:before="60" w:after="40"/>
            </w:pPr>
            <w:r>
              <w:rPr>
                <w:rFonts w:ascii="Calibri" w:hAnsi="Calibri"/>
                <w:b w:val="0"/>
                <w:i w:val="0"/>
                <w:color w:val="5A5A5A"/>
                <w:sz w:val="18"/>
              </w:rPr>
              <w:t>#haemodialysis  #nosocomial  #CKD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Multiple transfusions</w:t>
            </w:r>
          </w:p>
        </w:tc>
        <w:tc>
          <w:tcPr>
            <w:tcW w:type="dxa" w:w="2160"/>
            <w:vAlign w:val="top"/>
          </w:tcPr>
          <w:p>
            <w:pPr>
              <w:spacing w:after="40" w:before="0" w:line="259" w:lineRule="auto"/>
            </w:pPr>
            <w:r>
              <w:rPr>
                <w:rFonts w:ascii="Calibri" w:hAnsi="Calibri"/>
                <w:b w:val="0"/>
                <w:i w:val="0"/>
                <w:color w:val="212121"/>
                <w:sz w:val="19"/>
              </w:rPr>
              <w:t>Thalassaemia and haemophilia patients</w:t>
            </w:r>
          </w:p>
        </w:tc>
        <w:tc>
          <w:tcPr>
            <w:tcW w:type="dxa" w:w="4276"/>
            <w:vAlign w:val="top"/>
          </w:tcPr>
          <w:p>
            <w:pPr>
              <w:spacing w:after="60" w:line="259" w:lineRule="auto"/>
            </w:pPr>
            <w:r>
              <w:rPr>
                <w:rFonts w:ascii="Calibri" w:hAnsi="Calibri"/>
                <w:b w:val="0"/>
                <w:i w:val="0"/>
                <w:color w:val="212121"/>
                <w:sz w:val="19"/>
              </w:rPr>
              <w:t>Repeated exposure to blood and blood products, especially before universal donor screening, produced very high infection rates in transfusion-dependent patients.</w:t>
            </w:r>
          </w:p>
          <w:p>
            <w:pPr>
              <w:spacing w:after="40" w:before="60" w:line="259" w:lineRule="auto"/>
            </w:pPr>
            <w:r>
              <w:rPr>
                <w:rFonts w:ascii="Calibri" w:hAnsi="Calibri"/>
                <w:b w:val="0"/>
                <w:i w:val="0"/>
                <w:color w:val="212121"/>
                <w:sz w:val="19"/>
              </w:rPr>
              <w:t>Pooled anti-HCV prevalence among multiply-transfused persons in India is 24.06%.</w:t>
            </w:r>
          </w:p>
          <w:p>
            <w:pPr>
              <w:spacing w:after="40" w:line="252" w:lineRule="auto"/>
            </w:pPr>
            <w:hyperlink r:id="rId11">
              <w:r>
                <w:rPr>
                  <w:rFonts w:ascii="Calibri" w:hAnsi="Calibri" w:cs="Calibri"/>
                  <w:sz w:val="18"/>
                  <w:color w:val="1155CC"/>
                  <w:u w:val="single"/>
                </w:rPr>
                <w:t xml:space="preserve">PubMed — HCV burden in India (meta-analysis)</w:t>
              </w:r>
            </w:hyperlink>
          </w:p>
          <w:p>
            <w:pPr>
              <w:spacing w:before="60" w:after="40"/>
            </w:pPr>
            <w:r>
              <w:rPr>
                <w:rFonts w:ascii="Calibri" w:hAnsi="Calibri"/>
                <w:b w:val="0"/>
                <w:i w:val="0"/>
                <w:color w:val="5A5A5A"/>
                <w:sz w:val="18"/>
              </w:rPr>
              <w:t>#transfusion  #thalassaemia  #haemophilia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w:t>
            </w:r>
          </w:p>
        </w:tc>
        <w:tc>
          <w:tcPr>
            <w:tcW w:type="dxa" w:w="2160"/>
            <w:vAlign w:val="top"/>
          </w:tcPr>
          <w:p>
            <w:pPr>
              <w:spacing w:after="40" w:before="0" w:line="259" w:lineRule="auto"/>
            </w:pPr>
            <w:r>
              <w:rPr>
                <w:rFonts w:ascii="Calibri" w:hAnsi="Calibri"/>
                <w:b w:val="0"/>
                <w:i w:val="0"/>
                <w:color w:val="212121"/>
                <w:sz w:val="19"/>
              </w:rPr>
              <w:t>Patients with insulin resistance / type 2 diabetes</w:t>
            </w:r>
          </w:p>
        </w:tc>
        <w:tc>
          <w:tcPr>
            <w:tcW w:type="dxa" w:w="4276"/>
            <w:vAlign w:val="top"/>
          </w:tcPr>
          <w:p>
            <w:pPr>
              <w:spacing w:after="60" w:line="259" w:lineRule="auto"/>
            </w:pPr>
            <w:r>
              <w:rPr>
                <w:rFonts w:ascii="Calibri" w:hAnsi="Calibri"/>
                <w:b w:val="0"/>
                <w:i w:val="0"/>
                <w:color w:val="212121"/>
                <w:sz w:val="19"/>
              </w:rPr>
              <w:t>HCV interferes with insulin signalling and promotes insulin resistance (bidirectional link); coexisting diabetes accelerates fibrosis and worsens prognosis.</w:t>
            </w:r>
          </w:p>
          <w:p>
            <w:pPr>
              <w:spacing w:after="40" w:before="60" w:line="259" w:lineRule="auto"/>
            </w:pPr>
            <w:r>
              <w:rPr>
                <w:rFonts w:ascii="Calibri" w:hAnsi="Calibri"/>
                <w:b w:val="0"/>
                <w:i w:val="0"/>
                <w:color w:val="212121"/>
                <w:sz w:val="19"/>
              </w:rPr>
              <w:t>Chronic HCV is associated with roughly a 1.7-fold increased risk of developing type 2 diabetes (adjusted OR ~1.68).</w:t>
            </w:r>
          </w:p>
          <w:p>
            <w:pPr>
              <w:spacing w:after="40" w:line="252" w:lineRule="auto"/>
            </w:pPr>
            <w:hyperlink r:id="rId12">
              <w:r>
                <w:rPr>
                  <w:rFonts w:ascii="Calibri" w:hAnsi="Calibri" w:cs="Calibri"/>
                  <w:sz w:val="18"/>
                  <w:color w:val="1155CC"/>
                  <w:u w:val="single"/>
                </w:rPr>
                <w:t xml:space="preserve">PMC — HCV and risk of diabetes (meta-analysis)</w:t>
              </w:r>
            </w:hyperlink>
          </w:p>
          <w:p>
            <w:pPr>
              <w:spacing w:before="60" w:after="40"/>
            </w:pPr>
            <w:r>
              <w:rPr>
                <w:rFonts w:ascii="Calibri" w:hAnsi="Calibri"/>
                <w:b w:val="0"/>
                <w:i w:val="0"/>
                <w:color w:val="5A5A5A"/>
                <w:sz w:val="18"/>
              </w:rPr>
              <w:t>#diabetes  #insulinresistance  #bidirectional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obesity promote hepatic steatosis, insulin resistance and metabolic syndrome, which accelerate fibrosis progression in chronic HCV; regular exercise and weight loss reduce steatosis and portal pressure.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High-calorie, high-fat and iron-rich diets promote steatosis, insulin resistance and oxidative stress that hasten fibrosis, whereas regular coffee intake is associated with slower progression and lower HCC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disturbance and daytime fatigue are common and strongly impair quality of life, but sleep itself is not a primary driver of viral progression; sleep-wake reversal signals hepatic encephalopathy in advanced disease.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(and cannabis) smoking is associated with increased hepatic inflammatory activity, faster fibrosis and a higher risk of hepatocellular carcinoma in HCV.</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synergistically and dose-dependently accelerates fibrosis, cirrhosis and HCC in chronic HCV; even moderate intake is discouraged and abstinence advised.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anxiety and disabling fatigue (fatigue in roughly half of patients) are frequent, arising from neuro-inflammatory viral effects and as a reaction to diagnosis; historically markedly worsened by interferon therapy.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direct role in viral clearance or fibrosis, but fluid and sodium balance become clinically important in decompensated cirrhosis with ascites.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coffee consumption is associated with lower fibrosis progression and reduced HCC risk in observational studies, though the relationship is not proven causal.</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Infection-control hygiene — safe injections, sterile instruments, and not sharing razors, needles or toothbrushes — is central to preventing HCV transmission.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Blood-borne exposure events (needle-stick, unsafe injection, transfusion, relapse to injection drug use) provoke acquisition, while alcohol binges and hepatotoxic drugs can precipitate flares or decompensation.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All HCV patients</w:t>
            </w:r>
          </w:p>
        </w:tc>
        <w:tc>
          <w:tcPr>
            <w:tcW w:type="dxa" w:w="1512"/>
            <w:vAlign w:val="top"/>
          </w:tcPr>
          <w:p>
            <w:pPr>
              <w:spacing w:after="40" w:before="0" w:line="259" w:lineRule="auto"/>
            </w:pPr>
            <w:r>
              <w:rPr>
                <w:rFonts w:ascii="Calibri" w:hAnsi="Calibri"/>
                <w:b w:val="0"/>
                <w:i w:val="0"/>
                <w:color w:val="212121"/>
                <w:sz w:val="19"/>
              </w:rPr>
              <w:t>0 (abstinence)</w:t>
            </w:r>
          </w:p>
        </w:tc>
        <w:tc>
          <w:tcPr>
            <w:tcW w:type="dxa" w:w="1512"/>
            <w:vAlign w:val="top"/>
          </w:tcPr>
          <w:p>
            <w:pPr>
              <w:spacing w:after="40" w:before="0" w:line="259" w:lineRule="auto"/>
            </w:pPr>
            <w:r>
              <w:rPr>
                <w:rFonts w:ascii="Calibri" w:hAnsi="Calibri"/>
                <w:b w:val="0"/>
                <w:i w:val="0"/>
                <w:color w:val="212121"/>
                <w:sz w:val="19"/>
              </w:rPr>
              <w:t>Any regular intake; &gt; 14 drinks/week</w:t>
            </w:r>
          </w:p>
        </w:tc>
        <w:tc>
          <w:tcPr>
            <w:tcW w:type="dxa" w:w="1468"/>
            <w:vAlign w:val="top"/>
          </w:tcPr>
          <w:p>
            <w:pPr>
              <w:spacing w:after="60" w:line="259" w:lineRule="auto"/>
            </w:pPr>
            <w:r>
              <w:rPr>
                <w:rFonts w:ascii="Calibri" w:hAnsi="Calibri"/>
                <w:b w:val="0"/>
                <w:i w:val="0"/>
                <w:color w:val="212121"/>
                <w:sz w:val="19"/>
              </w:rPr>
              <w:t>Synergistically accelerates fibrosis, cirrhosis and HCC</w:t>
            </w:r>
          </w:p>
          <w:p>
            <w:pPr>
              <w:spacing w:after="40" w:line="252" w:lineRule="auto"/>
            </w:pPr>
            <w:hyperlink r:id="rId10">
              <w:r>
                <w:rPr>
                  <w:rFonts w:ascii="Calibri" w:hAnsi="Calibri" w:cs="Calibri"/>
                  <w:sz w:val="18"/>
                  <w:color w:val="1155CC"/>
                  <w:u w:val="single"/>
                </w:rPr>
                <w:t xml:space="preserve">https://pmc.ncbi.nlm.nih.gov/articles/PMC5939344/</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(Asian cut-offs)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(obesity)</w:t>
            </w:r>
          </w:p>
        </w:tc>
        <w:tc>
          <w:tcPr>
            <w:tcW w:type="dxa" w:w="1468"/>
            <w:vAlign w:val="top"/>
          </w:tcPr>
          <w:p>
            <w:pPr>
              <w:spacing w:after="40" w:before="0" w:line="259" w:lineRule="auto"/>
            </w:pPr>
            <w:r>
              <w:rPr>
                <w:rFonts w:ascii="Calibri" w:hAnsi="Calibri"/>
                <w:b w:val="0"/>
                <w:i w:val="0"/>
                <w:color w:val="212121"/>
                <w:sz w:val="19"/>
              </w:rPr>
              <w:t>Overweight/steatosis worsens fibrosis progression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(South Asian)</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40" w:before="0" w:line="259" w:lineRule="auto"/>
            </w:pPr>
            <w:r>
              <w:rPr>
                <w:rFonts w:ascii="Calibri" w:hAnsi="Calibri"/>
                <w:b w:val="0"/>
                <w:i w:val="0"/>
                <w:color w:val="212121"/>
                <w:sz w:val="19"/>
              </w:rPr>
              <w:t>Central adiposity drives insulin resistance and steatosis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Coffee consumption</w:t>
            </w:r>
          </w:p>
        </w:tc>
        <w:tc>
          <w:tcPr>
            <w:tcW w:type="dxa" w:w="1655"/>
            <w:vAlign w:val="top"/>
          </w:tcPr>
          <w:p>
            <w:pPr>
              <w:spacing w:after="40" w:before="0" w:line="259" w:lineRule="auto"/>
            </w:pPr>
            <w:r>
              <w:rPr>
                <w:rFonts w:ascii="Calibri" w:hAnsi="Calibri"/>
                <w:b w:val="0"/>
                <w:i w:val="0"/>
                <w:color w:val="212121"/>
                <w:sz w:val="19"/>
              </w:rPr>
              <w:t>Adults with chronic HCV</w:t>
            </w:r>
          </w:p>
        </w:tc>
        <w:tc>
          <w:tcPr>
            <w:tcW w:type="dxa" w:w="1512"/>
            <w:vAlign w:val="top"/>
          </w:tcPr>
          <w:p>
            <w:pPr>
              <w:spacing w:after="40" w:before="0" w:line="259" w:lineRule="auto"/>
            </w:pPr>
            <w:r>
              <w:rPr>
                <w:rFonts w:ascii="Calibri" w:hAnsi="Calibri"/>
                <w:b w:val="0"/>
                <w:i w:val="0"/>
                <w:color w:val="212121"/>
                <w:sz w:val="19"/>
              </w:rPr>
              <w:t>≥ 2–3 cups/day</w:t>
            </w:r>
          </w:p>
        </w:tc>
        <w:tc>
          <w:tcPr>
            <w:tcW w:type="dxa" w:w="1512"/>
            <w:vAlign w:val="top"/>
          </w:tcPr>
          <w:p>
            <w:pPr>
              <w:spacing w:after="40" w:before="0" w:line="259" w:lineRule="auto"/>
            </w:pPr>
            <w:r>
              <w:rPr>
                <w:rFonts w:ascii="Calibri" w:hAnsi="Calibri"/>
                <w:b w:val="0"/>
                <w:i w:val="0"/>
                <w:color w:val="212121"/>
                <w:sz w:val="19"/>
              </w:rPr>
              <w:t>None (protective association)</w:t>
            </w:r>
          </w:p>
        </w:tc>
        <w:tc>
          <w:tcPr>
            <w:tcW w:type="dxa" w:w="1468"/>
            <w:vAlign w:val="top"/>
          </w:tcPr>
          <w:p>
            <w:pPr>
              <w:spacing w:after="40" w:before="0" w:line="259" w:lineRule="auto"/>
            </w:pPr>
            <w:r>
              <w:rPr>
                <w:rFonts w:ascii="Calibri" w:hAnsi="Calibri"/>
                <w:b w:val="0"/>
                <w:i w:val="0"/>
                <w:color w:val="212121"/>
                <w:sz w:val="19"/>
              </w:rPr>
              <w:t>Associated with slower fibrosis and lower HCC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Increases inflammatory activity and HCC risk</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depression score</w:t>
            </w:r>
          </w:p>
        </w:tc>
        <w:tc>
          <w:tcPr>
            <w:tcW w:type="dxa" w:w="1655"/>
            <w:vAlign w:val="top"/>
          </w:tcPr>
          <w:p>
            <w:pPr>
              <w:spacing w:after="40" w:before="0" w:line="259" w:lineRule="auto"/>
            </w:pPr>
            <w:r>
              <w:rPr>
                <w:rFonts w:ascii="Calibri" w:hAnsi="Calibri"/>
                <w:b w:val="0"/>
                <w:i w:val="0"/>
                <w:color w:val="212121"/>
                <w:sz w:val="19"/>
              </w:rPr>
              <w:t>Adults with chronic HCV</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(moderate–severe)</w:t>
            </w:r>
          </w:p>
        </w:tc>
        <w:tc>
          <w:tcPr>
            <w:tcW w:type="dxa" w:w="1468"/>
            <w:vAlign w:val="top"/>
          </w:tcPr>
          <w:p>
            <w:pPr>
              <w:spacing w:after="60" w:line="259" w:lineRule="auto"/>
            </w:pPr>
            <w:r>
              <w:rPr>
                <w:rFonts w:ascii="Calibri" w:hAnsi="Calibri"/>
                <w:b w:val="0"/>
                <w:i w:val="0"/>
                <w:color w:val="212121"/>
                <w:sz w:val="19"/>
              </w:rPr>
              <w:t>Screen and treat depression; historically worsened by interferon</w:t>
            </w:r>
          </w:p>
          <w:p>
            <w:pPr>
              <w:spacing w:after="40" w:line="252" w:lineRule="auto"/>
            </w:pPr>
            <w:hyperlink r:id="rId13">
              <w:r>
                <w:rPr>
                  <w:rFonts w:ascii="Calibri" w:hAnsi="Calibri" w:cs="Calibri"/>
                  <w:sz w:val="18"/>
                  <w:color w:val="1155CC"/>
                  <w:u w:val="single"/>
                </w:rPr>
                <w:t xml:space="preserve">https://brieflands.com/journals/hepatmon/articles/15234</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Sharing of injecting/sharp equipment</w:t>
            </w:r>
          </w:p>
        </w:tc>
        <w:tc>
          <w:tcPr>
            <w:tcW w:type="dxa" w:w="1655"/>
            <w:vAlign w:val="top"/>
          </w:tcPr>
          <w:p>
            <w:pPr>
              <w:spacing w:after="40" w:before="0" w:line="259" w:lineRule="auto"/>
            </w:pPr>
            <w:r>
              <w:rPr>
                <w:rFonts w:ascii="Calibri" w:hAnsi="Calibri"/>
                <w:b w:val="0"/>
                <w:i w:val="0"/>
                <w:color w:val="212121"/>
                <w:sz w:val="19"/>
              </w:rPr>
              <w:t>PWID, household contacts</w:t>
            </w:r>
          </w:p>
        </w:tc>
        <w:tc>
          <w:tcPr>
            <w:tcW w:type="dxa" w:w="1512"/>
            <w:vAlign w:val="top"/>
          </w:tcPr>
          <w:p>
            <w:pPr>
              <w:spacing w:after="40" w:before="0" w:line="259" w:lineRule="auto"/>
            </w:pPr>
            <w:r>
              <w:rPr>
                <w:rFonts w:ascii="Calibri" w:hAnsi="Calibri"/>
                <w:b w:val="0"/>
                <w:i w:val="0"/>
                <w:color w:val="212121"/>
                <w:sz w:val="19"/>
              </w:rPr>
              <w:t>No sharing</w:t>
            </w:r>
          </w:p>
        </w:tc>
        <w:tc>
          <w:tcPr>
            <w:tcW w:type="dxa" w:w="1512"/>
            <w:vAlign w:val="top"/>
          </w:tcPr>
          <w:p>
            <w:pPr>
              <w:spacing w:after="40" w:before="0" w:line="259" w:lineRule="auto"/>
            </w:pPr>
            <w:r>
              <w:rPr>
                <w:rFonts w:ascii="Calibri" w:hAnsi="Calibri"/>
                <w:b w:val="0"/>
                <w:i w:val="0"/>
                <w:color w:val="212121"/>
                <w:sz w:val="19"/>
              </w:rPr>
              <w:t>Any sharing of needles, razors, blades</w:t>
            </w:r>
          </w:p>
        </w:tc>
        <w:tc>
          <w:tcPr>
            <w:tcW w:type="dxa" w:w="1468"/>
            <w:vAlign w:val="top"/>
          </w:tcPr>
          <w:p>
            <w:pPr>
              <w:spacing w:after="40" w:before="0" w:line="259" w:lineRule="auto"/>
            </w:pPr>
            <w:r>
              <w:rPr>
                <w:rFonts w:ascii="Calibri" w:hAnsi="Calibri"/>
                <w:b w:val="0"/>
                <w:i w:val="0"/>
                <w:color w:val="212121"/>
                <w:sz w:val="19"/>
              </w:rPr>
              <w:t>Principal modifiable route of transmission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ALT</w:t>
            </w:r>
          </w:p>
        </w:tc>
        <w:tc>
          <w:tcPr>
            <w:tcW w:type="dxa" w:w="1655"/>
            <w:vAlign w:val="top"/>
          </w:tcPr>
          <w:p>
            <w:pPr>
              <w:spacing w:after="40" w:before="0" w:line="259" w:lineRule="auto"/>
            </w:pPr>
            <w:r>
              <w:rPr>
                <w:rFonts w:ascii="Calibri" w:hAnsi="Calibri"/>
                <w:b w:val="0"/>
                <w:i w:val="0"/>
                <w:color w:val="212121"/>
                <w:sz w:val="19"/>
              </w:rPr>
              <w:t>Adults with chronic HCV</w:t>
            </w:r>
          </w:p>
        </w:tc>
        <w:tc>
          <w:tcPr>
            <w:tcW w:type="dxa" w:w="1512"/>
            <w:vAlign w:val="top"/>
          </w:tcPr>
          <w:p>
            <w:pPr>
              <w:spacing w:after="40" w:before="0" w:line="259" w:lineRule="auto"/>
            </w:pPr>
            <w:r>
              <w:rPr>
                <w:rFonts w:ascii="Calibri" w:hAnsi="Calibri"/>
                <w:b w:val="0"/>
                <w:i w:val="0"/>
                <w:color w:val="212121"/>
                <w:sz w:val="19"/>
              </w:rPr>
              <w:t>≤ 40 U/L</w:t>
            </w:r>
          </w:p>
        </w:tc>
        <w:tc>
          <w:tcPr>
            <w:tcW w:type="dxa" w:w="1512"/>
            <w:vAlign w:val="top"/>
          </w:tcPr>
          <w:p>
            <w:pPr>
              <w:spacing w:after="40" w:before="0" w:line="259" w:lineRule="auto"/>
            </w:pPr>
            <w:r>
              <w:rPr>
                <w:rFonts w:ascii="Calibri" w:hAnsi="Calibri"/>
                <w:b w:val="0"/>
                <w:i w:val="0"/>
                <w:color w:val="212121"/>
                <w:sz w:val="19"/>
              </w:rPr>
              <w:t>Persistently elevated</w:t>
            </w:r>
          </w:p>
        </w:tc>
        <w:tc>
          <w:tcPr>
            <w:tcW w:type="dxa" w:w="1468"/>
            <w:vAlign w:val="top"/>
          </w:tcPr>
          <w:p>
            <w:pPr>
              <w:spacing w:after="60" w:line="259" w:lineRule="auto"/>
            </w:pPr>
            <w:r>
              <w:rPr>
                <w:rFonts w:ascii="Calibri" w:hAnsi="Calibri"/>
                <w:b w:val="0"/>
                <w:i w:val="0"/>
                <w:color w:val="212121"/>
                <w:sz w:val="19"/>
              </w:rPr>
              <w:t>Reflects necro-inflammation; can be normal despite active disease</w:t>
            </w:r>
          </w:p>
          <w:p>
            <w:pPr>
              <w:spacing w:after="40" w:line="252" w:lineRule="auto"/>
            </w:pPr>
            <w:hyperlink r:id="rId14">
              <w:r>
                <w:rPr>
                  <w:rFonts w:ascii="Calibri" w:hAnsi="Calibri" w:cs="Calibri"/>
                  <w:sz w:val="18"/>
                  <w:color w:val="1155CC"/>
                  <w:u w:val="single"/>
                </w:rPr>
                <w:t xml:space="preserve">https://www.aafp.org/pubs/afp/issues/2021/1200/p626.html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HCV RNA (viral load)</w:t>
            </w:r>
          </w:p>
        </w:tc>
        <w:tc>
          <w:tcPr>
            <w:tcW w:type="dxa" w:w="1655"/>
            <w:vAlign w:val="top"/>
          </w:tcPr>
          <w:p>
            <w:pPr>
              <w:spacing w:after="40" w:before="0" w:line="259" w:lineRule="auto"/>
            </w:pPr>
            <w:r>
              <w:rPr>
                <w:rFonts w:ascii="Calibri" w:hAnsi="Calibri"/>
                <w:b w:val="0"/>
                <w:i w:val="0"/>
                <w:color w:val="212121"/>
                <w:sz w:val="19"/>
              </w:rPr>
              <w:t>All exposed persons</w:t>
            </w:r>
          </w:p>
        </w:tc>
        <w:tc>
          <w:tcPr>
            <w:tcW w:type="dxa" w:w="1512"/>
            <w:vAlign w:val="top"/>
          </w:tcPr>
          <w:p>
            <w:pPr>
              <w:spacing w:after="40" w:before="0" w:line="259" w:lineRule="auto"/>
            </w:pPr>
            <w:r>
              <w:rPr>
                <w:rFonts w:ascii="Calibri" w:hAnsi="Calibri"/>
                <w:b w:val="0"/>
                <w:i w:val="0"/>
                <w:color w:val="212121"/>
                <w:sz w:val="19"/>
              </w:rPr>
              <w:t>Undetectable (cure/SVR)</w:t>
            </w:r>
          </w:p>
        </w:tc>
        <w:tc>
          <w:tcPr>
            <w:tcW w:type="dxa" w:w="1512"/>
            <w:vAlign w:val="top"/>
          </w:tcPr>
          <w:p>
            <w:pPr>
              <w:spacing w:after="40" w:before="0" w:line="259" w:lineRule="auto"/>
            </w:pPr>
            <w:r>
              <w:rPr>
                <w:rFonts w:ascii="Calibri" w:hAnsi="Calibri"/>
                <w:b w:val="0"/>
                <w:i w:val="0"/>
                <w:color w:val="212121"/>
                <w:sz w:val="19"/>
              </w:rPr>
              <w:t>Detectable &gt; 6 months</w:t>
            </w:r>
          </w:p>
        </w:tc>
        <w:tc>
          <w:tcPr>
            <w:tcW w:type="dxa" w:w="1468"/>
            <w:vAlign w:val="top"/>
          </w:tcPr>
          <w:p>
            <w:pPr>
              <w:spacing w:after="60" w:line="259" w:lineRule="auto"/>
            </w:pPr>
            <w:r>
              <w:rPr>
                <w:rFonts w:ascii="Calibri" w:hAnsi="Calibri"/>
                <w:b w:val="0"/>
                <w:i w:val="0"/>
                <w:color w:val="212121"/>
                <w:sz w:val="19"/>
              </w:rPr>
              <w:t>Defines chronic active infection</w:t>
            </w:r>
          </w:p>
          <w:p>
            <w:pPr>
              <w:spacing w:after="40" w:line="252" w:lineRule="auto"/>
            </w:pPr>
            <w:hyperlink r:id="rId14">
              <w:r>
                <w:rPr>
                  <w:rFonts w:ascii="Calibri" w:hAnsi="Calibri" w:cs="Calibri"/>
                  <w:sz w:val="18"/>
                  <w:color w:val="1155CC"/>
                  <w:u w:val="single"/>
                </w:rPr>
                <w:t xml:space="preserve">https://www.aafp.org/pubs/afp/issues/2021/1200/p626.html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APRI (AST-to-platelet ratio)</w:t>
            </w:r>
          </w:p>
        </w:tc>
        <w:tc>
          <w:tcPr>
            <w:tcW w:type="dxa" w:w="1655"/>
            <w:vAlign w:val="top"/>
          </w:tcPr>
          <w:p>
            <w:pPr>
              <w:spacing w:after="40" w:before="0" w:line="259" w:lineRule="auto"/>
            </w:pPr>
            <w:r>
              <w:rPr>
                <w:rFonts w:ascii="Calibri" w:hAnsi="Calibri"/>
                <w:b w:val="0"/>
                <w:i w:val="0"/>
                <w:color w:val="212121"/>
                <w:sz w:val="19"/>
              </w:rPr>
              <w:t>Adults with chronic HCV</w:t>
            </w:r>
          </w:p>
        </w:tc>
        <w:tc>
          <w:tcPr>
            <w:tcW w:type="dxa" w:w="1512"/>
            <w:vAlign w:val="top"/>
          </w:tcPr>
          <w:p>
            <w:pPr>
              <w:spacing w:after="40" w:before="0" w:line="259" w:lineRule="auto"/>
            </w:pPr>
            <w:r>
              <w:rPr>
                <w:rFonts w:ascii="Calibri" w:hAnsi="Calibri"/>
                <w:b w:val="0"/>
                <w:i w:val="0"/>
                <w:color w:val="212121"/>
                <w:sz w:val="19"/>
              </w:rPr>
              <w:t>&lt; 0.5</w:t>
            </w:r>
          </w:p>
        </w:tc>
        <w:tc>
          <w:tcPr>
            <w:tcW w:type="dxa" w:w="1512"/>
            <w:vAlign w:val="top"/>
          </w:tcPr>
          <w:p>
            <w:pPr>
              <w:spacing w:after="40" w:before="0" w:line="259" w:lineRule="auto"/>
            </w:pPr>
            <w:r>
              <w:rPr>
                <w:rFonts w:ascii="Calibri" w:hAnsi="Calibri"/>
                <w:b w:val="0"/>
                <w:i w:val="0"/>
                <w:color w:val="212121"/>
                <w:sz w:val="19"/>
              </w:rPr>
              <w:t>≥ 1.0 (advanced fibrosis)</w:t>
            </w:r>
          </w:p>
        </w:tc>
        <w:tc>
          <w:tcPr>
            <w:tcW w:type="dxa" w:w="1468"/>
            <w:vAlign w:val="top"/>
          </w:tcPr>
          <w:p>
            <w:pPr>
              <w:spacing w:after="60" w:line="259" w:lineRule="auto"/>
            </w:pPr>
            <w:r>
              <w:rPr>
                <w:rFonts w:ascii="Calibri" w:hAnsi="Calibri"/>
                <w:b w:val="0"/>
                <w:i w:val="0"/>
                <w:color w:val="212121"/>
                <w:sz w:val="19"/>
              </w:rPr>
              <w:t>Non-invasive marker of significant fibrosis/cirrhosis</w:t>
            </w:r>
          </w:p>
          <w:p>
            <w:pPr>
              <w:spacing w:after="40" w:line="252" w:lineRule="auto"/>
            </w:pPr>
            <w:hyperlink r:id="rId14">
              <w:r>
                <w:rPr>
                  <w:rFonts w:ascii="Calibri" w:hAnsi="Calibri" w:cs="Calibri"/>
                  <w:sz w:val="18"/>
                  <w:color w:val="1155CC"/>
                  <w:u w:val="single"/>
                </w:rPr>
                <w:t xml:space="preserve">https://www.aafp.org/pubs/afp/issues/2021/1200/p626.html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Transient elastography</w:t>
            </w:r>
          </w:p>
        </w:tc>
        <w:tc>
          <w:tcPr>
            <w:tcW w:type="dxa" w:w="1655"/>
            <w:vAlign w:val="top"/>
          </w:tcPr>
          <w:p>
            <w:pPr>
              <w:spacing w:after="40" w:before="0" w:line="259" w:lineRule="auto"/>
            </w:pPr>
            <w:r>
              <w:rPr>
                <w:rFonts w:ascii="Calibri" w:hAnsi="Calibri"/>
                <w:b w:val="0"/>
                <w:i w:val="0"/>
                <w:color w:val="212121"/>
                <w:sz w:val="19"/>
              </w:rPr>
              <w:t>Adults with chronic HCV</w:t>
            </w:r>
          </w:p>
        </w:tc>
        <w:tc>
          <w:tcPr>
            <w:tcW w:type="dxa" w:w="1512"/>
            <w:vAlign w:val="top"/>
          </w:tcPr>
          <w:p>
            <w:pPr>
              <w:spacing w:after="40" w:before="0" w:line="259" w:lineRule="auto"/>
            </w:pPr>
            <w:r>
              <w:rPr>
                <w:rFonts w:ascii="Calibri" w:hAnsi="Calibri"/>
                <w:b w:val="0"/>
                <w:i w:val="0"/>
                <w:color w:val="212121"/>
                <w:sz w:val="19"/>
              </w:rPr>
              <w:t>&lt; 7 kPa</w:t>
            </w:r>
          </w:p>
        </w:tc>
        <w:tc>
          <w:tcPr>
            <w:tcW w:type="dxa" w:w="1512"/>
            <w:vAlign w:val="top"/>
          </w:tcPr>
          <w:p>
            <w:pPr>
              <w:spacing w:after="40" w:before="0" w:line="259" w:lineRule="auto"/>
            </w:pPr>
            <w:r>
              <w:rPr>
                <w:rFonts w:ascii="Calibri" w:hAnsi="Calibri"/>
                <w:b w:val="0"/>
                <w:i w:val="0"/>
                <w:color w:val="212121"/>
                <w:sz w:val="19"/>
              </w:rPr>
              <w:t>&gt; 12.5 kPa (cirrhosis)</w:t>
            </w:r>
          </w:p>
        </w:tc>
        <w:tc>
          <w:tcPr>
            <w:tcW w:type="dxa" w:w="1468"/>
            <w:vAlign w:val="top"/>
          </w:tcPr>
          <w:p>
            <w:pPr>
              <w:spacing w:after="60" w:line="259" w:lineRule="auto"/>
            </w:pPr>
            <w:r>
              <w:rPr>
                <w:rFonts w:ascii="Calibri" w:hAnsi="Calibri"/>
                <w:b w:val="0"/>
                <w:i w:val="0"/>
                <w:color w:val="212121"/>
                <w:sz w:val="19"/>
              </w:rPr>
              <w:t>FibroScan stages fibrosis and cirrhosis non-invasively</w:t>
            </w:r>
          </w:p>
          <w:p>
            <w:pPr>
              <w:spacing w:after="40" w:line="252" w:lineRule="auto"/>
            </w:pPr>
            <w:hyperlink r:id="rId14">
              <w:r>
                <w:rPr>
                  <w:rFonts w:ascii="Calibri" w:hAnsi="Calibri" w:cs="Calibri"/>
                  <w:sz w:val="18"/>
                  <w:color w:val="1155CC"/>
                  <w:u w:val="single"/>
                </w:rPr>
                <w:t xml:space="preserve">https://www.aafp.org/pubs/afp/issues/2021/1200/p626.html</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Anti-HCV antibody</w:t>
            </w:r>
          </w:p>
        </w:tc>
        <w:tc>
          <w:tcPr>
            <w:tcW w:type="dxa" w:w="892"/>
            <w:vAlign w:val="top"/>
          </w:tcPr>
          <w:p>
            <w:pPr>
              <w:spacing w:after="40" w:before="0" w:line="259" w:lineRule="auto"/>
            </w:pPr>
            <w:r>
              <w:rPr>
                <w:rFonts w:ascii="Calibri" w:hAnsi="Calibri"/>
                <w:b w:val="0"/>
                <w:i w:val="0"/>
                <w:color w:val="212121"/>
                <w:sz w:val="16"/>
              </w:rPr>
              <w:t>Third-generation immunoassay</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Indicates HCV exposure; requires RNA confirmation of active infection</w:t>
            </w:r>
          </w:p>
        </w:tc>
        <w:tc>
          <w:tcPr>
            <w:tcW w:type="dxa" w:w="1036"/>
            <w:vAlign w:val="top"/>
          </w:tcPr>
          <w:p>
            <w:pPr>
              <w:spacing w:after="40" w:before="0" w:line="259" w:lineRule="auto"/>
            </w:pPr>
            <w:r>
              <w:rPr>
                <w:rFonts w:ascii="Calibri" w:hAnsi="Calibri"/>
                <w:b w:val="0"/>
                <w:i w:val="0"/>
                <w:color w:val="212121"/>
                <w:sz w:val="16"/>
              </w:rPr>
              <w:t>All adults (≥ 18y) once; high-risk groups periodically</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~99% sensitivity/specificity; may remain positive after cure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HCV RNA (quantitative PCR)</w:t>
            </w:r>
          </w:p>
        </w:tc>
        <w:tc>
          <w:tcPr>
            <w:tcW w:type="dxa" w:w="892"/>
            <w:vAlign w:val="top"/>
          </w:tcPr>
          <w:p>
            <w:pPr>
              <w:spacing w:after="40" w:before="0" w:line="259" w:lineRule="auto"/>
            </w:pPr>
            <w:r>
              <w:rPr>
                <w:rFonts w:ascii="Calibri" w:hAnsi="Calibri"/>
                <w:b w:val="0"/>
                <w:i w:val="0"/>
                <w:color w:val="212121"/>
                <w:sz w:val="16"/>
              </w:rPr>
              <w:t>Nucleic acid test</w:t>
            </w:r>
          </w:p>
        </w:tc>
        <w:tc>
          <w:tcPr>
            <w:tcW w:type="dxa" w:w="950"/>
            <w:vAlign w:val="top"/>
          </w:tcPr>
          <w:p>
            <w:pPr>
              <w:spacing w:after="40" w:before="0" w:line="259" w:lineRule="auto"/>
            </w:pPr>
            <w:r>
              <w:rPr>
                <w:rFonts w:ascii="Calibri" w:hAnsi="Calibri"/>
                <w:b w:val="0"/>
                <w:i w:val="0"/>
                <w:color w:val="212121"/>
                <w:sz w:val="16"/>
              </w:rPr>
              <w:t>Undetectable</w:t>
            </w:r>
          </w:p>
        </w:tc>
        <w:tc>
          <w:tcPr>
            <w:tcW w:type="dxa" w:w="950"/>
            <w:vAlign w:val="top"/>
          </w:tcPr>
          <w:p>
            <w:pPr>
              <w:spacing w:after="40" w:before="0" w:line="259" w:lineRule="auto"/>
            </w:pPr>
            <w:r>
              <w:rPr>
                <w:rFonts w:ascii="Calibri" w:hAnsi="Calibri"/>
                <w:b w:val="0"/>
                <w:i w:val="0"/>
                <w:color w:val="212121"/>
                <w:sz w:val="16"/>
              </w:rPr>
              <w:t>Detectable</w:t>
            </w:r>
          </w:p>
        </w:tc>
        <w:tc>
          <w:tcPr>
            <w:tcW w:type="dxa" w:w="1036"/>
            <w:vAlign w:val="top"/>
          </w:tcPr>
          <w:p>
            <w:pPr>
              <w:spacing w:after="40" w:before="0" w:line="259" w:lineRule="auto"/>
            </w:pPr>
            <w:r>
              <w:rPr>
                <w:rFonts w:ascii="Calibri" w:hAnsi="Calibri"/>
                <w:b w:val="0"/>
                <w:i w:val="0"/>
                <w:color w:val="212121"/>
                <w:sz w:val="16"/>
              </w:rPr>
              <w:t>Confirms active infection; persistence &gt; 6 months defines chronicity</w:t>
            </w:r>
          </w:p>
        </w:tc>
        <w:tc>
          <w:tcPr>
            <w:tcW w:type="dxa" w:w="1036"/>
            <w:vAlign w:val="top"/>
          </w:tcPr>
          <w:p>
            <w:pPr>
              <w:spacing w:after="40" w:before="0" w:line="259" w:lineRule="auto"/>
            </w:pPr>
            <w:r>
              <w:rPr>
                <w:rFonts w:ascii="Calibri" w:hAnsi="Calibri"/>
                <w:b w:val="0"/>
                <w:i w:val="0"/>
                <w:color w:val="212121"/>
                <w:sz w:val="16"/>
              </w:rPr>
              <w:t>Anti-HCV-reactive persons; post-treatment SVR check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Undetectable at 12 weeks post-therapy = cure (SVR12)</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HCV genotype/subtype</w:t>
            </w:r>
          </w:p>
        </w:tc>
        <w:tc>
          <w:tcPr>
            <w:tcW w:type="dxa" w:w="892"/>
            <w:vAlign w:val="top"/>
          </w:tcPr>
          <w:p>
            <w:pPr>
              <w:spacing w:after="40" w:before="0" w:line="259" w:lineRule="auto"/>
            </w:pPr>
            <w:r>
              <w:rPr>
                <w:rFonts w:ascii="Calibri" w:hAnsi="Calibri"/>
                <w:b w:val="0"/>
                <w:i w:val="0"/>
                <w:color w:val="212121"/>
                <w:sz w:val="16"/>
              </w:rPr>
              <w:t>Genotyping assay</w:t>
            </w:r>
          </w:p>
        </w:tc>
        <w:tc>
          <w:tcPr>
            <w:tcW w:type="dxa" w:w="950"/>
            <w:vAlign w:val="top"/>
          </w:tcPr>
          <w:p>
            <w:pPr>
              <w:spacing w:after="40" w:before="0" w:line="259" w:lineRule="auto"/>
            </w:pPr>
            <w:r>
              <w:rPr>
                <w:rFonts w:ascii="Calibri" w:hAnsi="Calibri"/>
                <w:b w:val="0"/>
                <w:i w:val="0"/>
                <w:color w:val="212121"/>
                <w:sz w:val="16"/>
              </w:rPr>
              <w:t>Not applicable</w:t>
            </w:r>
          </w:p>
        </w:tc>
        <w:tc>
          <w:tcPr>
            <w:tcW w:type="dxa" w:w="950"/>
            <w:vAlign w:val="top"/>
          </w:tcPr>
          <w:p>
            <w:pPr>
              <w:spacing w:after="40" w:before="0" w:line="259" w:lineRule="auto"/>
            </w:pPr>
            <w:r>
              <w:rPr>
                <w:rFonts w:ascii="Calibri" w:hAnsi="Calibri"/>
                <w:b w:val="0"/>
                <w:i w:val="0"/>
                <w:color w:val="212121"/>
                <w:sz w:val="16"/>
              </w:rPr>
              <w:t>Genotype 1–6 identified</w:t>
            </w:r>
          </w:p>
        </w:tc>
        <w:tc>
          <w:tcPr>
            <w:tcW w:type="dxa" w:w="1036"/>
            <w:vAlign w:val="top"/>
          </w:tcPr>
          <w:p>
            <w:pPr>
              <w:spacing w:after="40" w:before="0" w:line="259" w:lineRule="auto"/>
            </w:pPr>
            <w:r>
              <w:rPr>
                <w:rFonts w:ascii="Calibri" w:hAnsi="Calibri"/>
                <w:b w:val="0"/>
                <w:i w:val="0"/>
                <w:color w:val="212121"/>
                <w:sz w:val="16"/>
              </w:rPr>
              <w:t>Guides DAA regimen and duration; genotype 3 predominates in India</w:t>
            </w:r>
          </w:p>
        </w:tc>
        <w:tc>
          <w:tcPr>
            <w:tcW w:type="dxa" w:w="1036"/>
            <w:vAlign w:val="top"/>
          </w:tcPr>
          <w:p>
            <w:pPr>
              <w:spacing w:after="40" w:before="0" w:line="259" w:lineRule="auto"/>
            </w:pPr>
            <w:r>
              <w:rPr>
                <w:rFonts w:ascii="Calibri" w:hAnsi="Calibri"/>
                <w:b w:val="0"/>
                <w:i w:val="0"/>
                <w:color w:val="212121"/>
                <w:sz w:val="16"/>
              </w:rPr>
              <w:t>RNA-positive patients before treatment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Pan-genotypic regimens reduce reliance on genotyping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 (ALT/AST, bilirubin, albumin, INR)</w:t>
            </w:r>
          </w:p>
        </w:tc>
        <w:tc>
          <w:tcPr>
            <w:tcW w:type="dxa" w:w="892"/>
            <w:vAlign w:val="top"/>
          </w:tcPr>
          <w:p>
            <w:pPr>
              <w:spacing w:after="40" w:before="0" w:line="259" w:lineRule="auto"/>
            </w:pPr>
            <w:r>
              <w:rPr>
                <w:rFonts w:ascii="Calibri" w:hAnsi="Calibri"/>
                <w:b w:val="0"/>
                <w:i w:val="0"/>
                <w:color w:val="212121"/>
                <w:sz w:val="16"/>
              </w:rPr>
              <w:t>Liver panel</w:t>
            </w:r>
          </w:p>
        </w:tc>
        <w:tc>
          <w:tcPr>
            <w:tcW w:type="dxa" w:w="950"/>
            <w:vAlign w:val="top"/>
          </w:tcPr>
          <w:p>
            <w:pPr>
              <w:spacing w:after="40" w:before="0" w:line="259" w:lineRule="auto"/>
            </w:pPr>
            <w:r>
              <w:rPr>
                <w:rFonts w:ascii="Calibri" w:hAnsi="Calibri"/>
                <w:b w:val="0"/>
                <w:i w:val="0"/>
                <w:color w:val="212121"/>
                <w:sz w:val="16"/>
              </w:rPr>
              <w:t>ALT ≤ 40 U/L; normal bilirubin/albumin/INR</w:t>
            </w:r>
          </w:p>
        </w:tc>
        <w:tc>
          <w:tcPr>
            <w:tcW w:type="dxa" w:w="950"/>
            <w:vAlign w:val="top"/>
          </w:tcPr>
          <w:p>
            <w:pPr>
              <w:spacing w:after="40" w:before="0" w:line="259" w:lineRule="auto"/>
            </w:pPr>
            <w:r>
              <w:rPr>
                <w:rFonts w:ascii="Calibri" w:hAnsi="Calibri"/>
                <w:b w:val="0"/>
                <w:i w:val="0"/>
                <w:color w:val="212121"/>
                <w:sz w:val="16"/>
              </w:rPr>
              <w:t>Raised transaminases; low albumin; high bilirubin/INR</w:t>
            </w:r>
          </w:p>
        </w:tc>
        <w:tc>
          <w:tcPr>
            <w:tcW w:type="dxa" w:w="1036"/>
            <w:vAlign w:val="top"/>
          </w:tcPr>
          <w:p>
            <w:pPr>
              <w:spacing w:after="40" w:before="0" w:line="259" w:lineRule="auto"/>
            </w:pPr>
            <w:r>
              <w:rPr>
                <w:rFonts w:ascii="Calibri" w:hAnsi="Calibri"/>
                <w:b w:val="0"/>
                <w:i w:val="0"/>
                <w:color w:val="212121"/>
                <w:sz w:val="16"/>
              </w:rPr>
              <w:t>Assesses necro-inflammation and synthetic function</w:t>
            </w:r>
          </w:p>
        </w:tc>
        <w:tc>
          <w:tcPr>
            <w:tcW w:type="dxa" w:w="1036"/>
            <w:vAlign w:val="top"/>
          </w:tcPr>
          <w:p>
            <w:pPr>
              <w:spacing w:after="40" w:before="0" w:line="259" w:lineRule="auto"/>
            </w:pPr>
            <w:r>
              <w:rPr>
                <w:rFonts w:ascii="Calibri" w:hAnsi="Calibri"/>
                <w:b w:val="0"/>
                <w:i w:val="0"/>
                <w:color w:val="212121"/>
                <w:sz w:val="16"/>
              </w:rPr>
              <w:t>All chronic HCV patients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Baseline &amp; monitoring</w:t>
            </w:r>
          </w:p>
        </w:tc>
        <w:tc>
          <w:tcPr>
            <w:tcW w:type="dxa" w:w="720"/>
            <w:vAlign w:val="top"/>
          </w:tcPr>
          <w:p>
            <w:pPr>
              <w:spacing w:after="40" w:before="0" w:line="259" w:lineRule="auto"/>
            </w:pPr>
            <w:r>
              <w:rPr>
                <w:rFonts w:ascii="Calibri" w:hAnsi="Calibri"/>
                <w:b w:val="0"/>
                <w:i w:val="0"/>
                <w:color w:val="212121"/>
                <w:sz w:val="16"/>
              </w:rPr>
              <w:t>Transaminases fluctuate and may be normal despite active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Fibrosis assessment</w:t>
            </w:r>
          </w:p>
        </w:tc>
        <w:tc>
          <w:tcPr>
            <w:tcW w:type="dxa" w:w="1036"/>
            <w:vAlign w:val="top"/>
          </w:tcPr>
          <w:p>
            <w:pPr>
              <w:spacing w:after="40" w:before="0" w:line="259" w:lineRule="auto"/>
            </w:pPr>
            <w:r>
              <w:rPr>
                <w:rFonts w:ascii="Calibri" w:hAnsi="Calibri"/>
                <w:b w:val="0"/>
                <w:i w:val="0"/>
                <w:color w:val="212121"/>
                <w:sz w:val="16"/>
              </w:rPr>
              <w:t>APRI / FIB-4</w:t>
            </w:r>
          </w:p>
        </w:tc>
        <w:tc>
          <w:tcPr>
            <w:tcW w:type="dxa" w:w="892"/>
            <w:vAlign w:val="top"/>
          </w:tcPr>
          <w:p>
            <w:pPr>
              <w:spacing w:after="40" w:before="0" w:line="259" w:lineRule="auto"/>
            </w:pPr>
            <w:r>
              <w:rPr>
                <w:rFonts w:ascii="Calibri" w:hAnsi="Calibri"/>
                <w:b w:val="0"/>
                <w:i w:val="0"/>
                <w:color w:val="212121"/>
                <w:sz w:val="16"/>
              </w:rPr>
              <w:t>Non-invasive fibrosis score</w:t>
            </w:r>
          </w:p>
        </w:tc>
        <w:tc>
          <w:tcPr>
            <w:tcW w:type="dxa" w:w="950"/>
            <w:vAlign w:val="top"/>
          </w:tcPr>
          <w:p>
            <w:pPr>
              <w:spacing w:after="40" w:before="0" w:line="259" w:lineRule="auto"/>
            </w:pPr>
            <w:r>
              <w:rPr>
                <w:rFonts w:ascii="Calibri" w:hAnsi="Calibri"/>
                <w:b w:val="0"/>
                <w:i w:val="0"/>
                <w:color w:val="212121"/>
                <w:sz w:val="16"/>
              </w:rPr>
              <w:t>APRI &lt; 0.5; FIB-4 &lt; 1.45</w:t>
            </w:r>
          </w:p>
        </w:tc>
        <w:tc>
          <w:tcPr>
            <w:tcW w:type="dxa" w:w="950"/>
            <w:vAlign w:val="top"/>
          </w:tcPr>
          <w:p>
            <w:pPr>
              <w:spacing w:after="40" w:before="0" w:line="259" w:lineRule="auto"/>
            </w:pPr>
            <w:r>
              <w:rPr>
                <w:rFonts w:ascii="Calibri" w:hAnsi="Calibri"/>
                <w:b w:val="0"/>
                <w:i w:val="0"/>
                <w:color w:val="212121"/>
                <w:sz w:val="16"/>
              </w:rPr>
              <w:t>APRI ≥ 1.0; FIB-4 &gt; 3.25</w:t>
            </w:r>
          </w:p>
        </w:tc>
        <w:tc>
          <w:tcPr>
            <w:tcW w:type="dxa" w:w="1036"/>
            <w:vAlign w:val="top"/>
          </w:tcPr>
          <w:p>
            <w:pPr>
              <w:spacing w:after="40" w:before="0" w:line="259" w:lineRule="auto"/>
            </w:pPr>
            <w:r>
              <w:rPr>
                <w:rFonts w:ascii="Calibri" w:hAnsi="Calibri"/>
                <w:b w:val="0"/>
                <w:i w:val="0"/>
                <w:color w:val="212121"/>
                <w:sz w:val="16"/>
              </w:rPr>
              <w:t>Estimates fibrosis stage and identifies cirrhosis</w:t>
            </w:r>
          </w:p>
        </w:tc>
        <w:tc>
          <w:tcPr>
            <w:tcW w:type="dxa" w:w="1036"/>
            <w:vAlign w:val="top"/>
          </w:tcPr>
          <w:p>
            <w:pPr>
              <w:spacing w:after="40" w:before="0" w:line="259" w:lineRule="auto"/>
            </w:pPr>
            <w:r>
              <w:rPr>
                <w:rFonts w:ascii="Calibri" w:hAnsi="Calibri"/>
                <w:b w:val="0"/>
                <w:i w:val="0"/>
                <w:color w:val="212121"/>
                <w:sz w:val="16"/>
              </w:rPr>
              <w:t>All chronic HCV patients</w:t>
            </w:r>
          </w:p>
        </w:tc>
        <w:tc>
          <w:tcPr>
            <w:tcW w:type="dxa" w:w="720"/>
            <w:vAlign w:val="top"/>
          </w:tcPr>
          <w:p>
            <w:pPr>
              <w:spacing w:after="40" w:before="0" w:line="259" w:lineRule="auto"/>
            </w:pPr>
            <w:r>
              <w:rPr>
                <w:rFonts w:ascii="Calibri" w:hAnsi="Calibri"/>
                <w:b w:val="0"/>
                <w:i w:val="0"/>
                <w:color w:val="212121"/>
                <w:sz w:val="16"/>
              </w:rPr>
              <w:t>Alcohol; Physical activity</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Cheap, uses routine labs; combine with elastography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Imaging/Elastography</w:t>
            </w:r>
          </w:p>
        </w:tc>
        <w:tc>
          <w:tcPr>
            <w:tcW w:type="dxa" w:w="1036"/>
            <w:vAlign w:val="top"/>
          </w:tcPr>
          <w:p>
            <w:pPr>
              <w:spacing w:after="40" w:before="0" w:line="259" w:lineRule="auto"/>
            </w:pPr>
            <w:r>
              <w:rPr>
                <w:rFonts w:ascii="Calibri" w:hAnsi="Calibri"/>
                <w:b w:val="0"/>
                <w:i w:val="0"/>
                <w:color w:val="212121"/>
                <w:sz w:val="16"/>
              </w:rPr>
              <w:t>Transient elastography (FibroScan)</w:t>
            </w:r>
          </w:p>
        </w:tc>
        <w:tc>
          <w:tcPr>
            <w:tcW w:type="dxa" w:w="892"/>
            <w:vAlign w:val="top"/>
          </w:tcPr>
          <w:p>
            <w:pPr>
              <w:spacing w:after="40" w:before="0" w:line="259" w:lineRule="auto"/>
            </w:pPr>
            <w:r>
              <w:rPr>
                <w:rFonts w:ascii="Calibri" w:hAnsi="Calibri"/>
                <w:b w:val="0"/>
                <w:i w:val="0"/>
                <w:color w:val="212121"/>
                <w:sz w:val="16"/>
              </w:rPr>
              <w:t>Liver stiffness measurement</w:t>
            </w:r>
          </w:p>
        </w:tc>
        <w:tc>
          <w:tcPr>
            <w:tcW w:type="dxa" w:w="950"/>
            <w:vAlign w:val="top"/>
          </w:tcPr>
          <w:p>
            <w:pPr>
              <w:spacing w:after="40" w:before="0" w:line="259" w:lineRule="auto"/>
            </w:pPr>
            <w:r>
              <w:rPr>
                <w:rFonts w:ascii="Calibri" w:hAnsi="Calibri"/>
                <w:b w:val="0"/>
                <w:i w:val="0"/>
                <w:color w:val="212121"/>
                <w:sz w:val="16"/>
              </w:rPr>
              <w:t>&lt; 7 kPa</w:t>
            </w:r>
          </w:p>
        </w:tc>
        <w:tc>
          <w:tcPr>
            <w:tcW w:type="dxa" w:w="950"/>
            <w:vAlign w:val="top"/>
          </w:tcPr>
          <w:p>
            <w:pPr>
              <w:spacing w:after="40" w:before="0" w:line="259" w:lineRule="auto"/>
            </w:pPr>
            <w:r>
              <w:rPr>
                <w:rFonts w:ascii="Calibri" w:hAnsi="Calibri"/>
                <w:b w:val="0"/>
                <w:i w:val="0"/>
                <w:color w:val="212121"/>
                <w:sz w:val="16"/>
              </w:rPr>
              <w:t>&gt; 12.5 kPa (cirrhosis)</w:t>
            </w:r>
          </w:p>
        </w:tc>
        <w:tc>
          <w:tcPr>
            <w:tcW w:type="dxa" w:w="1036"/>
            <w:vAlign w:val="top"/>
          </w:tcPr>
          <w:p>
            <w:pPr>
              <w:spacing w:after="40" w:before="0" w:line="259" w:lineRule="auto"/>
            </w:pPr>
            <w:r>
              <w:rPr>
                <w:rFonts w:ascii="Calibri" w:hAnsi="Calibri"/>
                <w:b w:val="0"/>
                <w:i w:val="0"/>
                <w:color w:val="212121"/>
                <w:sz w:val="16"/>
              </w:rPr>
              <w:t>Non-invasive fibrosis staging; determines surveillance needs</w:t>
            </w:r>
          </w:p>
        </w:tc>
        <w:tc>
          <w:tcPr>
            <w:tcW w:type="dxa" w:w="1036"/>
            <w:vAlign w:val="top"/>
          </w:tcPr>
          <w:p>
            <w:pPr>
              <w:spacing w:after="40" w:before="0" w:line="259" w:lineRule="auto"/>
            </w:pPr>
            <w:r>
              <w:rPr>
                <w:rFonts w:ascii="Calibri" w:hAnsi="Calibri"/>
                <w:b w:val="0"/>
                <w:i w:val="0"/>
                <w:color w:val="212121"/>
                <w:sz w:val="16"/>
              </w:rPr>
              <w:t>Adults with chronic HCV</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87% sensitivity/91% specificity for cirrhosis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Surveillance</w:t>
            </w:r>
          </w:p>
        </w:tc>
        <w:tc>
          <w:tcPr>
            <w:tcW w:type="dxa" w:w="1036"/>
            <w:vAlign w:val="top"/>
          </w:tcPr>
          <w:p>
            <w:pPr>
              <w:spacing w:after="40" w:before="0" w:line="259" w:lineRule="auto"/>
            </w:pPr>
            <w:r>
              <w:rPr>
                <w:rFonts w:ascii="Calibri" w:hAnsi="Calibri"/>
                <w:b w:val="0"/>
                <w:i w:val="0"/>
                <w:color w:val="212121"/>
                <w:sz w:val="16"/>
              </w:rPr>
              <w:t>Alpha-fetoprotein + ultrasound</w:t>
            </w:r>
          </w:p>
        </w:tc>
        <w:tc>
          <w:tcPr>
            <w:tcW w:type="dxa" w:w="892"/>
            <w:vAlign w:val="top"/>
          </w:tcPr>
          <w:p>
            <w:pPr>
              <w:spacing w:after="40" w:before="0" w:line="259" w:lineRule="auto"/>
            </w:pPr>
            <w:r>
              <w:rPr>
                <w:rFonts w:ascii="Calibri" w:hAnsi="Calibri"/>
                <w:b w:val="0"/>
                <w:i w:val="0"/>
                <w:color w:val="212121"/>
                <w:sz w:val="16"/>
              </w:rPr>
              <w:t>HCC surveillance</w:t>
            </w:r>
          </w:p>
        </w:tc>
        <w:tc>
          <w:tcPr>
            <w:tcW w:type="dxa" w:w="950"/>
            <w:vAlign w:val="top"/>
          </w:tcPr>
          <w:p>
            <w:pPr>
              <w:spacing w:after="40" w:before="0" w:line="259" w:lineRule="auto"/>
            </w:pPr>
            <w:r>
              <w:rPr>
                <w:rFonts w:ascii="Calibri" w:hAnsi="Calibri"/>
                <w:b w:val="0"/>
                <w:i w:val="0"/>
                <w:color w:val="212121"/>
                <w:sz w:val="16"/>
              </w:rPr>
              <w:t>Normal AFP; no focal lesion</w:t>
            </w:r>
          </w:p>
        </w:tc>
        <w:tc>
          <w:tcPr>
            <w:tcW w:type="dxa" w:w="950"/>
            <w:vAlign w:val="top"/>
          </w:tcPr>
          <w:p>
            <w:pPr>
              <w:spacing w:after="40" w:before="0" w:line="259" w:lineRule="auto"/>
            </w:pPr>
            <w:r>
              <w:rPr>
                <w:rFonts w:ascii="Calibri" w:hAnsi="Calibri"/>
                <w:b w:val="0"/>
                <w:i w:val="0"/>
                <w:color w:val="212121"/>
                <w:sz w:val="16"/>
              </w:rPr>
              <w:t>Rising AFP; focal liver lesion</w:t>
            </w:r>
          </w:p>
        </w:tc>
        <w:tc>
          <w:tcPr>
            <w:tcW w:type="dxa" w:w="1036"/>
            <w:vAlign w:val="top"/>
          </w:tcPr>
          <w:p>
            <w:pPr>
              <w:spacing w:after="40" w:before="0" w:line="259" w:lineRule="auto"/>
            </w:pPr>
            <w:r>
              <w:rPr>
                <w:rFonts w:ascii="Calibri" w:hAnsi="Calibri"/>
                <w:b w:val="0"/>
                <w:i w:val="0"/>
                <w:color w:val="212121"/>
                <w:sz w:val="16"/>
              </w:rPr>
              <w:t>Screens for hepatocellular carcinoma in cirrhosis</w:t>
            </w:r>
          </w:p>
        </w:tc>
        <w:tc>
          <w:tcPr>
            <w:tcW w:type="dxa" w:w="1036"/>
            <w:vAlign w:val="top"/>
          </w:tcPr>
          <w:p>
            <w:pPr>
              <w:spacing w:after="40" w:before="0" w:line="259" w:lineRule="auto"/>
            </w:pPr>
            <w:r>
              <w:rPr>
                <w:rFonts w:ascii="Calibri" w:hAnsi="Calibri"/>
                <w:b w:val="0"/>
                <w:i w:val="0"/>
                <w:color w:val="212121"/>
                <w:sz w:val="16"/>
              </w:rPr>
              <w:t>HCV cirrhosis (even after cure)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6-monthly surveillance in cirrhosis; continue after SVR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Co-infection screen</w:t>
            </w:r>
          </w:p>
        </w:tc>
        <w:tc>
          <w:tcPr>
            <w:tcW w:type="dxa" w:w="1036"/>
            <w:vAlign w:val="top"/>
          </w:tcPr>
          <w:p>
            <w:pPr>
              <w:spacing w:after="40" w:before="0" w:line="259" w:lineRule="auto"/>
            </w:pPr>
            <w:r>
              <w:rPr>
                <w:rFonts w:ascii="Calibri" w:hAnsi="Calibri"/>
                <w:b w:val="0"/>
                <w:i w:val="0"/>
                <w:color w:val="212121"/>
                <w:sz w:val="16"/>
              </w:rPr>
              <w:t>HIV antibody &amp; HBsAg</w:t>
            </w:r>
          </w:p>
        </w:tc>
        <w:tc>
          <w:tcPr>
            <w:tcW w:type="dxa" w:w="892"/>
            <w:vAlign w:val="top"/>
          </w:tcPr>
          <w:p>
            <w:pPr>
              <w:spacing w:after="40" w:before="0" w:line="259" w:lineRule="auto"/>
            </w:pPr>
            <w:r>
              <w:rPr>
                <w:rFonts w:ascii="Calibri" w:hAnsi="Calibri"/>
                <w:b w:val="0"/>
                <w:i w:val="0"/>
                <w:color w:val="212121"/>
                <w:sz w:val="16"/>
              </w:rPr>
              <w:t>Serology</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Detects co-infection that alters management and DAA choice</w:t>
            </w:r>
          </w:p>
        </w:tc>
        <w:tc>
          <w:tcPr>
            <w:tcW w:type="dxa" w:w="1036"/>
            <w:vAlign w:val="top"/>
          </w:tcPr>
          <w:p>
            <w:pPr>
              <w:spacing w:after="40" w:before="0" w:line="259" w:lineRule="auto"/>
            </w:pPr>
            <w:r>
              <w:rPr>
                <w:rFonts w:ascii="Calibri" w:hAnsi="Calibri"/>
                <w:b w:val="0"/>
                <w:i w:val="0"/>
                <w:color w:val="212121"/>
                <w:sz w:val="16"/>
              </w:rPr>
              <w:t>All chronic HCV patients before treatment</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Baseline</w:t>
            </w:r>
          </w:p>
        </w:tc>
        <w:tc>
          <w:tcPr>
            <w:tcW w:type="dxa" w:w="720"/>
            <w:vAlign w:val="top"/>
          </w:tcPr>
          <w:p>
            <w:pPr>
              <w:spacing w:after="40" w:before="0" w:line="259" w:lineRule="auto"/>
            </w:pPr>
            <w:r>
              <w:rPr>
                <w:rFonts w:ascii="Calibri" w:hAnsi="Calibri"/>
                <w:b w:val="0"/>
                <w:i w:val="0"/>
                <w:color w:val="212121"/>
                <w:sz w:val="16"/>
              </w:rPr>
              <w:t>HBV reactivation risk during DAA therapy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Exposure/risk history</w:t>
            </w:r>
          </w:p>
        </w:tc>
        <w:tc>
          <w:tcPr>
            <w:tcW w:type="dxa" w:w="979"/>
            <w:vAlign w:val="top"/>
          </w:tcPr>
          <w:p>
            <w:pPr>
              <w:spacing w:after="40" w:before="0" w:line="259" w:lineRule="auto"/>
            </w:pPr>
            <w:r>
              <w:rPr>
                <w:rFonts w:ascii="Calibri" w:hAnsi="Calibri"/>
                <w:b w:val="0"/>
                <w:i w:val="0"/>
                <w:color w:val="212121"/>
                <w:sz w:val="16"/>
              </w:rPr>
              <w:t>Transfusion, injections, IDU, dialysis, tattoos, surgery</w:t>
            </w:r>
          </w:p>
        </w:tc>
        <w:tc>
          <w:tcPr>
            <w:tcW w:type="dxa" w:w="950"/>
            <w:vAlign w:val="top"/>
          </w:tcPr>
          <w:p>
            <w:pPr>
              <w:spacing w:after="40" w:before="0" w:line="259" w:lineRule="auto"/>
            </w:pPr>
            <w:r>
              <w:rPr>
                <w:rFonts w:ascii="Calibri" w:hAnsi="Calibri"/>
                <w:b w:val="0"/>
                <w:i w:val="0"/>
                <w:color w:val="212121"/>
                <w:sz w:val="16"/>
              </w:rPr>
              <w:t>No identifiable exposure</w:t>
            </w:r>
          </w:p>
        </w:tc>
        <w:tc>
          <w:tcPr>
            <w:tcW w:type="dxa" w:w="950"/>
            <w:vAlign w:val="top"/>
          </w:tcPr>
          <w:p>
            <w:pPr>
              <w:spacing w:after="40" w:before="0" w:line="259" w:lineRule="auto"/>
            </w:pPr>
            <w:r>
              <w:rPr>
                <w:rFonts w:ascii="Calibri" w:hAnsi="Calibri"/>
                <w:b w:val="0"/>
                <w:i w:val="0"/>
                <w:color w:val="212121"/>
                <w:sz w:val="16"/>
              </w:rPr>
              <w:t>One or more percutaneous/blood exposures</w:t>
            </w:r>
          </w:p>
        </w:tc>
        <w:tc>
          <w:tcPr>
            <w:tcW w:type="dxa" w:w="1036"/>
            <w:vAlign w:val="top"/>
          </w:tcPr>
          <w:p>
            <w:pPr>
              <w:spacing w:after="40" w:before="0" w:line="259" w:lineRule="auto"/>
            </w:pPr>
            <w:r>
              <w:rPr>
                <w:rFonts w:ascii="Calibri" w:hAnsi="Calibri"/>
                <w:b w:val="0"/>
                <w:i w:val="0"/>
                <w:color w:val="212121"/>
                <w:sz w:val="16"/>
              </w:rPr>
              <w:t>Establishes route and directs screening of contacts</w:t>
            </w:r>
          </w:p>
        </w:tc>
        <w:tc>
          <w:tcPr>
            <w:tcW w:type="dxa" w:w="1036"/>
            <w:vAlign w:val="top"/>
          </w:tcPr>
          <w:p>
            <w:pPr>
              <w:spacing w:after="40" w:before="0" w:line="259" w:lineRule="auto"/>
            </w:pPr>
            <w:r>
              <w:rPr>
                <w:rFonts w:ascii="Calibri" w:hAnsi="Calibri"/>
                <w:b w:val="0"/>
                <w:i w:val="0"/>
                <w:color w:val="212121"/>
                <w:sz w:val="16"/>
              </w:rPr>
              <w:t>All suspected/at-risk persons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Many patients recall no clear exposure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use</w:t>
            </w:r>
          </w:p>
        </w:tc>
        <w:tc>
          <w:tcPr>
            <w:tcW w:type="dxa" w:w="979"/>
            <w:vAlign w:val="top"/>
          </w:tcPr>
          <w:p>
            <w:pPr>
              <w:spacing w:after="40" w:before="0" w:line="259" w:lineRule="auto"/>
            </w:pPr>
            <w:r>
              <w:rPr>
                <w:rFonts w:ascii="Calibri" w:hAnsi="Calibri"/>
                <w:b w:val="0"/>
                <w:i w:val="0"/>
                <w:color w:val="212121"/>
                <w:sz w:val="16"/>
              </w:rPr>
              <w:t>Quantified weekly alcohol intake</w:t>
            </w:r>
          </w:p>
        </w:tc>
        <w:tc>
          <w:tcPr>
            <w:tcW w:type="dxa" w:w="950"/>
            <w:vAlign w:val="top"/>
          </w:tcPr>
          <w:p>
            <w:pPr>
              <w:spacing w:after="40" w:before="0" w:line="259" w:lineRule="auto"/>
            </w:pPr>
            <w:r>
              <w:rPr>
                <w:rFonts w:ascii="Calibri" w:hAnsi="Calibri"/>
                <w:b w:val="0"/>
                <w:i w:val="0"/>
                <w:color w:val="212121"/>
                <w:sz w:val="16"/>
              </w:rPr>
              <w:t>Abstinent</w:t>
            </w:r>
          </w:p>
        </w:tc>
        <w:tc>
          <w:tcPr>
            <w:tcW w:type="dxa" w:w="950"/>
            <w:vAlign w:val="top"/>
          </w:tcPr>
          <w:p>
            <w:pPr>
              <w:spacing w:after="40" w:before="0" w:line="259" w:lineRule="auto"/>
            </w:pPr>
            <w:r>
              <w:rPr>
                <w:rFonts w:ascii="Calibri" w:hAnsi="Calibri"/>
                <w:b w:val="0"/>
                <w:i w:val="0"/>
                <w:color w:val="212121"/>
                <w:sz w:val="16"/>
              </w:rPr>
              <w:t>Any regular / heavy use</w:t>
            </w:r>
          </w:p>
        </w:tc>
        <w:tc>
          <w:tcPr>
            <w:tcW w:type="dxa" w:w="1036"/>
            <w:vAlign w:val="top"/>
          </w:tcPr>
          <w:p>
            <w:pPr>
              <w:spacing w:after="40" w:before="0" w:line="259" w:lineRule="auto"/>
            </w:pPr>
            <w:r>
              <w:rPr>
                <w:rFonts w:ascii="Calibri" w:hAnsi="Calibri"/>
                <w:b w:val="0"/>
                <w:i w:val="0"/>
                <w:color w:val="212121"/>
                <w:sz w:val="16"/>
              </w:rPr>
              <w:t>Identifies a major cofactor accelerating fibrosis</w:t>
            </w:r>
          </w:p>
        </w:tc>
        <w:tc>
          <w:tcPr>
            <w:tcW w:type="dxa" w:w="1036"/>
            <w:vAlign w:val="top"/>
          </w:tcPr>
          <w:p>
            <w:pPr>
              <w:spacing w:after="40" w:before="0" w:line="259" w:lineRule="auto"/>
            </w:pPr>
            <w:r>
              <w:rPr>
                <w:rFonts w:ascii="Calibri" w:hAnsi="Calibri"/>
                <w:b w:val="0"/>
                <w:i w:val="0"/>
                <w:color w:val="212121"/>
                <w:sz w:val="16"/>
              </w:rPr>
              <w:t>All chronic HCV patients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Use AUDIT-C; counsel abstinence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Extrahepatic symptoms</w:t>
            </w:r>
          </w:p>
        </w:tc>
        <w:tc>
          <w:tcPr>
            <w:tcW w:type="dxa" w:w="979"/>
            <w:vAlign w:val="top"/>
          </w:tcPr>
          <w:p>
            <w:pPr>
              <w:spacing w:after="40" w:before="0" w:line="259" w:lineRule="auto"/>
            </w:pPr>
            <w:r>
              <w:rPr>
                <w:rFonts w:ascii="Calibri" w:hAnsi="Calibri"/>
                <w:b w:val="0"/>
                <w:i w:val="0"/>
                <w:color w:val="212121"/>
                <w:sz w:val="16"/>
              </w:rPr>
              <w:t>Arthralgia, purpura, paraesthesia, sicca, rash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Suggests cryoglobulinemia or other immune-mediated disease</w:t>
            </w:r>
          </w:p>
        </w:tc>
        <w:tc>
          <w:tcPr>
            <w:tcW w:type="dxa" w:w="1036"/>
            <w:vAlign w:val="top"/>
          </w:tcPr>
          <w:p>
            <w:pPr>
              <w:spacing w:after="40" w:before="0" w:line="259" w:lineRule="auto"/>
            </w:pPr>
            <w:r>
              <w:rPr>
                <w:rFonts w:ascii="Calibri" w:hAnsi="Calibri"/>
                <w:b w:val="0"/>
                <w:i w:val="0"/>
                <w:color w:val="212121"/>
                <w:sz w:val="16"/>
              </w:rPr>
              <w:t>Patients with systemic complaints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May precede recognition of liver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Stigmata of chronic liver disease</w:t>
            </w:r>
          </w:p>
        </w:tc>
        <w:tc>
          <w:tcPr>
            <w:tcW w:type="dxa" w:w="979"/>
            <w:vAlign w:val="top"/>
          </w:tcPr>
          <w:p>
            <w:pPr>
              <w:spacing w:after="40" w:before="0" w:line="259" w:lineRule="auto"/>
            </w:pPr>
            <w:r>
              <w:rPr>
                <w:rFonts w:ascii="Calibri" w:hAnsi="Calibri"/>
                <w:b w:val="0"/>
                <w:i w:val="0"/>
                <w:color w:val="212121"/>
                <w:sz w:val="16"/>
              </w:rPr>
              <w:t>Spider naevi, palmar erythema, jaundice, splenomegaly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Indicates advanced fibrosis/cirrhosis</w:t>
            </w:r>
          </w:p>
        </w:tc>
        <w:tc>
          <w:tcPr>
            <w:tcW w:type="dxa" w:w="1036"/>
            <w:vAlign w:val="top"/>
          </w:tcPr>
          <w:p>
            <w:pPr>
              <w:spacing w:after="40" w:before="0" w:line="259" w:lineRule="auto"/>
            </w:pPr>
            <w:r>
              <w:rPr>
                <w:rFonts w:ascii="Calibri" w:hAnsi="Calibri"/>
                <w:b w:val="0"/>
                <w:i w:val="0"/>
                <w:color w:val="212121"/>
                <w:sz w:val="16"/>
              </w:rPr>
              <w:t>Patients with long-standing infection</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Often absent in compensated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Signs of decompensation</w:t>
            </w:r>
          </w:p>
        </w:tc>
        <w:tc>
          <w:tcPr>
            <w:tcW w:type="dxa" w:w="979"/>
            <w:vAlign w:val="top"/>
          </w:tcPr>
          <w:p>
            <w:pPr>
              <w:spacing w:after="40" w:before="0" w:line="259" w:lineRule="auto"/>
            </w:pPr>
            <w:r>
              <w:rPr>
                <w:rFonts w:ascii="Calibri" w:hAnsi="Calibri"/>
                <w:b w:val="0"/>
                <w:i w:val="0"/>
                <w:color w:val="212121"/>
                <w:sz w:val="16"/>
              </w:rPr>
              <w:t>Ascites, asterixis/encephalopathy, oedema, variceal bleeding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Signals decompensated cirrhosis needing urgent referral</w:t>
            </w:r>
          </w:p>
        </w:tc>
        <w:tc>
          <w:tcPr>
            <w:tcW w:type="dxa" w:w="1036"/>
            <w:vAlign w:val="top"/>
          </w:tcPr>
          <w:p>
            <w:pPr>
              <w:spacing w:after="40" w:before="0" w:line="259" w:lineRule="auto"/>
            </w:pPr>
            <w:r>
              <w:rPr>
                <w:rFonts w:ascii="Calibri" w:hAnsi="Calibri"/>
                <w:b w:val="0"/>
                <w:i w:val="0"/>
                <w:color w:val="212121"/>
                <w:sz w:val="16"/>
              </w:rPr>
              <w:t>Cirrhotic patients</w:t>
            </w:r>
          </w:p>
        </w:tc>
        <w:tc>
          <w:tcPr>
            <w:tcW w:type="dxa" w:w="720"/>
            <w:vAlign w:val="top"/>
          </w:tcPr>
          <w:p>
            <w:pPr>
              <w:spacing w:after="40" w:before="0" w:line="259" w:lineRule="auto"/>
            </w:pPr>
            <w:r>
              <w:rPr>
                <w:rFonts w:ascii="Calibri" w:hAnsi="Calibri"/>
                <w:b w:val="0"/>
                <w:i w:val="0"/>
                <w:color w:val="212121"/>
                <w:sz w:val="16"/>
              </w:rPr>
              <w:t>Water; Sleep</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Defines Child–Pugh/MELD severity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Household &amp; vertical exposure</w:t>
            </w:r>
          </w:p>
        </w:tc>
        <w:tc>
          <w:tcPr>
            <w:tcW w:type="dxa" w:w="979"/>
            <w:vAlign w:val="top"/>
          </w:tcPr>
          <w:p>
            <w:pPr>
              <w:spacing w:after="40" w:before="0" w:line="259" w:lineRule="auto"/>
            </w:pPr>
            <w:r>
              <w:rPr>
                <w:rFonts w:ascii="Calibri" w:hAnsi="Calibri"/>
                <w:b w:val="0"/>
                <w:i w:val="0"/>
                <w:color w:val="212121"/>
                <w:sz w:val="16"/>
              </w:rPr>
              <w:t>Infected contacts; maternal HCV status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Contact/maternal infection present</w:t>
            </w:r>
          </w:p>
        </w:tc>
        <w:tc>
          <w:tcPr>
            <w:tcW w:type="dxa" w:w="1036"/>
            <w:vAlign w:val="top"/>
          </w:tcPr>
          <w:p>
            <w:pPr>
              <w:spacing w:after="40" w:before="0" w:line="259" w:lineRule="auto"/>
            </w:pPr>
            <w:r>
              <w:rPr>
                <w:rFonts w:ascii="Calibri" w:hAnsi="Calibri"/>
                <w:b w:val="0"/>
                <w:i w:val="0"/>
                <w:color w:val="212121"/>
                <w:sz w:val="16"/>
              </w:rPr>
              <w:t>Guides contact tracing and infant testing</w:t>
            </w:r>
          </w:p>
        </w:tc>
        <w:tc>
          <w:tcPr>
            <w:tcW w:type="dxa" w:w="1036"/>
            <w:vAlign w:val="top"/>
          </w:tcPr>
          <w:p>
            <w:pPr>
              <w:spacing w:after="40" w:before="0" w:line="259" w:lineRule="auto"/>
            </w:pPr>
            <w:r>
              <w:rPr>
                <w:rFonts w:ascii="Calibri" w:hAnsi="Calibri"/>
                <w:b w:val="0"/>
                <w:i w:val="0"/>
                <w:color w:val="212121"/>
                <w:sz w:val="16"/>
              </w:rPr>
              <w:t>Family/household contacts, infants of viraemic mothers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Test contacts and at-risk infants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Often asymptomatic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HCV is silent for years to decades; most cases are detected on screening or incidental testing.</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 symptom (around half of patients), often disproportionate to the severity of liver disease.</w:t>
            </w:r>
          </w:p>
        </w:tc>
      </w:tr>
      <w:tr>
        <w:trPr>
          <w:cantSplit/>
        </w:trPr>
        <w:tc>
          <w:tcPr>
            <w:tcW w:type="dxa" w:w="2304"/>
            <w:vAlign w:val="top"/>
          </w:tcPr>
          <w:p>
            <w:pPr>
              <w:spacing w:after="40" w:before="0" w:line="259" w:lineRule="auto"/>
            </w:pPr>
            <w:r>
              <w:rPr>
                <w:rFonts w:ascii="Calibri" w:hAnsi="Calibri"/>
                <w:b/>
                <w:i w:val="0"/>
                <w:color w:val="212121"/>
                <w:sz w:val="19"/>
              </w:rPr>
              <w:t>Malaise / generalized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reduction in energy and functional capacity.</w:t>
            </w:r>
          </w:p>
        </w:tc>
      </w:tr>
      <w:tr>
        <w:trPr>
          <w:cantSplit/>
        </w:trPr>
        <w:tc>
          <w:tcPr>
            <w:tcW w:type="dxa" w:w="2304"/>
            <w:vAlign w:val="top"/>
          </w:tcPr>
          <w:p>
            <w:pPr>
              <w:spacing w:after="40" w:before="0" w:line="259" w:lineRule="auto"/>
            </w:pPr>
            <w:r>
              <w:rPr>
                <w:rFonts w:ascii="Calibri" w:hAnsi="Calibri"/>
                <w:b/>
                <w:i w:val="0"/>
                <w:color w:val="212121"/>
                <w:sz w:val="19"/>
              </w:rPr>
              <w:t>Right upper quadrant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Mild ache or heaviness over the liver; rarely severe.</w:t>
            </w:r>
          </w:p>
        </w:tc>
      </w:tr>
      <w:tr>
        <w:trPr>
          <w:cantSplit/>
        </w:trPr>
        <w:tc>
          <w:tcPr>
            <w:tcW w:type="dxa" w:w="2304"/>
            <w:vAlign w:val="top"/>
          </w:tcPr>
          <w:p>
            <w:pPr>
              <w:spacing w:after="40" w:before="0" w:line="259" w:lineRule="auto"/>
            </w:pPr>
            <w:r>
              <w:rPr>
                <w:rFonts w:ascii="Calibri" w:hAnsi="Calibri"/>
                <w:b/>
                <w:i w:val="0"/>
                <w:color w:val="212121"/>
                <w:sz w:val="19"/>
              </w:rPr>
              <w:t>Anorexia and 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appetite and intermittent nausea, sometimes with weight loss.</w:t>
            </w:r>
          </w:p>
        </w:tc>
      </w:tr>
      <w:tr>
        <w:trPr>
          <w:cantSplit/>
        </w:trPr>
        <w:tc>
          <w:tcPr>
            <w:tcW w:type="dxa" w:w="2304"/>
            <w:vAlign w:val="top"/>
          </w:tcPr>
          <w:p>
            <w:pPr>
              <w:spacing w:after="40" w:before="0" w:line="259" w:lineRule="auto"/>
            </w:pPr>
            <w:r>
              <w:rPr>
                <w:rFonts w:ascii="Calibri" w:hAnsi="Calibri"/>
                <w:b/>
                <w:i w:val="0"/>
                <w:color w:val="212121"/>
                <w:sz w:val="19"/>
              </w:rPr>
              <w:t>Arthralgia / myalgia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Joint and muscle pains, frequently immune-mediated (cryoglobulin-related).</w:t>
            </w:r>
          </w:p>
        </w:tc>
      </w:tr>
      <w:tr>
        <w:trPr>
          <w:cantSplit/>
        </w:trPr>
        <w:tc>
          <w:tcPr>
            <w:tcW w:type="dxa" w:w="2304"/>
            <w:vAlign w:val="top"/>
          </w:tcPr>
          <w:p>
            <w:pPr>
              <w:spacing w:after="40" w:before="0" w:line="259" w:lineRule="auto"/>
            </w:pPr>
            <w:r>
              <w:rPr>
                <w:rFonts w:ascii="Calibri" w:hAnsi="Calibri"/>
                <w:b/>
                <w:i w:val="0"/>
                <w:color w:val="212121"/>
                <w:sz w:val="19"/>
              </w:rPr>
              <w:t>Poor concentration / “brain fog”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Neurocognitive slowing and impaired concentration reported independent of cirrhosis.</w:t>
            </w:r>
          </w:p>
        </w:tc>
      </w:tr>
      <w:tr>
        <w:trPr>
          <w:cantSplit/>
        </w:trPr>
        <w:tc>
          <w:tcPr>
            <w:tcW w:type="dxa" w:w="2304"/>
            <w:vAlign w:val="top"/>
          </w:tcPr>
          <w:p>
            <w:pPr>
              <w:spacing w:after="40" w:before="0" w:line="259" w:lineRule="auto"/>
            </w:pPr>
            <w:r>
              <w:rPr>
                <w:rFonts w:ascii="Calibri" w:hAnsi="Calibri"/>
                <w:b/>
                <w:i w:val="0"/>
                <w:color w:val="212121"/>
                <w:sz w:val="19"/>
              </w:rPr>
              <w:t>Depressed mood / anxiety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Mood and anxiety symptoms are common and reduce quality of life.</w:t>
            </w:r>
          </w:p>
        </w:tc>
      </w:tr>
      <w:tr>
        <w:trPr>
          <w:cantSplit/>
        </w:trPr>
        <w:tc>
          <w:tcPr>
            <w:tcW w:type="dxa" w:w="2304"/>
            <w:vAlign w:val="top"/>
          </w:tcPr>
          <w:p>
            <w:pPr>
              <w:spacing w:after="40" w:before="0" w:line="259" w:lineRule="auto"/>
            </w:pPr>
            <w:r>
              <w:rPr>
                <w:rFonts w:ascii="Calibri" w:hAnsi="Calibri"/>
                <w:b/>
                <w:i w:val="0"/>
                <w:color w:val="212121"/>
                <w:sz w:val="19"/>
              </w:rPr>
              <w:t>Jaundice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Yellowing of skin/eyes; usually a late feature of decompensated disease or an acute flare.</w:t>
            </w:r>
          </w:p>
        </w:tc>
      </w:tr>
      <w:tr>
        <w:trPr>
          <w:cantSplit/>
        </w:trPr>
        <w:tc>
          <w:tcPr>
            <w:tcW w:type="dxa" w:w="2304"/>
            <w:vAlign w:val="top"/>
          </w:tcPr>
          <w:p>
            <w:pPr>
              <w:spacing w:after="40" w:before="0" w:line="259" w:lineRule="auto"/>
            </w:pPr>
            <w:r>
              <w:rPr>
                <w:rFonts w:ascii="Calibri" w:hAnsi="Calibri"/>
                <w:b/>
                <w:i w:val="0"/>
                <w:color w:val="212121"/>
                <w:sz w:val="19"/>
              </w:rPr>
              <w:t>Pruritus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Itching due to cholestasis in advancing liver disease.</w:t>
            </w:r>
          </w:p>
        </w:tc>
      </w:tr>
      <w:tr>
        <w:trPr>
          <w:cantSplit/>
        </w:trPr>
        <w:tc>
          <w:tcPr>
            <w:tcW w:type="dxa" w:w="2304"/>
            <w:vAlign w:val="top"/>
          </w:tcPr>
          <w:p>
            <w:pPr>
              <w:spacing w:after="40" w:before="0" w:line="259" w:lineRule="auto"/>
            </w:pPr>
            <w:r>
              <w:rPr>
                <w:rFonts w:ascii="Calibri" w:hAnsi="Calibri"/>
                <w:b/>
                <w:i w:val="0"/>
                <w:color w:val="212121"/>
                <w:sz w:val="19"/>
              </w:rPr>
              <w:t>Dark urine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conjugated hyperbilirubinemia.</w:t>
            </w:r>
          </w:p>
        </w:tc>
      </w:tr>
      <w:tr>
        <w:trPr>
          <w:cantSplit/>
        </w:trPr>
        <w:tc>
          <w:tcPr>
            <w:tcW w:type="dxa" w:w="2304"/>
            <w:vAlign w:val="top"/>
          </w:tcPr>
          <w:p>
            <w:pPr>
              <w:spacing w:after="40" w:before="0" w:line="259" w:lineRule="auto"/>
            </w:pPr>
            <w:r>
              <w:rPr>
                <w:rFonts w:ascii="Calibri" w:hAnsi="Calibri"/>
                <w:b/>
                <w:i w:val="0"/>
                <w:color w:val="212121"/>
                <w:sz w:val="19"/>
              </w:rPr>
              <w:t>Abdominal swelling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Distension from ascites in decompensated cirrhosis (late).</w:t>
            </w:r>
          </w:p>
        </w:tc>
      </w:tr>
      <w:tr>
        <w:trPr>
          <w:cantSplit/>
        </w:trPr>
        <w:tc>
          <w:tcPr>
            <w:tcW w:type="dxa" w:w="2304"/>
            <w:vAlign w:val="top"/>
          </w:tcPr>
          <w:p>
            <w:pPr>
              <w:spacing w:after="40" w:before="0" w:line="259" w:lineRule="auto"/>
            </w:pPr>
            <w:r>
              <w:rPr>
                <w:rFonts w:ascii="Calibri" w:hAnsi="Calibri"/>
                <w:b/>
                <w:i w:val="0"/>
                <w:color w:val="212121"/>
                <w:sz w:val="19"/>
              </w:rPr>
              <w:t>Easy bruising / bleeding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Impaired clotting factor synthesis and thrombocytopenia in advanced disease.</w:t>
            </w:r>
          </w:p>
        </w:tc>
      </w:tr>
      <w:tr>
        <w:trPr>
          <w:cantSplit/>
        </w:trPr>
        <w:tc>
          <w:tcPr>
            <w:tcW w:type="dxa" w:w="2304"/>
            <w:vAlign w:val="top"/>
          </w:tcPr>
          <w:p>
            <w:pPr>
              <w:spacing w:after="40" w:before="0" w:line="259" w:lineRule="auto"/>
            </w:pPr>
            <w:r>
              <w:rPr>
                <w:rFonts w:ascii="Calibri" w:hAnsi="Calibri"/>
                <w:b/>
                <w:i w:val="0"/>
                <w:color w:val="212121"/>
                <w:sz w:val="19"/>
              </w:rPr>
              <w:t>Confusion / altered sensorium</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Hepatic encephalopathy, a feature of hepatic decompensation.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Mildly enlarged, sometimes tender liver on palpation.</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Enlarged spleen reflecting portal hypertension.</w:t>
            </w:r>
          </w:p>
        </w:tc>
      </w:tr>
      <w:tr>
        <w:trPr>
          <w:cantSplit/>
        </w:trPr>
        <w:tc>
          <w:tcPr>
            <w:tcW w:type="dxa" w:w="3456"/>
            <w:vAlign w:val="top"/>
          </w:tcPr>
          <w:p>
            <w:pPr>
              <w:spacing w:after="40" w:before="0" w:line="259" w:lineRule="auto"/>
            </w:pPr>
            <w:r>
              <w:rPr>
                <w:rFonts w:ascii="Calibri" w:hAnsi="Calibri"/>
                <w:b/>
                <w:i w:val="0"/>
                <w:color w:val="212121"/>
                <w:sz w:val="19"/>
              </w:rPr>
              <w:t>Spider naevi / telangiectasia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Cutaneous vascular lesions of chronic liver disease.</w:t>
            </w:r>
          </w:p>
        </w:tc>
      </w:tr>
      <w:tr>
        <w:trPr>
          <w:cantSplit/>
        </w:trPr>
        <w:tc>
          <w:tcPr>
            <w:tcW w:type="dxa" w:w="3456"/>
            <w:vAlign w:val="top"/>
          </w:tcPr>
          <w:p>
            <w:pPr>
              <w:spacing w:after="40" w:before="0" w:line="259" w:lineRule="auto"/>
            </w:pPr>
            <w:r>
              <w:rPr>
                <w:rFonts w:ascii="Calibri" w:hAnsi="Calibri"/>
                <w:b/>
                <w:i w:val="0"/>
                <w:color w:val="212121"/>
                <w:sz w:val="19"/>
              </w:rPr>
              <w:t>Palmar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Reddening of the thenar/hypothenar eminences.</w:t>
            </w:r>
          </w:p>
        </w:tc>
      </w:tr>
      <w:tr>
        <w:trPr>
          <w:cantSplit/>
        </w:trPr>
        <w:tc>
          <w:tcPr>
            <w:tcW w:type="dxa" w:w="3456"/>
            <w:vAlign w:val="top"/>
          </w:tcPr>
          <w:p>
            <w:pPr>
              <w:spacing w:after="40" w:before="0" w:line="259" w:lineRule="auto"/>
            </w:pPr>
            <w:r>
              <w:rPr>
                <w:rFonts w:ascii="Calibri" w:hAnsi="Calibri"/>
                <w:b/>
                <w:i w:val="0"/>
                <w:color w:val="212121"/>
                <w:sz w:val="19"/>
              </w:rPr>
              <w:t>Jaundice / icterus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Scleral and skin yellowing in advanced or decompensated disease.</w:t>
            </w:r>
          </w:p>
        </w:tc>
      </w:tr>
      <w:tr>
        <w:trPr>
          <w:cantSplit/>
        </w:trPr>
        <w:tc>
          <w:tcPr>
            <w:tcW w:type="dxa" w:w="3456"/>
            <w:vAlign w:val="top"/>
          </w:tcPr>
          <w:p>
            <w:pPr>
              <w:spacing w:after="40" w:before="0" w:line="259" w:lineRule="auto"/>
            </w:pPr>
            <w:r>
              <w:rPr>
                <w:rFonts w:ascii="Calibri" w:hAnsi="Calibri"/>
                <w:b/>
                <w:i w:val="0"/>
                <w:color w:val="212121"/>
                <w:sz w:val="19"/>
              </w:rPr>
              <w:t>Ascites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Shifting dullness/fluid thrill from portal hypertension and hypoalbuminemia.</w:t>
            </w:r>
          </w:p>
        </w:tc>
      </w:tr>
      <w:tr>
        <w:trPr>
          <w:cantSplit/>
        </w:trPr>
        <w:tc>
          <w:tcPr>
            <w:tcW w:type="dxa" w:w="3456"/>
            <w:vAlign w:val="top"/>
          </w:tcPr>
          <w:p>
            <w:pPr>
              <w:spacing w:after="40" w:before="0" w:line="259" w:lineRule="auto"/>
            </w:pPr>
            <w:r>
              <w:rPr>
                <w:rFonts w:ascii="Calibri" w:hAnsi="Calibri"/>
                <w:b/>
                <w:i w:val="0"/>
                <w:color w:val="212121"/>
                <w:sz w:val="19"/>
              </w:rPr>
              <w:t>Palpable purpura / leukocytoclastic vasculitis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Lower-limb purpuric rash of HCV-associated mixed cryoglobulinemia.</w:t>
            </w:r>
          </w:p>
        </w:tc>
      </w:tr>
      <w:tr>
        <w:trPr>
          <w:cantSplit/>
        </w:trPr>
        <w:tc>
          <w:tcPr>
            <w:tcW w:type="dxa" w:w="3456"/>
            <w:vAlign w:val="top"/>
          </w:tcPr>
          <w:p>
            <w:pPr>
              <w:spacing w:after="40" w:before="0" w:line="259" w:lineRule="auto"/>
            </w:pPr>
            <w:r>
              <w:rPr>
                <w:rFonts w:ascii="Calibri" w:hAnsi="Calibri"/>
                <w:b/>
                <w:i w:val="0"/>
                <w:color w:val="212121"/>
                <w:sz w:val="19"/>
              </w:rPr>
              <w:t>Peripheral 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Dependent oedema from hypoalbuminemia in advanced disease.</w:t>
            </w:r>
          </w:p>
        </w:tc>
      </w:tr>
      <w:tr>
        <w:trPr>
          <w:cantSplit/>
        </w:trPr>
        <w:tc>
          <w:tcPr>
            <w:tcW w:type="dxa" w:w="3456"/>
            <w:vAlign w:val="top"/>
          </w:tcPr>
          <w:p>
            <w:pPr>
              <w:spacing w:after="40" w:before="0" w:line="259" w:lineRule="auto"/>
            </w:pPr>
            <w:r>
              <w:rPr>
                <w:rFonts w:ascii="Calibri" w:hAnsi="Calibri"/>
                <w:b/>
                <w:i w:val="0"/>
                <w:color w:val="212121"/>
                <w:sz w:val="19"/>
              </w:rPr>
              <w:t>Asterixis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Flapping tremor of hepatic encephalopathy.</w:t>
            </w:r>
          </w:p>
        </w:tc>
      </w:tr>
      <w:tr>
        <w:trPr>
          <w:cantSplit/>
        </w:trPr>
        <w:tc>
          <w:tcPr>
            <w:tcW w:type="dxa" w:w="3456"/>
            <w:vAlign w:val="top"/>
          </w:tcPr>
          <w:p>
            <w:pPr>
              <w:spacing w:after="40" w:before="0" w:line="259" w:lineRule="auto"/>
            </w:pPr>
            <w:r>
              <w:rPr>
                <w:rFonts w:ascii="Calibri" w:hAnsi="Calibri"/>
                <w:b/>
                <w:i w:val="0"/>
                <w:color w:val="212121"/>
                <w:sz w:val="19"/>
              </w:rPr>
              <w:t>Porphyria cutanea tarda lesions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Photosensitive vesicles, bullae and skin fragility on sun-exposed skin.</w:t>
            </w:r>
          </w:p>
        </w:tc>
      </w:tr>
      <w:tr>
        <w:trPr>
          <w:cantSplit/>
        </w:trPr>
        <w:tc>
          <w:tcPr>
            <w:tcW w:type="dxa" w:w="3456"/>
            <w:vAlign w:val="top"/>
          </w:tcPr>
          <w:p>
            <w:pPr>
              <w:spacing w:after="40" w:before="0" w:line="259" w:lineRule="auto"/>
            </w:pPr>
            <w:r>
              <w:rPr>
                <w:rFonts w:ascii="Calibri" w:hAnsi="Calibri"/>
                <w:b/>
                <w:i w:val="0"/>
                <w:color w:val="212121"/>
                <w:sz w:val="19"/>
              </w:rPr>
              <w:t>Lichen planus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Pruritic violaceous papules or oral reticular lesions associated with HCV.</w:t>
            </w:r>
          </w:p>
        </w:tc>
      </w:tr>
      <w:tr>
        <w:trPr>
          <w:cantSplit/>
        </w:trPr>
        <w:tc>
          <w:tcPr>
            <w:tcW w:type="dxa" w:w="3456"/>
            <w:vAlign w:val="top"/>
          </w:tcPr>
          <w:p>
            <w:pPr>
              <w:spacing w:after="40" w:before="0" w:line="259" w:lineRule="auto"/>
            </w:pPr>
            <w:r>
              <w:rPr>
                <w:rFonts w:ascii="Calibri" w:hAnsi="Calibri"/>
                <w:b/>
                <w:i w:val="0"/>
                <w:color w:val="212121"/>
                <w:sz w:val="19"/>
              </w:rPr>
              <w:t>Caput medusae / dilated abdominal veins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Portosystemic collateral veins indicating portal hypertension.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hepatic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hepatitis with persistent viraemia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Hepatic steatosis (especially genotype 3)</w:t>
            </w:r>
          </w:p>
        </w:tc>
        <w:tc>
          <w:tcPr>
            <w:tcW w:type="dxa" w:w="2980"/>
            <w:vAlign w:val="top"/>
          </w:tcPr>
          <w:p>
            <w:pPr>
              <w:spacing w:after="40" w:before="0" w:line="259" w:lineRule="auto"/>
            </w:pPr>
            <w:r>
              <w:rPr>
                <w:rFonts w:ascii="Calibri" w:hAnsi="Calibri"/>
                <w:b w:val="0"/>
                <w:i w:val="0"/>
                <w:color w:val="212121"/>
                <w:sz w:val="19"/>
              </w:rPr>
              <w:t>Direct consequences of persistent viral replication and ongoing necro-inflammation.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 (20–30% over 25–30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Portal hypertension with oesophageal/gastric varices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Mixed cryoglobulinemia and cryoglobulinemic vasculitis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Membranoproliferative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diabetes and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B-cell non-Hodgkin lymphoma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Porphyria cutanea tarda</w:t>
            </w:r>
          </w:p>
        </w:tc>
        <w:tc>
          <w:tcPr>
            <w:tcW w:type="dxa" w:w="2980"/>
            <w:vAlign w:val="top"/>
          </w:tcPr>
          <w:p>
            <w:pPr>
              <w:spacing w:after="40" w:before="0" w:line="259" w:lineRule="auto"/>
            </w:pPr>
            <w:r>
              <w:rPr>
                <w:rFonts w:ascii="Calibri" w:hAnsi="Calibri"/>
                <w:b w:val="0"/>
                <w:i w:val="0"/>
                <w:color w:val="212121"/>
                <w:sz w:val="19"/>
              </w:rPr>
              <w:t>Arise from chronic hyperinflammation, immune-complex deposition and advancing fibrosis; hepatic and extrahepatic.</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 (ascites, variceal haemorrhage, hepatic encephalopathy, hepatorenal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Hepatocellular carcinoma (1–4% per year in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Liver failure requiring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liver-related causes</w:t>
            </w:r>
          </w:p>
        </w:tc>
        <w:tc>
          <w:tcPr>
            <w:tcW w:type="dxa" w:w="2980"/>
            <w:vAlign w:val="top"/>
          </w:tcPr>
          <w:p>
            <w:pPr>
              <w:spacing w:after="40" w:before="0" w:line="259" w:lineRule="auto"/>
            </w:pPr>
            <w:r>
              <w:rPr>
                <w:rFonts w:ascii="Calibri" w:hAnsi="Calibri"/>
                <w:b w:val="0"/>
                <w:i w:val="0"/>
                <w:color w:val="212121"/>
                <w:sz w:val="19"/>
              </w:rPr>
              <w:t>Irreversible, life-threatening end-stage outcomes of long-standing cirrhosis.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Cirrhosis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End result of progressive fibrosis; the central determinant of prognosis and cancer risk.</w:t>
            </w:r>
          </w:p>
          <w:p>
            <w:pPr>
              <w:spacing w:after="40" w:before="0" w:line="259" w:lineRule="auto"/>
            </w:pPr>
            <w:r>
              <w:rPr>
                <w:rFonts w:ascii="Calibri" w:hAnsi="Calibri"/>
                <w:b/>
                <w:i w:val="0"/>
                <w:color w:val="212121"/>
                <w:sz w:val="19"/>
              </w:rPr>
              <w:t>20–30% over 25–30 years</w:t>
            </w:r>
          </w:p>
        </w:tc>
      </w:tr>
      <w:tr>
        <w:trPr>
          <w:cantSplit/>
        </w:trPr>
        <w:tc>
          <w:tcPr>
            <w:tcW w:type="dxa" w:w="2232"/>
            <w:vAlign w:val="top"/>
          </w:tcPr>
          <w:p>
            <w:pPr>
              <w:spacing w:after="40" w:before="0" w:line="259" w:lineRule="auto"/>
            </w:pPr>
            <w:r>
              <w:rPr>
                <w:rFonts w:ascii="Calibri" w:hAnsi="Calibri"/>
                <w:b/>
                <w:i w:val="0"/>
                <w:color w:val="212121"/>
                <w:sz w:val="19"/>
              </w:rPr>
              <w:t>Hepatocellular 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HCV cirrhosis is a leading cause of liver cancer; surveillance continues even after viral cure.</w:t>
            </w:r>
          </w:p>
          <w:p>
            <w:pPr>
              <w:spacing w:after="40" w:before="0" w:line="259" w:lineRule="auto"/>
            </w:pPr>
            <w:r>
              <w:rPr>
                <w:rFonts w:ascii="Calibri" w:hAnsi="Calibri"/>
                <w:b/>
                <w:i w:val="0"/>
                <w:color w:val="212121"/>
                <w:sz w:val="19"/>
              </w:rPr>
              <w:t>1–4% per year in cirrhosis</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HCV impairs insulin signalling and promotes insulin resistance; diabetes in turn accelerates fibrosis.</w:t>
            </w:r>
          </w:p>
          <w:p>
            <w:pPr>
              <w:spacing w:after="40" w:before="0" w:line="259" w:lineRule="auto"/>
            </w:pPr>
            <w:r>
              <w:rPr>
                <w:rFonts w:ascii="Calibri" w:hAnsi="Calibri"/>
                <w:b/>
                <w:i w:val="0"/>
                <w:color w:val="212121"/>
                <w:sz w:val="19"/>
              </w:rPr>
              <w:t>~1.7× increased risk</w:t>
            </w:r>
          </w:p>
        </w:tc>
      </w:tr>
      <w:tr>
        <w:trPr>
          <w:cantSplit/>
        </w:trPr>
        <w:tc>
          <w:tcPr>
            <w:tcW w:type="dxa" w:w="2232"/>
            <w:vAlign w:val="top"/>
          </w:tcPr>
          <w:p>
            <w:pPr>
              <w:spacing w:after="40" w:before="0" w:line="259" w:lineRule="auto"/>
            </w:pPr>
            <w:r>
              <w:rPr>
                <w:rFonts w:ascii="Calibri" w:hAnsi="Calibri"/>
                <w:b/>
                <w:i w:val="0"/>
                <w:color w:val="212121"/>
                <w:sz w:val="19"/>
              </w:rPr>
              <w:t>Mixed cryoglobulinemia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most characteristic extrahepatic disease; HCV underlies the majority of mixed cryoglobulinemia.</w:t>
            </w:r>
          </w:p>
          <w:p>
            <w:pPr>
              <w:spacing w:after="40" w:before="0" w:line="259" w:lineRule="auto"/>
            </w:pPr>
            <w:r>
              <w:rPr>
                <w:rFonts w:ascii="Calibri" w:hAnsi="Calibri"/>
                <w:b/>
                <w:i w:val="0"/>
                <w:color w:val="212121"/>
                <w:sz w:val="19"/>
              </w:rPr>
              <w:t>HCV in 50–100% of cases</w:t>
            </w:r>
          </w:p>
        </w:tc>
      </w:tr>
      <w:tr>
        <w:trPr>
          <w:cantSplit/>
        </w:trPr>
        <w:tc>
          <w:tcPr>
            <w:tcW w:type="dxa" w:w="2232"/>
            <w:vAlign w:val="top"/>
          </w:tcPr>
          <w:p>
            <w:pPr>
              <w:spacing w:after="40" w:before="0" w:line="259" w:lineRule="auto"/>
            </w:pPr>
            <w:r>
              <w:rPr>
                <w:rFonts w:ascii="Calibri" w:hAnsi="Calibri"/>
                <w:b/>
                <w:i w:val="0"/>
                <w:color w:val="212121"/>
                <w:sz w:val="19"/>
              </w:rPr>
              <w:t>Membranoproliferative glomerulonephritis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Immune-complex/cryoglobulin-mediated kidney injury; develops in about 30% of cryoglobulinemia.</w:t>
            </w:r>
          </w:p>
        </w:tc>
      </w:tr>
      <w:tr>
        <w:trPr>
          <w:cantSplit/>
        </w:trPr>
        <w:tc>
          <w:tcPr>
            <w:tcW w:type="dxa" w:w="2232"/>
            <w:vAlign w:val="top"/>
          </w:tcPr>
          <w:p>
            <w:pPr>
              <w:spacing w:after="40" w:before="0" w:line="259" w:lineRule="auto"/>
            </w:pPr>
            <w:r>
              <w:rPr>
                <w:rFonts w:ascii="Calibri" w:hAnsi="Calibri"/>
                <w:b/>
                <w:i w:val="0"/>
                <w:color w:val="212121"/>
                <w:sz w:val="19"/>
              </w:rPr>
              <w:t>B-cell non-Hodgkin lymphoma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B-cell stimulation by HCV predisposes to lymphoma; risk is far higher with symptomatic cryoglobulinemia.</w:t>
            </w:r>
          </w:p>
          <w:p>
            <w:pPr>
              <w:spacing w:after="40" w:before="0" w:line="259" w:lineRule="auto"/>
            </w:pPr>
            <w:r>
              <w:rPr>
                <w:rFonts w:ascii="Calibri" w:hAnsi="Calibri"/>
                <w:b/>
                <w:i w:val="0"/>
                <w:color w:val="212121"/>
                <w:sz w:val="19"/>
              </w:rPr>
              <w:t>~2× increased risk</w:t>
            </w:r>
          </w:p>
        </w:tc>
      </w:tr>
      <w:tr>
        <w:trPr>
          <w:cantSplit/>
        </w:trPr>
        <w:tc>
          <w:tcPr>
            <w:tcW w:type="dxa" w:w="2232"/>
            <w:vAlign w:val="top"/>
          </w:tcPr>
          <w:p>
            <w:pPr>
              <w:spacing w:after="40" w:before="0" w:line="259" w:lineRule="auto"/>
            </w:pPr>
            <w:r>
              <w:rPr>
                <w:rFonts w:ascii="Calibri" w:hAnsi="Calibri"/>
                <w:b/>
                <w:i w:val="0"/>
                <w:color w:val="212121"/>
                <w:sz w:val="19"/>
              </w:rPr>
              <w:t>HIV co-infection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transmission routes; HIV accelerates HCV fibrosis and alters DAA/ART management.</w:t>
            </w:r>
          </w:p>
          <w:p>
            <w:pPr>
              <w:spacing w:after="40" w:before="0" w:line="259" w:lineRule="auto"/>
            </w:pPr>
            <w:r>
              <w:rPr>
                <w:rFonts w:ascii="Calibri" w:hAnsi="Calibri"/>
                <w:b/>
                <w:i w:val="0"/>
                <w:color w:val="212121"/>
                <w:sz w:val="19"/>
              </w:rPr>
              <w:t>HCV in ~3.5% of PLHIV (India)</w:t>
            </w:r>
          </w:p>
        </w:tc>
      </w:tr>
      <w:tr>
        <w:trPr>
          <w:cantSplit/>
        </w:trPr>
        <w:tc>
          <w:tcPr>
            <w:tcW w:type="dxa" w:w="2232"/>
            <w:vAlign w:val="top"/>
          </w:tcPr>
          <w:p>
            <w:pPr>
              <w:spacing w:after="40" w:before="0" w:line="259" w:lineRule="auto"/>
            </w:pPr>
            <w:r>
              <w:rPr>
                <w:rFonts w:ascii="Calibri" w:hAnsi="Calibri"/>
                <w:b/>
                <w:i w:val="0"/>
                <w:color w:val="212121"/>
                <w:sz w:val="19"/>
              </w:rPr>
              <w:t>Chronic kidney disease / haemodialysis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Nosocomial transmission in dialysis units; renal function influences drug choice and dosing.</w:t>
            </w:r>
          </w:p>
          <w:p>
            <w:pPr>
              <w:spacing w:after="40" w:before="0" w:line="259" w:lineRule="auto"/>
            </w:pPr>
            <w:r>
              <w:rPr>
                <w:rFonts w:ascii="Calibri" w:hAnsi="Calibri"/>
                <w:b/>
                <w:i w:val="0"/>
                <w:color w:val="212121"/>
                <w:sz w:val="19"/>
              </w:rPr>
              <w:t>~19% anti-HCV on dialysis (India)</w:t>
            </w:r>
          </w:p>
        </w:tc>
      </w:tr>
      <w:tr>
        <w:trPr>
          <w:cantSplit/>
        </w:trPr>
        <w:tc>
          <w:tcPr>
            <w:tcW w:type="dxa" w:w="2232"/>
            <w:vAlign w:val="top"/>
          </w:tcPr>
          <w:p>
            <w:pPr>
              <w:spacing w:after="40" w:before="0" w:line="259" w:lineRule="auto"/>
            </w:pPr>
            <w:r>
              <w:rPr>
                <w:rFonts w:ascii="Calibri" w:hAnsi="Calibri"/>
                <w:b/>
                <w:i w:val="0"/>
                <w:color w:val="212121"/>
                <w:sz w:val="19"/>
              </w:rPr>
              <w:t>Depression / fatigue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Neuro-inflammatory and reactive; impairs quality of life and adherence, historically worsened by interferon.</w:t>
            </w:r>
          </w:p>
          <w:p>
            <w:pPr>
              <w:spacing w:after="40" w:before="0" w:line="259" w:lineRule="auto"/>
            </w:pPr>
            <w:r>
              <w:rPr>
                <w:rFonts w:ascii="Calibri" w:hAnsi="Calibri"/>
                <w:b/>
                <w:i w:val="0"/>
                <w:color w:val="212121"/>
                <w:sz w:val="19"/>
              </w:rPr>
              <w:t>Fatigue in ~50%</w:t>
            </w:r>
          </w:p>
        </w:tc>
      </w:tr>
      <w:tr>
        <w:trPr>
          <w:cantSplit/>
        </w:trPr>
        <w:tc>
          <w:tcPr>
            <w:tcW w:type="dxa" w:w="2232"/>
            <w:vAlign w:val="top"/>
          </w:tcPr>
          <w:p>
            <w:pPr>
              <w:spacing w:after="40" w:before="0" w:line="259" w:lineRule="auto"/>
            </w:pPr>
            <w:r>
              <w:rPr>
                <w:rFonts w:ascii="Calibri" w:hAnsi="Calibri"/>
                <w:b/>
                <w:i w:val="0"/>
                <w:color w:val="212121"/>
                <w:sz w:val="19"/>
              </w:rPr>
              <w:t>Hepatic steatosis / metabolic fatty liver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viral (genotype 3) and metabolic steatosis worsen fibrosis and may persist after cure.</w:t>
            </w:r>
          </w:p>
        </w:tc>
      </w:tr>
      <w:tr>
        <w:trPr>
          <w:cantSplit/>
        </w:trPr>
        <w:tc>
          <w:tcPr>
            <w:tcW w:type="dxa" w:w="2232"/>
            <w:vAlign w:val="top"/>
          </w:tcPr>
          <w:p>
            <w:pPr>
              <w:spacing w:after="40" w:before="0" w:line="259" w:lineRule="auto"/>
            </w:pPr>
            <w:r>
              <w:rPr>
                <w:rFonts w:ascii="Calibri" w:hAnsi="Calibri"/>
                <w:b/>
                <w:i w:val="0"/>
                <w:color w:val="212121"/>
                <w:sz w:val="19"/>
              </w:rPr>
              <w:t>Porphyria cutanea tarda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HCV is a major trigger of sporadic PCT via hepatic iron and haem-pathway disruption.</w:t>
            </w:r>
          </w:p>
          <w:p>
            <w:pPr>
              <w:spacing w:after="40" w:before="0" w:line="259" w:lineRule="auto"/>
            </w:pPr>
            <w:r>
              <w:rPr>
                <w:rFonts w:ascii="Calibri" w:hAnsi="Calibri"/>
                <w:b/>
                <w:i w:val="0"/>
                <w:color w:val="212121"/>
                <w:sz w:val="19"/>
              </w:rPr>
              <w:t>HCV in ~50–60% of PCT</w:t>
            </w:r>
          </w:p>
        </w:tc>
      </w:tr>
      <w:tr>
        <w:trPr>
          <w:cantSplit/>
        </w:trPr>
        <w:tc>
          <w:tcPr>
            <w:tcW w:type="dxa" w:w="2232"/>
            <w:vAlign w:val="top"/>
          </w:tcPr>
          <w:p>
            <w:pPr>
              <w:spacing w:after="40" w:before="0" w:line="259" w:lineRule="auto"/>
            </w:pPr>
            <w:r>
              <w:rPr>
                <w:rFonts w:ascii="Calibri" w:hAnsi="Calibri"/>
                <w:b/>
                <w:i w:val="0"/>
                <w:color w:val="212121"/>
                <w:sz w:val="19"/>
              </w:rPr>
              <w:t>Alcohol-related liver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Alcohol synergistically accelerates HCV fibrosis, cirrhosis and HCC; abstinence is essential.</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hepatitis C spreads through blood — avoid sharing needles, razors, blades, toothbrushes and injecting equipment.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Insist on new, single-use disposable syringes and sterile instruments for every injection, dental, tattoo, piercing and barber/shaving procedure.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 one-time anti-HCV test as an adult, and repeat if you have ongoing risk (injection drug use, dialysis, multiple transfusions,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chronic HCV is usually silent for years — a normal appearance or normal liver enzymes do not exclude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hepatitis C is now curable in over 95% of people with a short oral course of direct-acting antivirals.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inject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Household/sexual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 &amp; multiply-transfused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Health-care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alcohol completely — it is the strongest modifiable cofactor accelerating fibrosis, cirrhosis and liver cancer in HCV.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structured de-addiction or brief-intervention support if cutting down is difficult.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around and after antiviral treatment to protect the healing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co-existing alcohol-related liver injury.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chronic HCV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on/after DAA therapy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to reduce hepatic steatosis and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work 2–3 days/week to preserve muscle mass, which is protective in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targeting central obesity that worsens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compensated cirrhosis, stay active but individualise intensity and avoid contact sports if varices or low platelets are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steatosis or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Compensated cirrhotics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diet rich in whole grains, pulses, vegetables and fruit; limit refined sugar and saturated/fried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excess dietary iron and iron supplements unless deficiency is proven, as iron overload accelerates liver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protein for muscle mass unless a clinician advises restriction in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coffee intake (2–3 cups/day) is associated with slower fibrosis and may be encouraged if tolerated.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dietary salt if ascites or fluid retention develops.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chronic HCV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steatosis/diabetes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Coffee-tolerant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tobacco (and cannabis) — it increases liver inflammation and hepatocellular carcinoma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nicotine replacement or pharmacotherapy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additional HCC risk factors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7–9 hour sleep schedule and good sleep hygiene to counter HCV-related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sleep-wake reversal or daytime drowsiness, which can be an early sign of hepatic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contributing depression, anxiety and pain that disrupt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mood symptoms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(e.g., PHQ-9) at diagnosis and during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peer support and psychiatric care; depression and fatigue are common and treatable.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modern DAA therapy is short, well-tolerated and does not carry the neuropsychiatric burden of old interferon regimens.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stigma and support adherence, especially in people who inject drugs.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inject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disabling fatigue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course of direct-acting antivirals — cure (SVR12) means undetectable HCV RNA 12 weeks after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the post-treatment HCV RNA test to confirm cure, and continue 6-monthly liver cancer surveillance if cirrhosis is present, even after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vaccinated against hepatitis A and B and avoid unnecessary hepatotoxic drugs and herbal remedies.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re-infection by maintaining safe-injection and no-sharing practices after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testing and, if needed, treatment of partners, household contacts and children of infected mothers.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on/after DAA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inject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Household/family contacts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plos.org/plosone/article?id=10.1371%2Fjournal.pone.0200461" TargetMode="External"/><Relationship Id="rId10" Type="http://schemas.openxmlformats.org/officeDocument/2006/relationships/hyperlink" Target="https://pmc.ncbi.nlm.nih.gov/articles/PMC5939344/" TargetMode="External"/><Relationship Id="rId11" Type="http://schemas.openxmlformats.org/officeDocument/2006/relationships/hyperlink" Target="https://pubmed.ncbi.nlm.nih.gov/30176181/" TargetMode="External"/><Relationship Id="rId12" Type="http://schemas.openxmlformats.org/officeDocument/2006/relationships/hyperlink" Target="https://pmc.ncbi.nlm.nih.gov/articles/PMC2642971/" TargetMode="External"/><Relationship Id="rId13" Type="http://schemas.openxmlformats.org/officeDocument/2006/relationships/hyperlink" Target="https://brieflands.com/journals/hepatmon/articles/15234" TargetMode="External"/><Relationship Id="rId14" Type="http://schemas.openxmlformats.org/officeDocument/2006/relationships/hyperlink" Target="https://www.aafp.org/pubs/afp/issues/2021/1200/p62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