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Autoimmune Hepatitis</w:t>
      </w:r>
    </w:p>
    <w:p>
      <w:pPr>
        <w:spacing w:before="0" w:after="160"/>
      </w:pPr>
      <w:r>
        <w:rPr>
          <w:rFonts w:ascii="Calibri" w:hAnsi="Calibri"/>
          <w:b/>
          <w:i w:val="0"/>
          <w:color w:val="212121"/>
          <w:sz w:val="22"/>
        </w:rPr>
        <w:t xml:space="preserve">AKA </w:t>
      </w:r>
      <w:r>
        <w:rPr>
          <w:rFonts w:ascii="Calibri" w:hAnsi="Calibri"/>
          <w:b w:val="0"/>
          <w:i w:val="0"/>
          <w:color w:val="212121"/>
          <w:sz w:val="22"/>
        </w:rPr>
        <w:t>i.e., AIH, Autoimmune chronic active hepatitis, Lupoid hepatitis (historical), Type 1 / Type 2 autoimmune hepatitis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Autoimmune hepatitis (AIH) is a chronic, immune-mediated inflammatory disease of the liver in which a loss of self-tolerance drives T-cell and antibody attack on hepatocytes, producing progressive necro-inflammation. It is characterised biochemically by raised transaminases and serum IgG (hypergammaglobulinaemia), serologically by circulating autoantibodies (ANA, anti-smooth muscle, anti-LKM1), and histologically by interface hepatitis with a dense lymphoplasmacytic infiltrate. Untreated it fluctuates and progresses to cirrhosis and liver failure, but it is characteristically responsive to corticosteroid-based immunosuppression, which makes early diagnosis critical.</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Autoimmune hepatitis is uncommon and long considered rare in India, yet it is increasingly recognised as an important, often under-diagnosed cause of chronic liver disease. In a large tertiary-care Indian series, autoimmune liver disease accounted for 41 of 2,401 (1.70%) of patients evaluated, of whom 38 had autoimmune hepatitis; a striking 89.4% were women (female-to-male ratio roughly 4:1) with a mean age of 36.2 years, and about one-third (34.2%) already had cirrhosis at first presentation — reflecting delayed diagnosis. Global figures place the prevalence in the range of about 11-25 per 100,000 population (with an incidence near 0.9-2 per 100,000 per year in European cohorts); women account for roughly three-quarters of cases worldwide (female-to-male ratio about 3.6:1).</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Autoimmune hepatitis is a diagnosis of positive features plus careful exclusion of other liver diseases; there is no single confirmatory test. The International Autoimmune Hepatitis Group (IAIHG) simplified 2008 criteria combine four domains, and formal diagnosis rests on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elevated serum transaminases (ALT/AST) with raised serum IgG or gamma-globulin (hypergammaglobulinaemia is characteristic and helps distinguish AIH from most other chronic hepatitides);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presence of autoantibodies scored in the simplified criteria — ANA or anti-smooth muscle antibody (ASMA) at a titre &gt;=1:40 scores 1 point, and titres &gt;=1:80 (or anti-LKM1 &gt;=1:40, or a positive anti-SLA/LP) score 2 points (maximum 2 for autoantibodies);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serum IgG scored as 1 point if above the upper limit of normal and 2 points if &gt;1.10x the upper limit of normal;</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liver histology consistent with (1 point) or typical of (2 points) AIH — interface hepatitis, a dense lymphoplasmacytic portal infiltrate, hepatocyte rosetting and emperipolesis;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absence of viral hepatitis (2 points) — active hepatitis A/B/C/E must be excluded, along with drug-induced, alcoholic, metabolic (Wilson disease, haemochromatosis) and non-alcoholic fatty liver disease;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an aggregate simplified score of &gt;=6 indicates probable AIH and &gt;=7 definite AIH (the simplified score has a sensitivity and specificity of around 90%); a prompt biochemical response to corticosteroids further supports the diagnosis.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Autoimmune hepatitis is classified chiefly by autoantibody profile, and additionally by seronegative and overlap forms and by mode of presentation:</w:t>
      </w:r>
    </w:p>
    <w:p>
      <w:pPr>
        <w:spacing w:before="0" w:after="80"/>
      </w:pPr>
      <w:r>
        <w:rPr>
          <w:rFonts w:ascii="Calibri" w:hAnsi="Calibri"/>
          <w:b w:val="0"/>
          <w:i w:val="0"/>
          <w:color w:val="212121"/>
          <w:sz w:val="21"/>
        </w:rPr>
        <w:t>(1) Type 1 AIH (classic) - defined by anti-nuclear antibody (ANA) and/or anti-smooth muscle antibody (ASMA), sometimes with anti-SLA/LP. It accounts for about 80% of cases, occurs at any age with a bimodal peak (adolescence/young adulthood and peri-/post-menopause), shows a strong female preponderance, and is linked to HLA-DRB1*03 and DRB1*04;</w:t>
      </w:r>
    </w:p>
    <w:p>
      <w:pPr>
        <w:spacing w:before="0" w:after="80"/>
      </w:pPr>
      <w:r>
        <w:rPr>
          <w:rFonts w:ascii="Calibri" w:hAnsi="Calibri"/>
          <w:b w:val="0"/>
          <w:i w:val="0"/>
          <w:color w:val="212121"/>
          <w:sz w:val="21"/>
        </w:rPr>
        <w:t>(2) Type 2 AIH - defined by anti-liver-kidney microsomal antibody type 1 (anti-LKM1) and/or anti-liver cytosol antibody type 1 (anti-LC1). It predominantly affects children and young adults, more often presents acutely or with fulminant hepatic failure, and tends to relapse more and require longer immunosuppression;</w:t>
      </w:r>
    </w:p>
    <w:p>
      <w:pPr>
        <w:spacing w:before="0" w:after="80"/>
      </w:pPr>
      <w:r>
        <w:rPr>
          <w:rFonts w:ascii="Calibri" w:hAnsi="Calibri"/>
          <w:b w:val="0"/>
          <w:i w:val="0"/>
          <w:color w:val="212121"/>
          <w:sz w:val="21"/>
        </w:rPr>
        <w:t>(3) Seronegative AIH - roughly 10-20% of patients lack conventional autoantibodies; diagnosis relies on raised IgG, compatible histology, exclusion of other causes and a therapeutic response to steroids;</w:t>
      </w:r>
    </w:p>
    <w:p>
      <w:pPr>
        <w:spacing w:before="0" w:after="80"/>
      </w:pPr>
      <w:r>
        <w:rPr>
          <w:rFonts w:ascii="Calibri" w:hAnsi="Calibri"/>
          <w:b w:val="0"/>
          <w:i w:val="0"/>
          <w:color w:val="212121"/>
          <w:sz w:val="21"/>
        </w:rPr>
        <w:t>(4) Overlap and variant syndromes - AIH may coexist with primary biliary cholangitis (AIH-PBC overlap) or primary sclerosing cholangitis (AIH-PSC overlap; autoimmune sclerosing cholangitis is the childhood form), showing mixed hepatitic and cholestatic features;</w:t>
      </w:r>
    </w:p>
    <w:p>
      <w:pPr>
        <w:spacing w:before="0" w:after="80"/>
      </w:pPr>
      <w:r>
        <w:rPr>
          <w:rFonts w:ascii="Calibri" w:hAnsi="Calibri"/>
          <w:b w:val="0"/>
          <w:i w:val="0"/>
          <w:color w:val="212121"/>
          <w:sz w:val="21"/>
        </w:rPr>
        <w:t>(5) By presentation - the disease ranges from asymptomatic (incidental transaminase elevation, ~25%) and insidious chronic hepatitis, to acute icteric hepatitis, to acute severe / acute-on-chronic liver failure; a distinct drug-induced AIH-like injury (e.g., nitrofurantoin, minocycline, immune-checkpoint inhibitors) is also recognised.</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Genetic susceptibility: The strongest determinants are HLA class II alleles, principally HLA-DRB1*03 (DR3) and DRB1*04 (DR4) for type 1 AIH; DRB1*03 is associated with younger onset and more aggressive, treatment-resistant disease.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Loss of immune self-tolerance: Defective regulatory T-cell number and function allow autoreactive CD4+ and CD8+ T cells to target hepatocyte antigens, sustaining chronic interface hepatitis.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Molecular mimicry from infection: Viral triggers (hepatitis A and E, Epstein-Barr virus, measles) can initiate cross-reactive immunity against liver antigens in genetically predisposed individuals.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Drug- and toxin-induced triggers: Nitrofurantoin, minocycline, statins, anti-TNF agents, immune-checkpoint inhibitors and certain herbal/traditional (including ayurvedic) preparations can precipitate an AIH-like immune injury.</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Female sex and hormonal influence: Marked female preponderance and the peri-menopausal peak implicate sex hormones in modulating the autoimmune response; flares and de novo presentation occur in pregnancy and the post-partum period.</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Autoimmune diathesis: A personal or family background of autoimmunity (autoimmune thyroid disease, coeliac disease, type 1 diabetes, vitiligo) reflects shared susceptibility and clustering of immune dysregulation.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(women, bimodal 30-60 years)</w:t>
            </w:r>
          </w:p>
        </w:tc>
        <w:tc>
          <w:tcPr>
            <w:tcW w:type="dxa" w:w="4276"/>
            <w:vAlign w:val="top"/>
          </w:tcPr>
          <w:p>
            <w:pPr>
              <w:spacing w:after="60" w:line="259" w:lineRule="auto"/>
            </w:pPr>
            <w:r>
              <w:rPr>
                <w:rFonts w:ascii="Calibri" w:hAnsi="Calibri"/>
                <w:b w:val="0"/>
                <w:i w:val="0"/>
                <w:color w:val="212121"/>
                <w:sz w:val="19"/>
              </w:rPr>
              <w:t>Type 1 AIH shows a bimodal age distribution, with peaks in young/middle-aged women and again around the peri-/post-menopausal years; cumulative loss of immune tolerance and hormonal shifts underlie presentation in this group.</w:t>
            </w:r>
          </w:p>
          <w:p>
            <w:pPr>
              <w:spacing w:after="40" w:before="60" w:line="259" w:lineRule="auto"/>
            </w:pPr>
            <w:r>
              <w:rPr>
                <w:rFonts w:ascii="Calibri" w:hAnsi="Calibri"/>
                <w:b w:val="0"/>
                <w:i w:val="0"/>
                <w:color w:val="212121"/>
                <w:sz w:val="19"/>
              </w:rPr>
              <w:t>In a large Indian cohort the mean age of AIH patients was 36.2 years; a more recent Indian series reported a median age of about 45 years.</w:t>
            </w:r>
          </w:p>
          <w:p>
            <w:pPr>
              <w:spacing w:after="40" w:line="252" w:lineRule="auto"/>
            </w:pPr>
            <w:hyperlink r:id="rId9">
              <w:r>
                <w:rPr>
                  <w:rFonts w:ascii="Calibri" w:hAnsi="Calibri" w:cs="Calibri"/>
                  <w:sz w:val="18"/>
                  <w:color w:val="1155CC"/>
                  <w:u w:val="single"/>
                </w:rPr>
                <w:t xml:space="preserve">BMC Gastroenterology — AIH in India (Choudhuri/Gupta 2005)</w:t>
              </w:r>
            </w:hyperlink>
          </w:p>
          <w:p>
            <w:pPr>
              <w:spacing w:before="60" w:after="40"/>
            </w:pPr>
            <w:r>
              <w:rPr>
                <w:rFonts w:ascii="Calibri" w:hAnsi="Calibri"/>
                <w:b w:val="0"/>
                <w:i w:val="0"/>
                <w:color w:val="5A5A5A"/>
                <w:sz w:val="18"/>
              </w:rPr>
              <w:t>#autoimmunehepatitis  #interfacehepatitis  #bimodal  #hypergammaglobulinaemia</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(&gt;60 years)</w:t>
            </w:r>
          </w:p>
        </w:tc>
        <w:tc>
          <w:tcPr>
            <w:tcW w:type="dxa" w:w="4276"/>
            <w:vAlign w:val="top"/>
          </w:tcPr>
          <w:p>
            <w:pPr>
              <w:spacing w:after="60" w:line="259" w:lineRule="auto"/>
            </w:pPr>
            <w:r>
              <w:rPr>
                <w:rFonts w:ascii="Calibri" w:hAnsi="Calibri"/>
                <w:b w:val="0"/>
                <w:i w:val="0"/>
                <w:color w:val="212121"/>
                <w:sz w:val="19"/>
              </w:rPr>
              <w:t>AIH is increasingly recognised in older adults, who more often present acutely or already with cirrhosis and carry more comorbidity and polypharmacy; steroid therapy is less well tolerated (bone loss, diabetes, infection).</w:t>
            </w:r>
          </w:p>
          <w:p>
            <w:pPr>
              <w:spacing w:after="40" w:before="60" w:line="259" w:lineRule="auto"/>
            </w:pPr>
            <w:r>
              <w:rPr>
                <w:rFonts w:ascii="Calibri" w:hAnsi="Calibri"/>
                <w:b w:val="0"/>
                <w:i w:val="0"/>
                <w:color w:val="212121"/>
                <w:sz w:val="19"/>
              </w:rPr>
              <w:t>About one-third of Indian AIH patients (34.2%) already had cirrhosis at first presentation, reflecting late diagnosis that disproportionately affects older patients.</w:t>
            </w:r>
          </w:p>
          <w:p>
            <w:pPr>
              <w:spacing w:after="40" w:line="252" w:lineRule="auto"/>
            </w:pPr>
            <w:hyperlink r:id="rId9">
              <w:r>
                <w:rPr>
                  <w:rFonts w:ascii="Calibri" w:hAnsi="Calibri" w:cs="Calibri"/>
                  <w:sz w:val="18"/>
                  <w:color w:val="1155CC"/>
                  <w:u w:val="single"/>
                </w:rPr>
                <w:t xml:space="preserve">BMC Gastroenterology — AIH in India (Choudhuri/Gupta 2005)</w:t>
              </w:r>
            </w:hyperlink>
          </w:p>
          <w:p>
            <w:pPr>
              <w:spacing w:before="60" w:after="40"/>
            </w:pPr>
            <w:r>
              <w:rPr>
                <w:rFonts w:ascii="Calibri" w:hAnsi="Calibri"/>
                <w:b w:val="0"/>
                <w:i w:val="0"/>
                <w:color w:val="5A5A5A"/>
                <w:sz w:val="18"/>
              </w:rPr>
              <w:t>#ageing  #cirrhosisatdiagnosis  #steroidrisk  #latediagnosis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Children &amp; adolescents</w:t>
            </w:r>
          </w:p>
        </w:tc>
        <w:tc>
          <w:tcPr>
            <w:tcW w:type="dxa" w:w="4276"/>
            <w:vAlign w:val="top"/>
          </w:tcPr>
          <w:p>
            <w:pPr>
              <w:spacing w:after="60" w:line="259" w:lineRule="auto"/>
            </w:pPr>
            <w:r>
              <w:rPr>
                <w:rFonts w:ascii="Calibri" w:hAnsi="Calibri"/>
                <w:b w:val="0"/>
                <w:i w:val="0"/>
                <w:color w:val="212121"/>
                <w:sz w:val="19"/>
              </w:rPr>
              <w:t>Paediatric AIH (especially type 2, anti-LKM1/anti-LC1 positive) tends to be more aggressive and more often presents acutely or as autoimmune sclerosing cholangitis; early immunosuppression is essential to prevent rapid progression.</w:t>
            </w:r>
          </w:p>
          <w:p>
            <w:pPr>
              <w:spacing w:after="40" w:before="60" w:line="259" w:lineRule="auto"/>
            </w:pPr>
            <w:r>
              <w:rPr>
                <w:rFonts w:ascii="Calibri" w:hAnsi="Calibri"/>
                <w:b w:val="0"/>
                <w:i w:val="0"/>
                <w:color w:val="212121"/>
                <w:sz w:val="19"/>
              </w:rPr>
              <w:t>Type 2 AIH is most common in children and young adults and characteristically presents with more acute, sometimes fulminant, hepatic failure.</w:t>
            </w:r>
          </w:p>
          <w:p>
            <w:pPr>
              <w:spacing w:after="40" w:line="252" w:lineRule="auto"/>
            </w:pPr>
            <w:hyperlink r:id="rId10">
              <w:r>
                <w:rPr>
                  <w:rFonts w:ascii="Calibri" w:hAnsi="Calibri" w:cs="Calibri"/>
                  <w:sz w:val="18"/>
                  <w:color w:val="1155CC"/>
                  <w:u w:val="single"/>
                </w:rPr>
                <w:t xml:space="preserve">StatPearls — Autoimmune Hepatitis</w:t>
              </w:r>
            </w:hyperlink>
          </w:p>
          <w:p>
            <w:pPr>
              <w:spacing w:before="60" w:after="40"/>
            </w:pPr>
            <w:r>
              <w:rPr>
                <w:rFonts w:ascii="Calibri" w:hAnsi="Calibri"/>
                <w:b w:val="0"/>
                <w:i w:val="0"/>
                <w:color w:val="5A5A5A"/>
                <w:sz w:val="18"/>
              </w:rPr>
              <w:t>#paediatric  #type2AIH  #antiLKM1  #ASC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A strong female preponderance is the hallmark of AIH, attributed to sex-hormone modulation of immunity and a higher background of autoimmunity in women; women also carry more concurrent extrahepatic autoimmune disease.</w:t>
            </w:r>
          </w:p>
          <w:p>
            <w:pPr>
              <w:spacing w:after="40" w:before="60" w:line="259" w:lineRule="auto"/>
            </w:pPr>
            <w:r>
              <w:rPr>
                <w:rFonts w:ascii="Calibri" w:hAnsi="Calibri"/>
                <w:b w:val="0"/>
                <w:i w:val="0"/>
                <w:color w:val="212121"/>
                <w:sz w:val="19"/>
              </w:rPr>
              <w:t>Women made up 89.4% of an Indian AIH cohort (female-to-male ratio ~4:1); worldwide the ratio is about 3.6:1, and extrahepatic autoimmune disease was commoner in women (35.5%) than men (16%).</w:t>
            </w:r>
          </w:p>
          <w:p>
            <w:pPr>
              <w:spacing w:after="40" w:line="252" w:lineRule="auto"/>
            </w:pPr>
            <w:hyperlink r:id="rId11">
              <w:r>
                <w:rPr>
                  <w:rFonts w:ascii="Calibri" w:hAnsi="Calibri" w:cs="Calibri"/>
                  <w:sz w:val="18"/>
                  <w:color w:val="1155CC"/>
                  <w:u w:val="single"/>
                </w:rPr>
                <w:t xml:space="preserve">Cureus 2024 — gender and outcome in AIH (India)</w:t>
              </w:r>
            </w:hyperlink>
          </w:p>
          <w:p>
            <w:pPr>
              <w:spacing w:before="60" w:after="40"/>
            </w:pPr>
            <w:r>
              <w:rPr>
                <w:rFonts w:ascii="Calibri" w:hAnsi="Calibri"/>
                <w:b w:val="0"/>
                <w:i w:val="0"/>
                <w:color w:val="5A5A5A"/>
                <w:sz w:val="18"/>
              </w:rPr>
              <w:t>#femalepredominance  #sexhormones  #autoimmunity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Delayed-access / low-awareness populations</w:t>
            </w:r>
          </w:p>
        </w:tc>
        <w:tc>
          <w:tcPr>
            <w:tcW w:type="dxa" w:w="4276"/>
            <w:vAlign w:val="top"/>
          </w:tcPr>
          <w:p>
            <w:pPr>
              <w:spacing w:after="60" w:line="259" w:lineRule="auto"/>
            </w:pPr>
            <w:r>
              <w:rPr>
                <w:rFonts w:ascii="Calibri" w:hAnsi="Calibri"/>
                <w:b w:val="0"/>
                <w:i w:val="0"/>
                <w:color w:val="212121"/>
                <w:sz w:val="19"/>
              </w:rPr>
              <w:t>Non-specific early symptoms, limited access to autoantibody testing and liver biopsy, and low disease awareness lead many Indian patients to present only once cirrhosis or decompensation has developed, worsening outcomes.</w:t>
            </w:r>
          </w:p>
          <w:p>
            <w:pPr>
              <w:spacing w:after="40" w:before="60" w:line="259" w:lineRule="auto"/>
            </w:pPr>
            <w:r>
              <w:rPr>
                <w:rFonts w:ascii="Calibri" w:hAnsi="Calibri"/>
                <w:b w:val="0"/>
                <w:i w:val="0"/>
                <w:color w:val="212121"/>
                <w:sz w:val="19"/>
              </w:rPr>
              <w:t>Half of Indian AIH patients presented as chronic hepatitis and 34.2% as established cirrhosis, indicating frequent late recognition.</w:t>
            </w:r>
          </w:p>
          <w:p>
            <w:pPr>
              <w:spacing w:after="40" w:line="252" w:lineRule="auto"/>
            </w:pPr>
            <w:hyperlink r:id="rId9">
              <w:r>
                <w:rPr>
                  <w:rFonts w:ascii="Calibri" w:hAnsi="Calibri" w:cs="Calibri"/>
                  <w:sz w:val="18"/>
                  <w:color w:val="1155CC"/>
                  <w:u w:val="single"/>
                </w:rPr>
                <w:t xml:space="preserve">BMC Gastroenterology — AIH in India (Choudhuri/Gupta 2005)</w:t>
              </w:r>
            </w:hyperlink>
          </w:p>
          <w:p>
            <w:pPr>
              <w:spacing w:before="60" w:after="40"/>
            </w:pPr>
            <w:r>
              <w:rPr>
                <w:rFonts w:ascii="Calibri" w:hAnsi="Calibri"/>
                <w:b w:val="0"/>
                <w:i w:val="0"/>
                <w:color w:val="5A5A5A"/>
                <w:sz w:val="18"/>
              </w:rPr>
              <w:t>#awarenessgap  #accesstocare  #latepresentation</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Indian subcontinent (under-recognised)</w:t>
            </w:r>
          </w:p>
        </w:tc>
        <w:tc>
          <w:tcPr>
            <w:tcW w:type="dxa" w:w="4276"/>
            <w:vAlign w:val="top"/>
          </w:tcPr>
          <w:p>
            <w:pPr>
              <w:spacing w:after="60" w:line="259" w:lineRule="auto"/>
            </w:pPr>
            <w:r>
              <w:rPr>
                <w:rFonts w:ascii="Calibri" w:hAnsi="Calibri"/>
                <w:b w:val="0"/>
                <w:i w:val="0"/>
                <w:color w:val="212121"/>
                <w:sz w:val="19"/>
              </w:rPr>
              <w:t>AIH was historically presumed rare in India and is often mislabelled as cryptogenic chronic liver disease; systematic autoantibody and histological workup shows it is a real, treatable contributor to the chronic-liver-disease burden.</w:t>
            </w:r>
          </w:p>
          <w:p>
            <w:pPr>
              <w:spacing w:after="40" w:before="60" w:line="259" w:lineRule="auto"/>
            </w:pPr>
            <w:r>
              <w:rPr>
                <w:rFonts w:ascii="Calibri" w:hAnsi="Calibri"/>
                <w:b w:val="0"/>
                <w:i w:val="0"/>
                <w:color w:val="212121"/>
                <w:sz w:val="19"/>
              </w:rPr>
              <w:t>Autoimmune liver disease accounted for 1.70% (41/2,401) of patients evaluated at an Indian tertiary centre, of whom 38 had AIH.</w:t>
            </w:r>
          </w:p>
          <w:p>
            <w:pPr>
              <w:spacing w:after="40" w:line="252" w:lineRule="auto"/>
            </w:pPr>
            <w:hyperlink r:id="rId9">
              <w:r>
                <w:rPr>
                  <w:rFonts w:ascii="Calibri" w:hAnsi="Calibri" w:cs="Calibri"/>
                  <w:sz w:val="18"/>
                  <w:color w:val="1155CC"/>
                  <w:u w:val="single"/>
                </w:rPr>
                <w:t xml:space="preserve">BMC Gastroenterology — AIH in India (Choudhuri/Gupta 2005)</w:t>
              </w:r>
            </w:hyperlink>
          </w:p>
          <w:p>
            <w:pPr>
              <w:spacing w:before="60" w:after="40"/>
            </w:pPr>
            <w:r>
              <w:rPr>
                <w:rFonts w:ascii="Calibri" w:hAnsi="Calibri"/>
                <w:b w:val="0"/>
                <w:i w:val="0"/>
                <w:color w:val="5A5A5A"/>
                <w:sz w:val="18"/>
              </w:rPr>
              <w:t>#India  #cryptogeniccirrhosis  #underdiagnosed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Higher-incidence ancestries; more aggressive in non-White groups</w:t>
            </w:r>
          </w:p>
        </w:tc>
        <w:tc>
          <w:tcPr>
            <w:tcW w:type="dxa" w:w="4276"/>
            <w:vAlign w:val="top"/>
          </w:tcPr>
          <w:p>
            <w:pPr>
              <w:spacing w:after="60" w:line="259" w:lineRule="auto"/>
            </w:pPr>
            <w:r>
              <w:rPr>
                <w:rFonts w:ascii="Calibri" w:hAnsi="Calibri"/>
                <w:b w:val="0"/>
                <w:i w:val="0"/>
                <w:color w:val="212121"/>
                <w:sz w:val="19"/>
              </w:rPr>
              <w:t>Reported incidence is highest in populations of Northern European ancestry, but disease behaviour varies by ethnicity, with several non-White groups (including South Asian and indigenous populations) tending to present younger and with more advanced disease.</w:t>
            </w:r>
          </w:p>
          <w:p>
            <w:pPr>
              <w:spacing w:after="40" w:before="60" w:line="259" w:lineRule="auto"/>
            </w:pPr>
            <w:r>
              <w:rPr>
                <w:rFonts w:ascii="Calibri" w:hAnsi="Calibri"/>
                <w:b w:val="0"/>
                <w:i w:val="0"/>
                <w:color w:val="212121"/>
                <w:sz w:val="19"/>
              </w:rPr>
              <w:t>European cohorts report a prevalence of roughly 11-25 per 100,000 with an incidence around 0.9-2 per 100,000 per year.</w:t>
            </w:r>
          </w:p>
          <w:p>
            <w:pPr>
              <w:spacing w:after="40" w:line="252" w:lineRule="auto"/>
            </w:pPr>
            <w:hyperlink r:id="rId10">
              <w:r>
                <w:rPr>
                  <w:rFonts w:ascii="Calibri" w:hAnsi="Calibri" w:cs="Calibri"/>
                  <w:sz w:val="18"/>
                  <w:color w:val="1155CC"/>
                  <w:u w:val="single"/>
                </w:rPr>
                <w:t xml:space="preserve">StatPearls — Autoimmune Hepatitis</w:t>
              </w:r>
            </w:hyperlink>
          </w:p>
          <w:p>
            <w:pPr>
              <w:spacing w:before="60" w:after="40"/>
            </w:pPr>
            <w:r>
              <w:rPr>
                <w:rFonts w:ascii="Calibri" w:hAnsi="Calibri"/>
                <w:b w:val="0"/>
                <w:i w:val="0"/>
                <w:color w:val="5A5A5A"/>
                <w:sz w:val="18"/>
              </w:rPr>
              <w:t>#ethnicity  #incidence  #aggressivephenotype</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Overweight / sedentary</w:t>
            </w:r>
          </w:p>
        </w:tc>
        <w:tc>
          <w:tcPr>
            <w:tcW w:type="dxa" w:w="2160"/>
            <w:vAlign w:val="top"/>
          </w:tcPr>
          <w:p>
            <w:pPr>
              <w:spacing w:after="40" w:before="0" w:line="259" w:lineRule="auto"/>
            </w:pPr>
            <w:r>
              <w:rPr>
                <w:rFonts w:ascii="Calibri" w:hAnsi="Calibri"/>
                <w:b w:val="0"/>
                <w:i w:val="0"/>
                <w:color w:val="212121"/>
                <w:sz w:val="19"/>
              </w:rPr>
              <w:t>Patients with coexisting metabolic fatty liver</w:t>
            </w:r>
          </w:p>
        </w:tc>
        <w:tc>
          <w:tcPr>
            <w:tcW w:type="dxa" w:w="4276"/>
            <w:vAlign w:val="top"/>
          </w:tcPr>
          <w:p>
            <w:pPr>
              <w:spacing w:after="60" w:line="259" w:lineRule="auto"/>
            </w:pPr>
            <w:r>
              <w:rPr>
                <w:rFonts w:ascii="Calibri" w:hAnsi="Calibri"/>
                <w:b w:val="0"/>
                <w:i w:val="0"/>
                <w:color w:val="212121"/>
                <w:sz w:val="19"/>
              </w:rPr>
              <w:t>Obesity and inactivity do not cause AIH, but coexisting metabolic (non-alcoholic) fatty liver disease is common, can mask or mimic AIH, worsens fibrosis, and compounds the metabolic side-effects of corticosteroid therapy.</w:t>
            </w:r>
          </w:p>
          <w:p>
            <w:pPr>
              <w:spacing w:after="40" w:before="60" w:line="259" w:lineRule="auto"/>
            </w:pPr>
            <w:r>
              <w:rPr>
                <w:rFonts w:ascii="Calibri" w:hAnsi="Calibri"/>
                <w:b w:val="0"/>
                <w:i w:val="0"/>
                <w:color w:val="212121"/>
                <w:sz w:val="19"/>
              </w:rPr>
              <w:t>Overweight and central adiposity accelerate fibrosis in any chronic liver disease and amplify steroid-induced weight gain, hyperglycaemia and dyslipidaemia during AIH treatment.</w:t>
            </w:r>
          </w:p>
          <w:p>
            <w:pPr>
              <w:spacing w:before="60" w:after="40"/>
            </w:pPr>
            <w:r>
              <w:rPr>
                <w:rFonts w:ascii="Calibri" w:hAnsi="Calibri"/>
                <w:b w:val="0"/>
                <w:i w:val="0"/>
                <w:color w:val="5A5A5A"/>
                <w:sz w:val="18"/>
              </w:rPr>
              <w:t>#MASLD  #steroidmetabolic  #fibrosis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tobacco smokers</w:t>
            </w:r>
          </w:p>
        </w:tc>
        <w:tc>
          <w:tcPr>
            <w:tcW w:type="dxa" w:w="4276"/>
            <w:vAlign w:val="top"/>
          </w:tcPr>
          <w:p>
            <w:pPr>
              <w:spacing w:after="60" w:line="259" w:lineRule="auto"/>
            </w:pPr>
            <w:r>
              <w:rPr>
                <w:rFonts w:ascii="Calibri" w:hAnsi="Calibri"/>
                <w:b w:val="0"/>
                <w:i w:val="0"/>
                <w:color w:val="212121"/>
                <w:sz w:val="19"/>
              </w:rPr>
              <w:t>Smoking is not an established cause of AIH but is associated with more advanced fibrosis and poorer outcomes across autoimmune liver disease, and it adds cardiovascular risk in patients on long-term steroids; cessation is advised.</w:t>
            </w:r>
          </w:p>
          <w:p>
            <w:pPr>
              <w:spacing w:after="40" w:before="60" w:line="259" w:lineRule="auto"/>
            </w:pPr>
            <w:r>
              <w:rPr>
                <w:rFonts w:ascii="Calibri" w:hAnsi="Calibri"/>
                <w:b w:val="0"/>
                <w:i w:val="0"/>
                <w:color w:val="212121"/>
                <w:sz w:val="19"/>
              </w:rPr>
              <w:t>Tobacco use is regarded as a modifiable factor that can worsen the course of autoimmune and chronic liver disease.</w:t>
            </w:r>
          </w:p>
          <w:p>
            <w:pPr>
              <w:spacing w:before="60" w:after="40"/>
            </w:pPr>
            <w:r>
              <w:rPr>
                <w:rFonts w:ascii="Calibri" w:hAnsi="Calibri"/>
                <w:b w:val="0"/>
                <w:i w:val="0"/>
                <w:color w:val="5A5A5A"/>
                <w:sz w:val="18"/>
              </w:rPr>
              <w:t>#smoking  #fibrosis  #modifiable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Regular / heavy drinkers</w:t>
            </w:r>
          </w:p>
        </w:tc>
        <w:tc>
          <w:tcPr>
            <w:tcW w:type="dxa" w:w="4276"/>
            <w:vAlign w:val="top"/>
          </w:tcPr>
          <w:p>
            <w:pPr>
              <w:spacing w:after="60" w:line="259" w:lineRule="auto"/>
            </w:pPr>
            <w:r>
              <w:rPr>
                <w:rFonts w:ascii="Calibri" w:hAnsi="Calibri"/>
                <w:b w:val="0"/>
                <w:i w:val="0"/>
                <w:color w:val="212121"/>
                <w:sz w:val="19"/>
              </w:rPr>
              <w:t>Alcohol is not causal for AIH, but it accelerates hepatocyte injury and fibrosis, confounds the biochemical picture, and must be excluded as an alternative or additive cause during diagnosis; abstinence protects the inflamed liver.</w:t>
            </w:r>
          </w:p>
          <w:p>
            <w:pPr>
              <w:spacing w:after="40" w:before="60" w:line="259" w:lineRule="auto"/>
            </w:pPr>
            <w:r>
              <w:rPr>
                <w:rFonts w:ascii="Calibri" w:hAnsi="Calibri"/>
                <w:b w:val="0"/>
                <w:i w:val="0"/>
                <w:color w:val="212121"/>
                <w:sz w:val="19"/>
              </w:rPr>
              <w:t>Alcohol must be excluded during AIH diagnosis and stopped during treatment, as it independently drives fibrosis progression and cirrhosis.</w:t>
            </w:r>
          </w:p>
          <w:p>
            <w:pPr>
              <w:spacing w:before="60" w:after="40"/>
            </w:pPr>
            <w:r>
              <w:rPr>
                <w:rFonts w:ascii="Calibri" w:hAnsi="Calibri"/>
                <w:b w:val="0"/>
                <w:i w:val="0"/>
                <w:color w:val="5A5A5A"/>
                <w:sz w:val="18"/>
              </w:rPr>
              <w:t>#alcohol  #confounder  #abstinence</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Gluten exposure</w:t>
            </w:r>
          </w:p>
        </w:tc>
        <w:tc>
          <w:tcPr>
            <w:tcW w:type="dxa" w:w="2160"/>
            <w:vAlign w:val="top"/>
          </w:tcPr>
          <w:p>
            <w:pPr>
              <w:spacing w:after="40" w:before="0" w:line="259" w:lineRule="auto"/>
            </w:pPr>
            <w:r>
              <w:rPr>
                <w:rFonts w:ascii="Calibri" w:hAnsi="Calibri"/>
                <w:b w:val="0"/>
                <w:i w:val="0"/>
                <w:color w:val="212121"/>
                <w:sz w:val="19"/>
              </w:rPr>
              <w:t>Patients with concurrent coeliac disease</w:t>
            </w:r>
          </w:p>
        </w:tc>
        <w:tc>
          <w:tcPr>
            <w:tcW w:type="dxa" w:w="4276"/>
            <w:vAlign w:val="top"/>
          </w:tcPr>
          <w:p>
            <w:pPr>
              <w:spacing w:after="60" w:line="259" w:lineRule="auto"/>
            </w:pPr>
            <w:r>
              <w:rPr>
                <w:rFonts w:ascii="Calibri" w:hAnsi="Calibri"/>
                <w:b w:val="0"/>
                <w:i w:val="0"/>
                <w:color w:val="212121"/>
                <w:sz w:val="19"/>
              </w:rPr>
              <w:t>Coeliac disease clusters with AIH through shared autoimmune susceptibility; in affected patients, untreated gluten exposure perpetuates immune activation and abnormal liver enzymes, and a gluten-free diet can improve transaminases.</w:t>
            </w:r>
          </w:p>
          <w:p>
            <w:pPr>
              <w:spacing w:after="40" w:before="60" w:line="259" w:lineRule="auto"/>
            </w:pPr>
            <w:r>
              <w:rPr>
                <w:rFonts w:ascii="Calibri" w:hAnsi="Calibri"/>
                <w:b w:val="0"/>
                <w:i w:val="0"/>
                <w:color w:val="212121"/>
                <w:sz w:val="19"/>
              </w:rPr>
              <w:t>Coeliac disease is a recognised, guideline-endorsed screen in AIH because of its markedly increased prevalence compared with the general population.</w:t>
            </w:r>
          </w:p>
          <w:p>
            <w:pPr>
              <w:spacing w:before="60" w:after="40"/>
            </w:pPr>
            <w:r>
              <w:rPr>
                <w:rFonts w:ascii="Calibri" w:hAnsi="Calibri"/>
                <w:b w:val="0"/>
                <w:i w:val="0"/>
                <w:color w:val="5A5A5A"/>
                <w:sz w:val="18"/>
              </w:rPr>
              <w:t>#coeliac  #glutenfree  #screening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High-fat / obesogenic diet</w:t>
            </w:r>
          </w:p>
        </w:tc>
        <w:tc>
          <w:tcPr>
            <w:tcW w:type="dxa" w:w="2160"/>
            <w:vAlign w:val="top"/>
          </w:tcPr>
          <w:p>
            <w:pPr>
              <w:spacing w:after="40" w:before="0" w:line="259" w:lineRule="auto"/>
            </w:pPr>
            <w:r>
              <w:rPr>
                <w:rFonts w:ascii="Calibri" w:hAnsi="Calibri"/>
                <w:b w:val="0"/>
                <w:i w:val="0"/>
                <w:color w:val="212121"/>
                <w:sz w:val="19"/>
              </w:rPr>
              <w:t>Energy-dense, low-fibre eating patterns</w:t>
            </w:r>
          </w:p>
        </w:tc>
        <w:tc>
          <w:tcPr>
            <w:tcW w:type="dxa" w:w="4276"/>
            <w:vAlign w:val="top"/>
          </w:tcPr>
          <w:p>
            <w:pPr>
              <w:spacing w:after="60" w:line="259" w:lineRule="auto"/>
            </w:pPr>
            <w:r>
              <w:rPr>
                <w:rFonts w:ascii="Calibri" w:hAnsi="Calibri"/>
                <w:b w:val="0"/>
                <w:i w:val="0"/>
                <w:color w:val="212121"/>
                <w:sz w:val="19"/>
              </w:rPr>
              <w:t>Calorie-dense, high-fat diets promote hepatic steatosis and insulin resistance that add to AIH-related injury and are worsened by corticosteroids; a balanced, salt-moderate diet supports the liver and offsets steroid effects.</w:t>
            </w:r>
          </w:p>
          <w:p>
            <w:pPr>
              <w:spacing w:after="40" w:before="60" w:line="259" w:lineRule="auto"/>
            </w:pPr>
            <w:r>
              <w:rPr>
                <w:rFonts w:ascii="Calibri" w:hAnsi="Calibri"/>
                <w:b w:val="0"/>
                <w:i w:val="0"/>
                <w:color w:val="212121"/>
                <w:sz w:val="19"/>
              </w:rPr>
              <w:t>Diet does not cause AIH, but dietary control of weight, glucose and salt is central to limiting steroid-related complications and coexisting fatty liver.</w:t>
            </w:r>
          </w:p>
          <w:p>
            <w:pPr>
              <w:spacing w:before="60" w:after="40"/>
            </w:pPr>
            <w:r>
              <w:rPr>
                <w:rFonts w:ascii="Calibri" w:hAnsi="Calibri"/>
                <w:b w:val="0"/>
                <w:i w:val="0"/>
                <w:color w:val="5A5A5A"/>
                <w:sz w:val="18"/>
              </w:rPr>
              <w:t>#diet  #steroidweightgain  #insulinresistance</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HLA genotype</w:t>
            </w:r>
          </w:p>
        </w:tc>
        <w:tc>
          <w:tcPr>
            <w:tcW w:type="dxa" w:w="2160"/>
            <w:vAlign w:val="top"/>
          </w:tcPr>
          <w:p>
            <w:pPr>
              <w:spacing w:after="40" w:before="0" w:line="259" w:lineRule="auto"/>
            </w:pPr>
            <w:r>
              <w:rPr>
                <w:rFonts w:ascii="Calibri" w:hAnsi="Calibri"/>
                <w:b w:val="0"/>
                <w:i w:val="0"/>
                <w:color w:val="212121"/>
                <w:sz w:val="19"/>
              </w:rPr>
              <w:t>HLA-DRB1*03 / DRB1*04 carriers</w:t>
            </w:r>
          </w:p>
        </w:tc>
        <w:tc>
          <w:tcPr>
            <w:tcW w:type="dxa" w:w="4276"/>
            <w:vAlign w:val="top"/>
          </w:tcPr>
          <w:p>
            <w:pPr>
              <w:spacing w:after="60" w:line="259" w:lineRule="auto"/>
            </w:pPr>
            <w:r>
              <w:rPr>
                <w:rFonts w:ascii="Calibri" w:hAnsi="Calibri"/>
                <w:b w:val="0"/>
                <w:i w:val="0"/>
                <w:color w:val="212121"/>
                <w:sz w:val="19"/>
              </w:rPr>
              <w:t>HLA class II alleles are the strongest genetic risk factors for type 1 AIH; DRB1*03 is linked to younger onset and more aggressive, relapse-prone disease, while DRB1*04 is associated with concurrent autoimmune conditions.</w:t>
            </w:r>
          </w:p>
          <w:p>
            <w:pPr>
              <w:spacing w:after="40" w:before="60" w:line="259" w:lineRule="auto"/>
            </w:pPr>
            <w:r>
              <w:rPr>
                <w:rFonts w:ascii="Calibri" w:hAnsi="Calibri"/>
                <w:b w:val="0"/>
                <w:i w:val="0"/>
                <w:color w:val="212121"/>
                <w:sz w:val="19"/>
              </w:rPr>
              <w:t>HLA-DRB1*03 and DRB1*04 are the principal susceptibility alleles for type 1 autoimmune hepatitis.</w:t>
            </w:r>
          </w:p>
          <w:p>
            <w:pPr>
              <w:spacing w:after="40" w:line="252" w:lineRule="auto"/>
            </w:pPr>
            <w:hyperlink r:id="rId10">
              <w:r>
                <w:rPr>
                  <w:rFonts w:ascii="Calibri" w:hAnsi="Calibri" w:cs="Calibri"/>
                  <w:sz w:val="18"/>
                  <w:color w:val="1155CC"/>
                  <w:u w:val="single"/>
                </w:rPr>
                <w:t xml:space="preserve">StatPearls — Autoimmune Hepatitis</w:t>
              </w:r>
            </w:hyperlink>
          </w:p>
          <w:p>
            <w:pPr>
              <w:spacing w:before="60" w:after="40"/>
            </w:pPr>
            <w:r>
              <w:rPr>
                <w:rFonts w:ascii="Calibri" w:hAnsi="Calibri"/>
                <w:b w:val="0"/>
                <w:i w:val="0"/>
                <w:color w:val="5A5A5A"/>
                <w:sz w:val="18"/>
              </w:rPr>
              <w:t>#HLA  #DRB1  #geneticrisk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Relatives with autoimmune disease</w:t>
            </w:r>
          </w:p>
        </w:tc>
        <w:tc>
          <w:tcPr>
            <w:tcW w:type="dxa" w:w="4276"/>
            <w:vAlign w:val="top"/>
          </w:tcPr>
          <w:p>
            <w:pPr>
              <w:spacing w:after="60" w:line="259" w:lineRule="auto"/>
            </w:pPr>
            <w:r>
              <w:rPr>
                <w:rFonts w:ascii="Calibri" w:hAnsi="Calibri"/>
                <w:b w:val="0"/>
                <w:i w:val="0"/>
                <w:color w:val="212121"/>
                <w:sz w:val="19"/>
              </w:rPr>
              <w:t>AIH clusters within families that carry a broader autoimmune diathesis; a first-degree history of thyroid disease, coeliac disease, type 1 diabetes or vitiligo raises the index of suspicion and warrants a lower threshold for screening.</w:t>
            </w:r>
          </w:p>
          <w:p>
            <w:pPr>
              <w:spacing w:after="40" w:before="60" w:line="259" w:lineRule="auto"/>
            </w:pPr>
            <w:r>
              <w:rPr>
                <w:rFonts w:ascii="Calibri" w:hAnsi="Calibri"/>
                <w:b w:val="0"/>
                <w:i w:val="0"/>
                <w:color w:val="212121"/>
                <w:sz w:val="19"/>
              </w:rPr>
              <w:t>A personal or family history of autoimmunity is common and reflects shared HLA-linked susceptibility.</w:t>
            </w:r>
          </w:p>
          <w:p>
            <w:pPr>
              <w:spacing w:before="60" w:after="40"/>
            </w:pPr>
            <w:r>
              <w:rPr>
                <w:rFonts w:ascii="Calibri" w:hAnsi="Calibri"/>
                <w:b w:val="0"/>
                <w:i w:val="0"/>
                <w:color w:val="5A5A5A"/>
                <w:sz w:val="18"/>
              </w:rPr>
              <w:t>#familyhistory  #autoimmunediathesis  #clustering</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Autoimmune thyroid disease</w:t>
            </w:r>
          </w:p>
        </w:tc>
        <w:tc>
          <w:tcPr>
            <w:tcW w:type="dxa" w:w="2160"/>
            <w:vAlign w:val="top"/>
          </w:tcPr>
          <w:p>
            <w:pPr>
              <w:spacing w:after="40" w:before="0" w:line="259" w:lineRule="auto"/>
            </w:pPr>
            <w:r>
              <w:rPr>
                <w:rFonts w:ascii="Calibri" w:hAnsi="Calibri"/>
                <w:b w:val="0"/>
                <w:i w:val="0"/>
                <w:color w:val="212121"/>
                <w:sz w:val="19"/>
              </w:rPr>
              <w:t>Patients with Hashimoto/Graves disease</w:t>
            </w:r>
          </w:p>
        </w:tc>
        <w:tc>
          <w:tcPr>
            <w:tcW w:type="dxa" w:w="4276"/>
            <w:vAlign w:val="top"/>
          </w:tcPr>
          <w:p>
            <w:pPr>
              <w:spacing w:after="60" w:line="259" w:lineRule="auto"/>
            </w:pPr>
            <w:r>
              <w:rPr>
                <w:rFonts w:ascii="Calibri" w:hAnsi="Calibri"/>
                <w:b w:val="0"/>
                <w:i w:val="0"/>
                <w:color w:val="212121"/>
                <w:sz w:val="19"/>
              </w:rPr>
              <w:t>Autoimmune thyroid disease is the commonest extrahepatic association of AIH through shared immune dysregulation; thyroid function should be checked at diagnosis and monitored, as untreated thyroid disease worsens fatigue and metabolic control.</w:t>
            </w:r>
          </w:p>
          <w:p>
            <w:pPr>
              <w:spacing w:after="40" w:before="60" w:line="259" w:lineRule="auto"/>
            </w:pPr>
            <w:r>
              <w:rPr>
                <w:rFonts w:ascii="Calibri" w:hAnsi="Calibri"/>
                <w:b w:val="0"/>
                <w:i w:val="0"/>
                <w:color w:val="212121"/>
                <w:sz w:val="19"/>
              </w:rPr>
              <w:t>Concurrent extrahepatic autoimmune disease occurs in roughly 30% of AIH patients (29.9% in one large series); hypothyroidism was among the commonest associations in Indian cohorts.</w:t>
            </w:r>
          </w:p>
          <w:p>
            <w:pPr>
              <w:spacing w:after="40" w:line="252" w:lineRule="auto"/>
            </w:pPr>
            <w:hyperlink r:id="rId12">
              <w:r>
                <w:rPr>
                  <w:rFonts w:ascii="Calibri" w:hAnsi="Calibri" w:cs="Calibri"/>
                  <w:sz w:val="18"/>
                  <w:color w:val="1155CC"/>
                  <w:u w:val="single"/>
                </w:rPr>
                <w:t xml:space="preserve">Eur J Gastroenterol Hepatol 2015 — extrahepatic autoimmune disease in AIH</w:t>
              </w:r>
            </w:hyperlink>
          </w:p>
          <w:p>
            <w:pPr>
              <w:spacing w:before="60" w:after="40"/>
            </w:pPr>
            <w:r>
              <w:rPr>
                <w:rFonts w:ascii="Calibri" w:hAnsi="Calibri"/>
                <w:b w:val="0"/>
                <w:i w:val="0"/>
                <w:color w:val="5A5A5A"/>
                <w:sz w:val="18"/>
              </w:rPr>
              <w:t>#thyroid  #Hashimoto  #extrahepatic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Other autoimmune disease</w:t>
            </w:r>
          </w:p>
        </w:tc>
        <w:tc>
          <w:tcPr>
            <w:tcW w:type="dxa" w:w="2160"/>
            <w:vAlign w:val="top"/>
          </w:tcPr>
          <w:p>
            <w:pPr>
              <w:spacing w:after="40" w:before="0" w:line="259" w:lineRule="auto"/>
            </w:pPr>
            <w:r>
              <w:rPr>
                <w:rFonts w:ascii="Calibri" w:hAnsi="Calibri"/>
                <w:b w:val="0"/>
                <w:i w:val="0"/>
                <w:color w:val="212121"/>
                <w:sz w:val="19"/>
              </w:rPr>
              <w:t>Coeliac disease, type 1 diabetes, vitiligo, RA, Sjogren's</w:t>
            </w:r>
          </w:p>
        </w:tc>
        <w:tc>
          <w:tcPr>
            <w:tcW w:type="dxa" w:w="4276"/>
            <w:vAlign w:val="top"/>
          </w:tcPr>
          <w:p>
            <w:pPr>
              <w:spacing w:after="60" w:line="259" w:lineRule="auto"/>
            </w:pPr>
            <w:r>
              <w:rPr>
                <w:rFonts w:ascii="Calibri" w:hAnsi="Calibri"/>
                <w:b w:val="0"/>
                <w:i w:val="0"/>
                <w:color w:val="212121"/>
                <w:sz w:val="19"/>
              </w:rPr>
              <w:t>AIH frequently coexists with a range of organ- and non-organ-specific autoimmune diseases, reflecting a common autoimmune predisposition; their presence supports the diagnosis and alters monitoring.</w:t>
            </w:r>
          </w:p>
          <w:p>
            <w:pPr>
              <w:spacing w:after="40" w:before="60" w:line="259" w:lineRule="auto"/>
            </w:pPr>
            <w:r>
              <w:rPr>
                <w:rFonts w:ascii="Calibri" w:hAnsi="Calibri"/>
                <w:b w:val="0"/>
                <w:i w:val="0"/>
                <w:color w:val="212121"/>
                <w:sz w:val="19"/>
              </w:rPr>
              <w:t>Associated autoimmune disease was found in 15/38 (39.4%) of an Indian AIH cohort — including diabetes, hypothyroidism, vitiligo, immune thrombocytopenia, rheumatoid arthritis and Sjogren's syndrome.</w:t>
            </w:r>
          </w:p>
          <w:p>
            <w:pPr>
              <w:spacing w:after="40" w:line="252" w:lineRule="auto"/>
            </w:pPr>
            <w:hyperlink r:id="rId9">
              <w:r>
                <w:rPr>
                  <w:rFonts w:ascii="Calibri" w:hAnsi="Calibri" w:cs="Calibri"/>
                  <w:sz w:val="18"/>
                  <w:color w:val="1155CC"/>
                  <w:u w:val="single"/>
                </w:rPr>
                <w:t xml:space="preserve">BMC Gastroenterology — AIH in India (Choudhuri/Gupta 2005)</w:t>
              </w:r>
            </w:hyperlink>
          </w:p>
          <w:p>
            <w:pPr>
              <w:spacing w:before="60" w:after="40"/>
            </w:pPr>
            <w:r>
              <w:rPr>
                <w:rFonts w:ascii="Calibri" w:hAnsi="Calibri"/>
                <w:b w:val="0"/>
                <w:i w:val="0"/>
                <w:color w:val="5A5A5A"/>
                <w:sz w:val="18"/>
              </w:rPr>
              <w:t>#coeliac  #vitiligo  #polyautoimmunity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Overlap syndrome</w:t>
            </w:r>
          </w:p>
        </w:tc>
        <w:tc>
          <w:tcPr>
            <w:tcW w:type="dxa" w:w="2160"/>
            <w:vAlign w:val="top"/>
          </w:tcPr>
          <w:p>
            <w:pPr>
              <w:spacing w:after="40" w:before="0" w:line="259" w:lineRule="auto"/>
            </w:pPr>
            <w:r>
              <w:rPr>
                <w:rFonts w:ascii="Calibri" w:hAnsi="Calibri"/>
                <w:b w:val="0"/>
                <w:i w:val="0"/>
                <w:color w:val="212121"/>
                <w:sz w:val="19"/>
              </w:rPr>
              <w:t>AIH-PBC / AIH-PSC overlap</w:t>
            </w:r>
          </w:p>
        </w:tc>
        <w:tc>
          <w:tcPr>
            <w:tcW w:type="dxa" w:w="4276"/>
            <w:vAlign w:val="top"/>
          </w:tcPr>
          <w:p>
            <w:pPr>
              <w:spacing w:after="60" w:line="259" w:lineRule="auto"/>
            </w:pPr>
            <w:r>
              <w:rPr>
                <w:rFonts w:ascii="Calibri" w:hAnsi="Calibri"/>
                <w:b w:val="0"/>
                <w:i w:val="0"/>
                <w:color w:val="212121"/>
                <w:sz w:val="19"/>
              </w:rPr>
              <w:t>A subset of patients show mixed hepatitic and cholestatic disease overlapping with primary biliary cholangitis or primary sclerosing cholangitis, which changes serology (AMA), imaging (cholangiography) and therapy (adding ursodeoxycholic acid).</w:t>
            </w:r>
          </w:p>
          <w:p>
            <w:pPr>
              <w:spacing w:after="40" w:before="60" w:line="259" w:lineRule="auto"/>
            </w:pPr>
            <w:r>
              <w:rPr>
                <w:rFonts w:ascii="Calibri" w:hAnsi="Calibri"/>
                <w:b w:val="0"/>
                <w:i w:val="0"/>
                <w:color w:val="212121"/>
                <w:sz w:val="19"/>
              </w:rPr>
              <w:t>Overlap with PBC or PSC alters diagnosis and management and must be actively considered when cholestatic features accompany AIH.</w:t>
            </w:r>
          </w:p>
          <w:p>
            <w:pPr>
              <w:spacing w:before="60" w:after="40"/>
            </w:pPr>
            <w:r>
              <w:rPr>
                <w:rFonts w:ascii="Calibri" w:hAnsi="Calibri"/>
                <w:b w:val="0"/>
                <w:i w:val="0"/>
                <w:color w:val="5A5A5A"/>
                <w:sz w:val="18"/>
              </w:rPr>
              <w:t>#overlap  #PBC  #PSC</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activity does not cause or prevent AIH, but regular exercise counters corticosteroid-induced weight gain, hyperglycaemia, muscle loss and bone loss, and helps the disproportionate fatigue many patients experience.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Diet is not causal, but weight, glucose and salt control limit steroid-related metabolic complications and coexisting fatty liver; a gluten-free diet benefits the coeliac subset, and adequate protein/calcium supports patients on long-term steroids.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Sleep is not a driver of disease activity, yet fatigue and steroid-induced insomnia are common and impair quality of life; new sleep-wake reversal signals hepatic encephalopathy in advanced disease.</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Smoking is not an established cause of AIH but is linked to more advanced fibrosis in autoimmune liver disease and adds cardiovascular risk during long-term steroid therapy; cessation is advised.</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Alcohol does not cause AIH but must be excluded as an alternative/additive cause and stopped during treatment, as it accelerates hepatocyte injury, fibrosis and progression to cirrhosis.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Chronic illness, cosmetic and mood effects of corticosteroids, and disease-related fatigue commonly produce anxiety and depression that reduce adherence; psychological stress is an anecdotal flare trigger.</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Hydration has no role in disease activity, but fluid and sodium balance become clinically important once cirrhosis with ascites develops.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Regular coffee intake is associated with slower fibrosis and lower cirrhosis risk across chronic liver diseases in observational studies, but evidence specific to AIH is weak and it is not a treatment.</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General and food/hand hygiene and up-to-date vaccination matter because immunosuppressive therapy (steroids, azathioprine) raises the risk of opportunistic and community infections.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Recognised triggers of AIH or AIH-like injury include drugs (nitrofurantoin, minocycline, statins, anti-TNF agents, immune-checkpoint inhibitors), herbal/ayurvedic products, viral infections (hepatitis A/E, EBV), and the peri-partum period; abrupt withdrawal of immunosuppression provokes relapse.</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Serum IgG / gamma-globulin</w:t>
            </w:r>
          </w:p>
        </w:tc>
        <w:tc>
          <w:tcPr>
            <w:tcW w:type="dxa" w:w="1655"/>
            <w:vAlign w:val="top"/>
          </w:tcPr>
          <w:p>
            <w:pPr>
              <w:spacing w:after="40" w:before="0" w:line="259" w:lineRule="auto"/>
            </w:pPr>
            <w:r>
              <w:rPr>
                <w:rFonts w:ascii="Calibri" w:hAnsi="Calibri"/>
                <w:b w:val="0"/>
                <w:i w:val="0"/>
                <w:color w:val="212121"/>
                <w:sz w:val="19"/>
              </w:rPr>
              <w:t>All AIH patients</w:t>
            </w:r>
          </w:p>
        </w:tc>
        <w:tc>
          <w:tcPr>
            <w:tcW w:type="dxa" w:w="1512"/>
            <w:vAlign w:val="top"/>
          </w:tcPr>
          <w:p>
            <w:pPr>
              <w:spacing w:after="40" w:before="0" w:line="259" w:lineRule="auto"/>
            </w:pPr>
            <w:r>
              <w:rPr>
                <w:rFonts w:ascii="Calibri" w:hAnsi="Calibri"/>
                <w:b w:val="0"/>
                <w:i w:val="0"/>
                <w:color w:val="212121"/>
                <w:sz w:val="19"/>
              </w:rPr>
              <w:t>Within normal range</w:t>
            </w:r>
          </w:p>
        </w:tc>
        <w:tc>
          <w:tcPr>
            <w:tcW w:type="dxa" w:w="1512"/>
            <w:vAlign w:val="top"/>
          </w:tcPr>
          <w:p>
            <w:pPr>
              <w:spacing w:after="40" w:before="0" w:line="259" w:lineRule="auto"/>
            </w:pPr>
            <w:r>
              <w:rPr>
                <w:rFonts w:ascii="Calibri" w:hAnsi="Calibri"/>
                <w:b w:val="0"/>
                <w:i w:val="0"/>
                <w:color w:val="212121"/>
                <w:sz w:val="19"/>
              </w:rPr>
              <w:t>&gt; upper limit of normal (&gt;1.1x ULN scores higher)</w:t>
            </w:r>
          </w:p>
        </w:tc>
        <w:tc>
          <w:tcPr>
            <w:tcW w:type="dxa" w:w="1468"/>
            <w:vAlign w:val="top"/>
          </w:tcPr>
          <w:p>
            <w:pPr>
              <w:spacing w:after="60" w:line="259" w:lineRule="auto"/>
            </w:pPr>
            <w:r>
              <w:rPr>
                <w:rFonts w:ascii="Calibri" w:hAnsi="Calibri"/>
                <w:b w:val="0"/>
                <w:i w:val="0"/>
                <w:color w:val="212121"/>
                <w:sz w:val="19"/>
              </w:rPr>
              <w:t>Hypergammaglobulinaemia is characteristic; normalisation reflects biochemical remission</w:t>
            </w:r>
          </w:p>
          <w:p>
            <w:pPr>
              <w:spacing w:after="40" w:line="252" w:lineRule="auto"/>
            </w:pPr>
            <w:hyperlink r:id="rId10">
              <w:r>
                <w:rPr>
                  <w:rFonts w:ascii="Calibri" w:hAnsi="Calibri" w:cs="Calibri"/>
                  <w:sz w:val="18"/>
                  <w:color w:val="1155CC"/>
                  <w:u w:val="single"/>
                </w:rPr>
                <w:t xml:space="preserve">https://www.ncbi.nlm.nih.gov/books/NBK459186/</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ALT / AST (transaminases)</w:t>
            </w:r>
          </w:p>
        </w:tc>
        <w:tc>
          <w:tcPr>
            <w:tcW w:type="dxa" w:w="1655"/>
            <w:vAlign w:val="top"/>
          </w:tcPr>
          <w:p>
            <w:pPr>
              <w:spacing w:after="40" w:before="0" w:line="259" w:lineRule="auto"/>
            </w:pPr>
            <w:r>
              <w:rPr>
                <w:rFonts w:ascii="Calibri" w:hAnsi="Calibri"/>
                <w:b w:val="0"/>
                <w:i w:val="0"/>
                <w:color w:val="212121"/>
                <w:sz w:val="19"/>
              </w:rPr>
              <w:t>All AIH patients</w:t>
            </w:r>
          </w:p>
        </w:tc>
        <w:tc>
          <w:tcPr>
            <w:tcW w:type="dxa" w:w="1512"/>
            <w:vAlign w:val="top"/>
          </w:tcPr>
          <w:p>
            <w:pPr>
              <w:spacing w:after="40" w:before="0" w:line="259" w:lineRule="auto"/>
            </w:pPr>
            <w:r>
              <w:rPr>
                <w:rFonts w:ascii="Calibri" w:hAnsi="Calibri"/>
                <w:b w:val="0"/>
                <w:i w:val="0"/>
                <w:color w:val="212121"/>
                <w:sz w:val="19"/>
              </w:rPr>
              <w:t>Within normal range</w:t>
            </w:r>
          </w:p>
        </w:tc>
        <w:tc>
          <w:tcPr>
            <w:tcW w:type="dxa" w:w="1512"/>
            <w:vAlign w:val="top"/>
          </w:tcPr>
          <w:p>
            <w:pPr>
              <w:spacing w:after="40" w:before="0" w:line="259" w:lineRule="auto"/>
            </w:pPr>
            <w:r>
              <w:rPr>
                <w:rFonts w:ascii="Calibri" w:hAnsi="Calibri"/>
                <w:b w:val="0"/>
                <w:i w:val="0"/>
                <w:color w:val="212121"/>
                <w:sz w:val="19"/>
              </w:rPr>
              <w:t>Persistently elevated / rising = active disease or flare</w:t>
            </w:r>
          </w:p>
        </w:tc>
        <w:tc>
          <w:tcPr>
            <w:tcW w:type="dxa" w:w="1468"/>
            <w:vAlign w:val="top"/>
          </w:tcPr>
          <w:p>
            <w:pPr>
              <w:spacing w:after="60" w:line="259" w:lineRule="auto"/>
            </w:pPr>
            <w:r>
              <w:rPr>
                <w:rFonts w:ascii="Calibri" w:hAnsi="Calibri"/>
                <w:b w:val="0"/>
                <w:i w:val="0"/>
                <w:color w:val="212121"/>
                <w:sz w:val="19"/>
              </w:rPr>
              <w:t>Normalisation of ALT/AST with IgG defines biochemical remission</w:t>
            </w:r>
          </w:p>
          <w:p>
            <w:pPr>
              <w:spacing w:after="40" w:line="252" w:lineRule="auto"/>
            </w:pPr>
            <w:hyperlink r:id="rId10">
              <w:r>
                <w:rPr>
                  <w:rFonts w:ascii="Calibri" w:hAnsi="Calibri" w:cs="Calibri"/>
                  <w:sz w:val="18"/>
                  <w:color w:val="1155CC"/>
                  <w:u w:val="single"/>
                </w:rPr>
                <w:t xml:space="preserve">https://www.ncbi.nlm.nih.gov/books/NBK459186/</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Autoantibody titre (ANA / ASMA)</w:t>
            </w:r>
          </w:p>
        </w:tc>
        <w:tc>
          <w:tcPr>
            <w:tcW w:type="dxa" w:w="1655"/>
            <w:vAlign w:val="top"/>
          </w:tcPr>
          <w:p>
            <w:pPr>
              <w:spacing w:after="40" w:before="0" w:line="259" w:lineRule="auto"/>
            </w:pPr>
            <w:r>
              <w:rPr>
                <w:rFonts w:ascii="Calibri" w:hAnsi="Calibri"/>
                <w:b w:val="0"/>
                <w:i w:val="0"/>
                <w:color w:val="212121"/>
                <w:sz w:val="19"/>
              </w:rPr>
              <w:t>Adults, type 1 AIH</w:t>
            </w:r>
          </w:p>
        </w:tc>
        <w:tc>
          <w:tcPr>
            <w:tcW w:type="dxa" w:w="1512"/>
            <w:vAlign w:val="top"/>
          </w:tcPr>
          <w:p>
            <w:pPr>
              <w:spacing w:after="40" w:before="0" w:line="259" w:lineRule="auto"/>
            </w:pPr>
            <w:r>
              <w:rPr>
                <w:rFonts w:ascii="Calibri" w:hAnsi="Calibri"/>
                <w:b w:val="0"/>
                <w:i w:val="0"/>
                <w:color w:val="212121"/>
                <w:sz w:val="19"/>
              </w:rPr>
              <w:t>Negative / low</w:t>
            </w:r>
          </w:p>
        </w:tc>
        <w:tc>
          <w:tcPr>
            <w:tcW w:type="dxa" w:w="1512"/>
            <w:vAlign w:val="top"/>
          </w:tcPr>
          <w:p>
            <w:pPr>
              <w:spacing w:after="40" w:before="0" w:line="259" w:lineRule="auto"/>
            </w:pPr>
            <w:r>
              <w:rPr>
                <w:rFonts w:ascii="Calibri" w:hAnsi="Calibri"/>
                <w:b w:val="0"/>
                <w:i w:val="0"/>
                <w:color w:val="212121"/>
                <w:sz w:val="19"/>
              </w:rPr>
              <w:t>&gt;=1:40 (&gt;=1:80 scores higher in simplified criteria)</w:t>
            </w:r>
          </w:p>
        </w:tc>
        <w:tc>
          <w:tcPr>
            <w:tcW w:type="dxa" w:w="1468"/>
            <w:vAlign w:val="top"/>
          </w:tcPr>
          <w:p>
            <w:pPr>
              <w:spacing w:after="60" w:line="259" w:lineRule="auto"/>
            </w:pPr>
            <w:r>
              <w:rPr>
                <w:rFonts w:ascii="Calibri" w:hAnsi="Calibri"/>
                <w:b w:val="0"/>
                <w:i w:val="0"/>
                <w:color w:val="212121"/>
                <w:sz w:val="19"/>
              </w:rPr>
              <w:t>Supports diagnosis; titre does not track disease activity</w:t>
            </w:r>
          </w:p>
          <w:p>
            <w:pPr>
              <w:spacing w:after="40" w:line="252" w:lineRule="auto"/>
            </w:pPr>
            <w:hyperlink r:id="rId13">
              <w:r>
                <w:rPr>
                  <w:rFonts w:ascii="Calibri" w:hAnsi="Calibri" w:cs="Calibri"/>
                  <w:sz w:val="18"/>
                  <w:color w:val="1155CC"/>
                  <w:u w:val="single"/>
                </w:rPr>
                <w:t xml:space="preserve">https://pubmed.ncbi.nlm.nih.gov/26641924/</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w:t>
            </w:r>
          </w:p>
        </w:tc>
        <w:tc>
          <w:tcPr>
            <w:tcW w:type="dxa" w:w="1655"/>
            <w:vAlign w:val="top"/>
          </w:tcPr>
          <w:p>
            <w:pPr>
              <w:spacing w:after="40" w:before="0" w:line="259" w:lineRule="auto"/>
            </w:pPr>
            <w:r>
              <w:rPr>
                <w:rFonts w:ascii="Calibri" w:hAnsi="Calibri"/>
                <w:b w:val="0"/>
                <w:i w:val="0"/>
                <w:color w:val="212121"/>
                <w:sz w:val="19"/>
              </w:rPr>
              <w:t>All AIH patients</w:t>
            </w:r>
          </w:p>
        </w:tc>
        <w:tc>
          <w:tcPr>
            <w:tcW w:type="dxa" w:w="1512"/>
            <w:vAlign w:val="top"/>
          </w:tcPr>
          <w:p>
            <w:pPr>
              <w:spacing w:after="40" w:before="0" w:line="259" w:lineRule="auto"/>
            </w:pPr>
            <w:r>
              <w:rPr>
                <w:rFonts w:ascii="Calibri" w:hAnsi="Calibri"/>
                <w:b w:val="0"/>
                <w:i w:val="0"/>
                <w:color w:val="212121"/>
                <w:sz w:val="19"/>
              </w:rPr>
              <w:t>0 (abstinence)</w:t>
            </w:r>
          </w:p>
        </w:tc>
        <w:tc>
          <w:tcPr>
            <w:tcW w:type="dxa" w:w="1512"/>
            <w:vAlign w:val="top"/>
          </w:tcPr>
          <w:p>
            <w:pPr>
              <w:spacing w:after="40" w:before="0" w:line="259" w:lineRule="auto"/>
            </w:pPr>
            <w:r>
              <w:rPr>
                <w:rFonts w:ascii="Calibri" w:hAnsi="Calibri"/>
                <w:b w:val="0"/>
                <w:i w:val="0"/>
                <w:color w:val="212121"/>
                <w:sz w:val="19"/>
              </w:rPr>
              <w:t>Any regular intake</w:t>
            </w:r>
          </w:p>
        </w:tc>
        <w:tc>
          <w:tcPr>
            <w:tcW w:type="dxa" w:w="1468"/>
            <w:vAlign w:val="top"/>
          </w:tcPr>
          <w:p>
            <w:pPr>
              <w:spacing w:after="40" w:before="0" w:line="259" w:lineRule="auto"/>
            </w:pPr>
            <w:r>
              <w:rPr>
                <w:rFonts w:ascii="Calibri" w:hAnsi="Calibri"/>
                <w:b w:val="0"/>
                <w:i w:val="0"/>
                <w:color w:val="212121"/>
                <w:sz w:val="19"/>
              </w:rPr>
              <w:t>Confounds diagnosis and accelerates fibrosis; exclude and avoid</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(Asian cut-offs)</w:t>
            </w:r>
          </w:p>
        </w:tc>
        <w:tc>
          <w:tcPr>
            <w:tcW w:type="dxa" w:w="1655"/>
            <w:vAlign w:val="top"/>
          </w:tcPr>
          <w:p>
            <w:pPr>
              <w:spacing w:after="40" w:before="0" w:line="259" w:lineRule="auto"/>
            </w:pPr>
            <w:r>
              <w:rPr>
                <w:rFonts w:ascii="Calibri" w:hAnsi="Calibri"/>
                <w:b w:val="0"/>
                <w:i w:val="0"/>
                <w:color w:val="212121"/>
                <w:sz w:val="19"/>
              </w:rPr>
              <w:t>Adults on steroids</w:t>
            </w:r>
          </w:p>
        </w:tc>
        <w:tc>
          <w:tcPr>
            <w:tcW w:type="dxa" w:w="1512"/>
            <w:vAlign w:val="top"/>
          </w:tcPr>
          <w:p>
            <w:pPr>
              <w:spacing w:after="40" w:before="0" w:line="259" w:lineRule="auto"/>
            </w:pPr>
            <w:r>
              <w:rPr>
                <w:rFonts w:ascii="Calibri" w:hAnsi="Calibri"/>
                <w:b w:val="0"/>
                <w:i w:val="0"/>
                <w:color w:val="212121"/>
                <w:sz w:val="19"/>
              </w:rPr>
              <w:t>18.5-22.9 kg/m2</w:t>
            </w:r>
          </w:p>
        </w:tc>
        <w:tc>
          <w:tcPr>
            <w:tcW w:type="dxa" w:w="1512"/>
            <w:vAlign w:val="top"/>
          </w:tcPr>
          <w:p>
            <w:pPr>
              <w:spacing w:after="40" w:before="0" w:line="259" w:lineRule="auto"/>
            </w:pPr>
            <w:r>
              <w:rPr>
                <w:rFonts w:ascii="Calibri" w:hAnsi="Calibri"/>
                <w:b w:val="0"/>
                <w:i w:val="0"/>
                <w:color w:val="212121"/>
                <w:sz w:val="19"/>
              </w:rPr>
              <w:t>&gt;=23 overweight; &gt;=25 obesity</w:t>
            </w:r>
          </w:p>
        </w:tc>
        <w:tc>
          <w:tcPr>
            <w:tcW w:type="dxa" w:w="1468"/>
            <w:vAlign w:val="top"/>
          </w:tcPr>
          <w:p>
            <w:pPr>
              <w:spacing w:after="40" w:before="0" w:line="259" w:lineRule="auto"/>
            </w:pPr>
            <w:r>
              <w:rPr>
                <w:rFonts w:ascii="Calibri" w:hAnsi="Calibri"/>
                <w:b w:val="0"/>
                <w:i w:val="0"/>
                <w:color w:val="212121"/>
                <w:sz w:val="19"/>
              </w:rPr>
              <w:t>Track to limit steroid-induced weight gain and coexisting fatty liver</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Moderate activity (minutes/week)</w:t>
            </w:r>
          </w:p>
        </w:tc>
        <w:tc>
          <w:tcPr>
            <w:tcW w:type="dxa" w:w="1655"/>
            <w:vAlign w:val="top"/>
          </w:tcPr>
          <w:p>
            <w:pPr>
              <w:spacing w:after="40" w:before="0" w:line="259" w:lineRule="auto"/>
            </w:pPr>
            <w:r>
              <w:rPr>
                <w:rFonts w:ascii="Calibri" w:hAnsi="Calibri"/>
                <w:b w:val="0"/>
                <w:i w:val="0"/>
                <w:color w:val="212121"/>
                <w:sz w:val="19"/>
              </w:rPr>
              <w:t>Adults, patients on steroids</w:t>
            </w:r>
          </w:p>
        </w:tc>
        <w:tc>
          <w:tcPr>
            <w:tcW w:type="dxa" w:w="1512"/>
            <w:vAlign w:val="top"/>
          </w:tcPr>
          <w:p>
            <w:pPr>
              <w:spacing w:after="40" w:before="0" w:line="259" w:lineRule="auto"/>
            </w:pPr>
            <w:r>
              <w:rPr>
                <w:rFonts w:ascii="Calibri" w:hAnsi="Calibri"/>
                <w:b w:val="0"/>
                <w:i w:val="0"/>
                <w:color w:val="212121"/>
                <w:sz w:val="19"/>
              </w:rPr>
              <w:t>&gt;=150 min/week</w:t>
            </w:r>
          </w:p>
        </w:tc>
        <w:tc>
          <w:tcPr>
            <w:tcW w:type="dxa" w:w="1512"/>
            <w:vAlign w:val="top"/>
          </w:tcPr>
          <w:p>
            <w:pPr>
              <w:spacing w:after="40" w:before="0" w:line="259" w:lineRule="auto"/>
            </w:pPr>
            <w:r>
              <w:rPr>
                <w:rFonts w:ascii="Calibri" w:hAnsi="Calibri"/>
                <w:b w:val="0"/>
                <w:i w:val="0"/>
                <w:color w:val="212121"/>
                <w:sz w:val="19"/>
              </w:rPr>
              <w:t>&lt; 150 min/week</w:t>
            </w:r>
          </w:p>
        </w:tc>
        <w:tc>
          <w:tcPr>
            <w:tcW w:type="dxa" w:w="1468"/>
            <w:vAlign w:val="top"/>
          </w:tcPr>
          <w:p>
            <w:pPr>
              <w:spacing w:after="40" w:before="0" w:line="259" w:lineRule="auto"/>
            </w:pPr>
            <w:r>
              <w:rPr>
                <w:rFonts w:ascii="Calibri" w:hAnsi="Calibri"/>
                <w:b w:val="0"/>
                <w:i w:val="0"/>
                <w:color w:val="212121"/>
                <w:sz w:val="19"/>
              </w:rPr>
              <w:t>Preserves muscle/bone and offsets steroid metabolic effects</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Fasting glucose / HbA1c</w:t>
            </w:r>
          </w:p>
        </w:tc>
        <w:tc>
          <w:tcPr>
            <w:tcW w:type="dxa" w:w="1655"/>
            <w:vAlign w:val="top"/>
          </w:tcPr>
          <w:p>
            <w:pPr>
              <w:spacing w:after="40" w:before="0" w:line="259" w:lineRule="auto"/>
            </w:pPr>
            <w:r>
              <w:rPr>
                <w:rFonts w:ascii="Calibri" w:hAnsi="Calibri"/>
                <w:b w:val="0"/>
                <w:i w:val="0"/>
                <w:color w:val="212121"/>
                <w:sz w:val="19"/>
              </w:rPr>
              <w:t>Patients on corticosteroids</w:t>
            </w:r>
          </w:p>
        </w:tc>
        <w:tc>
          <w:tcPr>
            <w:tcW w:type="dxa" w:w="1512"/>
            <w:vAlign w:val="top"/>
          </w:tcPr>
          <w:p>
            <w:pPr>
              <w:spacing w:after="40" w:before="0" w:line="259" w:lineRule="auto"/>
            </w:pPr>
            <w:r>
              <w:rPr>
                <w:rFonts w:ascii="Calibri" w:hAnsi="Calibri"/>
                <w:b w:val="0"/>
                <w:i w:val="0"/>
                <w:color w:val="212121"/>
                <w:sz w:val="19"/>
              </w:rPr>
              <w:t>FPG &lt; 100 mg/dL; HbA1c &lt; 5.7%</w:t>
            </w:r>
          </w:p>
        </w:tc>
        <w:tc>
          <w:tcPr>
            <w:tcW w:type="dxa" w:w="1512"/>
            <w:vAlign w:val="top"/>
          </w:tcPr>
          <w:p>
            <w:pPr>
              <w:spacing w:after="40" w:before="0" w:line="259" w:lineRule="auto"/>
            </w:pPr>
            <w:r>
              <w:rPr>
                <w:rFonts w:ascii="Calibri" w:hAnsi="Calibri"/>
                <w:b w:val="0"/>
                <w:i w:val="0"/>
                <w:color w:val="212121"/>
                <w:sz w:val="19"/>
              </w:rPr>
              <w:t>FPG &gt;=126 mg/dL; HbA1c &gt;=6.5%</w:t>
            </w:r>
          </w:p>
        </w:tc>
        <w:tc>
          <w:tcPr>
            <w:tcW w:type="dxa" w:w="1468"/>
            <w:vAlign w:val="top"/>
          </w:tcPr>
          <w:p>
            <w:pPr>
              <w:spacing w:after="40" w:before="0" w:line="259" w:lineRule="auto"/>
            </w:pPr>
            <w:r>
              <w:rPr>
                <w:rFonts w:ascii="Calibri" w:hAnsi="Calibri"/>
                <w:b w:val="0"/>
                <w:i w:val="0"/>
                <w:color w:val="212121"/>
                <w:sz w:val="19"/>
              </w:rPr>
              <w:t>Screen for steroid-induced diabetes during treatment</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Thyroid function (TSH)</w:t>
            </w:r>
          </w:p>
        </w:tc>
        <w:tc>
          <w:tcPr>
            <w:tcW w:type="dxa" w:w="1655"/>
            <w:vAlign w:val="top"/>
          </w:tcPr>
          <w:p>
            <w:pPr>
              <w:spacing w:after="40" w:before="0" w:line="259" w:lineRule="auto"/>
            </w:pPr>
            <w:r>
              <w:rPr>
                <w:rFonts w:ascii="Calibri" w:hAnsi="Calibri"/>
                <w:b w:val="0"/>
                <w:i w:val="0"/>
                <w:color w:val="212121"/>
                <w:sz w:val="19"/>
              </w:rPr>
              <w:t>All AIH patients</w:t>
            </w:r>
          </w:p>
        </w:tc>
        <w:tc>
          <w:tcPr>
            <w:tcW w:type="dxa" w:w="1512"/>
            <w:vAlign w:val="top"/>
          </w:tcPr>
          <w:p>
            <w:pPr>
              <w:spacing w:after="40" w:before="0" w:line="259" w:lineRule="auto"/>
            </w:pPr>
            <w:r>
              <w:rPr>
                <w:rFonts w:ascii="Calibri" w:hAnsi="Calibri"/>
                <w:b w:val="0"/>
                <w:i w:val="0"/>
                <w:color w:val="212121"/>
                <w:sz w:val="19"/>
              </w:rPr>
              <w:t>0.4-4.0 mIU/L</w:t>
            </w:r>
          </w:p>
        </w:tc>
        <w:tc>
          <w:tcPr>
            <w:tcW w:type="dxa" w:w="1512"/>
            <w:vAlign w:val="top"/>
          </w:tcPr>
          <w:p>
            <w:pPr>
              <w:spacing w:after="40" w:before="0" w:line="259" w:lineRule="auto"/>
            </w:pPr>
            <w:r>
              <w:rPr>
                <w:rFonts w:ascii="Calibri" w:hAnsi="Calibri"/>
                <w:b w:val="0"/>
                <w:i w:val="0"/>
                <w:color w:val="212121"/>
                <w:sz w:val="19"/>
              </w:rPr>
              <w:t>Outside range</w:t>
            </w:r>
          </w:p>
        </w:tc>
        <w:tc>
          <w:tcPr>
            <w:tcW w:type="dxa" w:w="1468"/>
            <w:vAlign w:val="top"/>
          </w:tcPr>
          <w:p>
            <w:pPr>
              <w:spacing w:after="60" w:line="259" w:lineRule="auto"/>
            </w:pPr>
            <w:r>
              <w:rPr>
                <w:rFonts w:ascii="Calibri" w:hAnsi="Calibri"/>
                <w:b w:val="0"/>
                <w:i w:val="0"/>
                <w:color w:val="212121"/>
                <w:sz w:val="19"/>
              </w:rPr>
              <w:t>Autoimmune thyroid disease is the commonest association; screen at diagnosis</w:t>
            </w:r>
          </w:p>
          <w:p>
            <w:pPr>
              <w:spacing w:after="40" w:line="252" w:lineRule="auto"/>
            </w:pPr>
            <w:hyperlink r:id="rId12">
              <w:r>
                <w:rPr>
                  <w:rFonts w:ascii="Calibri" w:hAnsi="Calibri" w:cs="Calibri"/>
                  <w:sz w:val="18"/>
                  <w:color w:val="1155CC"/>
                  <w:u w:val="single"/>
                </w:rPr>
                <w:t xml:space="preserve">https://pubmed.ncbi.nlm.nih.gov/26148248/</w:t>
              </w:r>
            </w:hyperlink>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Bone mineral density (DEXA T-score)</w:t>
            </w:r>
          </w:p>
        </w:tc>
        <w:tc>
          <w:tcPr>
            <w:tcW w:type="dxa" w:w="1655"/>
            <w:vAlign w:val="top"/>
          </w:tcPr>
          <w:p>
            <w:pPr>
              <w:spacing w:after="40" w:before="0" w:line="259" w:lineRule="auto"/>
            </w:pPr>
            <w:r>
              <w:rPr>
                <w:rFonts w:ascii="Calibri" w:hAnsi="Calibri"/>
                <w:b w:val="0"/>
                <w:i w:val="0"/>
                <w:color w:val="212121"/>
                <w:sz w:val="19"/>
              </w:rPr>
              <w:t>Patients on long-term steroids</w:t>
            </w:r>
          </w:p>
        </w:tc>
        <w:tc>
          <w:tcPr>
            <w:tcW w:type="dxa" w:w="1512"/>
            <w:vAlign w:val="top"/>
          </w:tcPr>
          <w:p>
            <w:pPr>
              <w:spacing w:after="40" w:before="0" w:line="259" w:lineRule="auto"/>
            </w:pPr>
            <w:r>
              <w:rPr>
                <w:rFonts w:ascii="Calibri" w:hAnsi="Calibri"/>
                <w:b w:val="0"/>
                <w:i w:val="0"/>
                <w:color w:val="212121"/>
                <w:sz w:val="19"/>
              </w:rPr>
              <w:t>T-score &gt; -1.0</w:t>
            </w:r>
          </w:p>
        </w:tc>
        <w:tc>
          <w:tcPr>
            <w:tcW w:type="dxa" w:w="1512"/>
            <w:vAlign w:val="top"/>
          </w:tcPr>
          <w:p>
            <w:pPr>
              <w:spacing w:after="40" w:before="0" w:line="259" w:lineRule="auto"/>
            </w:pPr>
            <w:r>
              <w:rPr>
                <w:rFonts w:ascii="Calibri" w:hAnsi="Calibri"/>
                <w:b w:val="0"/>
                <w:i w:val="0"/>
                <w:color w:val="212121"/>
                <w:sz w:val="19"/>
              </w:rPr>
              <w:t>T-score &lt;= -2.5 (osteoporosis)</w:t>
            </w:r>
          </w:p>
        </w:tc>
        <w:tc>
          <w:tcPr>
            <w:tcW w:type="dxa" w:w="1468"/>
            <w:vAlign w:val="top"/>
          </w:tcPr>
          <w:p>
            <w:pPr>
              <w:spacing w:after="40" w:before="0" w:line="259" w:lineRule="auto"/>
            </w:pPr>
            <w:r>
              <w:rPr>
                <w:rFonts w:ascii="Calibri" w:hAnsi="Calibri"/>
                <w:b w:val="0"/>
                <w:i w:val="0"/>
                <w:color w:val="212121"/>
                <w:sz w:val="19"/>
              </w:rPr>
              <w:t>Steroid osteoporosis prophylaxis (calcium, vitamin D, bisphosphonate if indicated)</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w:t>
            </w:r>
          </w:p>
        </w:tc>
        <w:tc>
          <w:tcPr>
            <w:tcW w:type="dxa" w:w="1655"/>
            <w:vAlign w:val="top"/>
          </w:tcPr>
          <w:p>
            <w:pPr>
              <w:spacing w:after="40" w:before="0" w:line="259" w:lineRule="auto"/>
            </w:pPr>
            <w:r>
              <w:rPr>
                <w:rFonts w:ascii="Calibri" w:hAnsi="Calibri"/>
                <w:b w:val="0"/>
                <w:i w:val="0"/>
                <w:color w:val="212121"/>
                <w:sz w:val="19"/>
              </w:rPr>
              <w:t>Adults with AIH</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&lt; 6 hours or disrupted</w:t>
            </w:r>
          </w:p>
        </w:tc>
        <w:tc>
          <w:tcPr>
            <w:tcW w:type="dxa" w:w="1468"/>
            <w:vAlign w:val="top"/>
          </w:tcPr>
          <w:p>
            <w:pPr>
              <w:spacing w:after="40" w:before="0" w:line="259" w:lineRule="auto"/>
            </w:pPr>
            <w:r>
              <w:rPr>
                <w:rFonts w:ascii="Calibri" w:hAnsi="Calibri"/>
                <w:b w:val="0"/>
                <w:i w:val="0"/>
                <w:color w:val="212121"/>
                <w:sz w:val="19"/>
              </w:rPr>
              <w:t>Fatigue and steroid insomnia are common; sleep-wake reversal suggests encephalopathy</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ALT / AST (aminotransferases)</w:t>
            </w:r>
          </w:p>
        </w:tc>
        <w:tc>
          <w:tcPr>
            <w:tcW w:type="dxa" w:w="892"/>
            <w:vAlign w:val="top"/>
          </w:tcPr>
          <w:p>
            <w:pPr>
              <w:spacing w:after="40" w:before="0" w:line="259" w:lineRule="auto"/>
            </w:pPr>
            <w:r>
              <w:rPr>
                <w:rFonts w:ascii="Calibri" w:hAnsi="Calibri"/>
                <w:b w:val="0"/>
                <w:i w:val="0"/>
                <w:color w:val="212121"/>
                <w:sz w:val="16"/>
              </w:rPr>
              <w:t>Liver panel</w:t>
            </w:r>
          </w:p>
        </w:tc>
        <w:tc>
          <w:tcPr>
            <w:tcW w:type="dxa" w:w="950"/>
            <w:vAlign w:val="top"/>
          </w:tcPr>
          <w:p>
            <w:pPr>
              <w:spacing w:after="40" w:before="0" w:line="259" w:lineRule="auto"/>
            </w:pPr>
            <w:r>
              <w:rPr>
                <w:rFonts w:ascii="Calibri" w:hAnsi="Calibri"/>
                <w:b w:val="0"/>
                <w:i w:val="0"/>
                <w:color w:val="212121"/>
                <w:sz w:val="16"/>
              </w:rPr>
              <w:t>ALT/AST &lt;= ~40 U/L</w:t>
            </w:r>
          </w:p>
        </w:tc>
        <w:tc>
          <w:tcPr>
            <w:tcW w:type="dxa" w:w="950"/>
            <w:vAlign w:val="top"/>
          </w:tcPr>
          <w:p>
            <w:pPr>
              <w:spacing w:after="40" w:before="0" w:line="259" w:lineRule="auto"/>
            </w:pPr>
            <w:r>
              <w:rPr>
                <w:rFonts w:ascii="Calibri" w:hAnsi="Calibri"/>
                <w:b w:val="0"/>
                <w:i w:val="0"/>
                <w:color w:val="212121"/>
                <w:sz w:val="16"/>
              </w:rPr>
              <w:t>Elevated, often 5-10x ULN or higher in flares</w:t>
            </w:r>
          </w:p>
        </w:tc>
        <w:tc>
          <w:tcPr>
            <w:tcW w:type="dxa" w:w="1036"/>
            <w:vAlign w:val="top"/>
          </w:tcPr>
          <w:p>
            <w:pPr>
              <w:spacing w:after="40" w:before="0" w:line="259" w:lineRule="auto"/>
            </w:pPr>
            <w:r>
              <w:rPr>
                <w:rFonts w:ascii="Calibri" w:hAnsi="Calibri"/>
                <w:b w:val="0"/>
                <w:i w:val="0"/>
                <w:color w:val="212121"/>
                <w:sz w:val="16"/>
              </w:rPr>
              <w:t>Reflects hepatocellular necro-inflammation; hepatitic (transaminase-predominant) pattern</w:t>
            </w:r>
          </w:p>
        </w:tc>
        <w:tc>
          <w:tcPr>
            <w:tcW w:type="dxa" w:w="1036"/>
            <w:vAlign w:val="top"/>
          </w:tcPr>
          <w:p>
            <w:pPr>
              <w:spacing w:after="40" w:before="0" w:line="259" w:lineRule="auto"/>
            </w:pPr>
            <w:r>
              <w:rPr>
                <w:rFonts w:ascii="Calibri" w:hAnsi="Calibri"/>
                <w:b w:val="0"/>
                <w:i w:val="0"/>
                <w:color w:val="212121"/>
                <w:sz w:val="16"/>
              </w:rPr>
              <w:t>All suspected/known AIH patients</w:t>
            </w:r>
          </w:p>
        </w:tc>
        <w:tc>
          <w:tcPr>
            <w:tcW w:type="dxa" w:w="720"/>
            <w:vAlign w:val="top"/>
          </w:tcPr>
          <w:p>
            <w:pPr>
              <w:spacing w:after="40" w:before="0" w:line="259" w:lineRule="auto"/>
            </w:pPr>
            <w:r>
              <w:rPr>
                <w:rFonts w:ascii="Calibri" w:hAnsi="Calibri"/>
                <w:b w:val="0"/>
                <w:i w:val="0"/>
                <w:color w:val="212121"/>
                <w:sz w:val="16"/>
              </w:rPr>
              <w:t>Alcohol; Provoking factors</w:t>
            </w:r>
          </w:p>
        </w:tc>
        <w:tc>
          <w:tcPr>
            <w:tcW w:type="dxa" w:w="720"/>
            <w:vAlign w:val="top"/>
          </w:tcPr>
          <w:p>
            <w:pPr>
              <w:spacing w:after="40" w:before="0" w:line="259" w:lineRule="auto"/>
            </w:pPr>
            <w:r>
              <w:rPr>
                <w:rFonts w:ascii="Calibri" w:hAnsi="Calibri"/>
                <w:b w:val="0"/>
                <w:i w:val="0"/>
                <w:color w:val="212121"/>
                <w:sz w:val="16"/>
              </w:rPr>
              <w:t>Diagnostic &amp; monitoring</w:t>
            </w:r>
          </w:p>
        </w:tc>
        <w:tc>
          <w:tcPr>
            <w:tcW w:type="dxa" w:w="720"/>
            <w:vAlign w:val="top"/>
          </w:tcPr>
          <w:p>
            <w:pPr>
              <w:spacing w:after="40" w:before="0" w:line="259" w:lineRule="auto"/>
            </w:pPr>
            <w:r>
              <w:rPr>
                <w:rFonts w:ascii="Calibri" w:hAnsi="Calibri"/>
                <w:b w:val="0"/>
                <w:i w:val="0"/>
                <w:color w:val="212121"/>
                <w:sz w:val="16"/>
              </w:rPr>
              <w:t>Normalisation is a key treatment target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IgG / gamma-globulin</w:t>
            </w:r>
          </w:p>
        </w:tc>
        <w:tc>
          <w:tcPr>
            <w:tcW w:type="dxa" w:w="892"/>
            <w:vAlign w:val="top"/>
          </w:tcPr>
          <w:p>
            <w:pPr>
              <w:spacing w:after="40" w:before="0" w:line="259" w:lineRule="auto"/>
            </w:pPr>
            <w:r>
              <w:rPr>
                <w:rFonts w:ascii="Calibri" w:hAnsi="Calibri"/>
                <w:b w:val="0"/>
                <w:i w:val="0"/>
                <w:color w:val="212121"/>
                <w:sz w:val="16"/>
              </w:rPr>
              <w:t>Serum protein / immunoglobulins</w:t>
            </w:r>
          </w:p>
        </w:tc>
        <w:tc>
          <w:tcPr>
            <w:tcW w:type="dxa" w:w="950"/>
            <w:vAlign w:val="top"/>
          </w:tcPr>
          <w:p>
            <w:pPr>
              <w:spacing w:after="40" w:before="0" w:line="259" w:lineRule="auto"/>
            </w:pPr>
            <w:r>
              <w:rPr>
                <w:rFonts w:ascii="Calibri" w:hAnsi="Calibri"/>
                <w:b w:val="0"/>
                <w:i w:val="0"/>
                <w:color w:val="212121"/>
                <w:sz w:val="16"/>
              </w:rPr>
              <w:t>Within normal range</w:t>
            </w:r>
          </w:p>
        </w:tc>
        <w:tc>
          <w:tcPr>
            <w:tcW w:type="dxa" w:w="950"/>
            <w:vAlign w:val="top"/>
          </w:tcPr>
          <w:p>
            <w:pPr>
              <w:spacing w:after="40" w:before="0" w:line="259" w:lineRule="auto"/>
            </w:pPr>
            <w:r>
              <w:rPr>
                <w:rFonts w:ascii="Calibri" w:hAnsi="Calibri"/>
                <w:b w:val="0"/>
                <w:i w:val="0"/>
                <w:color w:val="212121"/>
                <w:sz w:val="16"/>
              </w:rPr>
              <w:t>Raised (hypergammaglobulinaemia)</w:t>
            </w:r>
          </w:p>
        </w:tc>
        <w:tc>
          <w:tcPr>
            <w:tcW w:type="dxa" w:w="1036"/>
            <w:vAlign w:val="top"/>
          </w:tcPr>
          <w:p>
            <w:pPr>
              <w:spacing w:after="40" w:before="0" w:line="259" w:lineRule="auto"/>
            </w:pPr>
            <w:r>
              <w:rPr>
                <w:rFonts w:ascii="Calibri" w:hAnsi="Calibri"/>
                <w:b w:val="0"/>
                <w:i w:val="0"/>
                <w:color w:val="212121"/>
                <w:sz w:val="16"/>
              </w:rPr>
              <w:t>Supports AIH and is scored in diagnostic criteria; tracks response</w:t>
            </w:r>
          </w:p>
        </w:tc>
        <w:tc>
          <w:tcPr>
            <w:tcW w:type="dxa" w:w="1036"/>
            <w:vAlign w:val="top"/>
          </w:tcPr>
          <w:p>
            <w:pPr>
              <w:spacing w:after="40" w:before="0" w:line="259" w:lineRule="auto"/>
            </w:pPr>
            <w:r>
              <w:rPr>
                <w:rFonts w:ascii="Calibri" w:hAnsi="Calibri"/>
                <w:b w:val="0"/>
                <w:i w:val="0"/>
                <w:color w:val="212121"/>
                <w:sz w:val="16"/>
              </w:rPr>
              <w:t>All suspected AIH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&amp; monitoring</w:t>
            </w:r>
          </w:p>
        </w:tc>
        <w:tc>
          <w:tcPr>
            <w:tcW w:type="dxa" w:w="720"/>
            <w:vAlign w:val="top"/>
          </w:tcPr>
          <w:p>
            <w:pPr>
              <w:spacing w:after="40" w:before="0" w:line="259" w:lineRule="auto"/>
            </w:pPr>
            <w:r>
              <w:rPr>
                <w:rFonts w:ascii="Calibri" w:hAnsi="Calibri"/>
                <w:b w:val="0"/>
                <w:i w:val="0"/>
                <w:color w:val="212121"/>
                <w:sz w:val="16"/>
              </w:rPr>
              <w:t>&gt;1.1x ULN scores higher in simplified criteria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ANA and anti-smooth muscle antibody (ASMA)</w:t>
            </w:r>
          </w:p>
        </w:tc>
        <w:tc>
          <w:tcPr>
            <w:tcW w:type="dxa" w:w="892"/>
            <w:vAlign w:val="top"/>
          </w:tcPr>
          <w:p>
            <w:pPr>
              <w:spacing w:after="40" w:before="0" w:line="259" w:lineRule="auto"/>
            </w:pPr>
            <w:r>
              <w:rPr>
                <w:rFonts w:ascii="Calibri" w:hAnsi="Calibri"/>
                <w:b w:val="0"/>
                <w:i w:val="0"/>
                <w:color w:val="212121"/>
                <w:sz w:val="16"/>
              </w:rPr>
              <w:t>Autoantibody panel (IIF)</w:t>
            </w:r>
          </w:p>
        </w:tc>
        <w:tc>
          <w:tcPr>
            <w:tcW w:type="dxa" w:w="950"/>
            <w:vAlign w:val="top"/>
          </w:tcPr>
          <w:p>
            <w:pPr>
              <w:spacing w:after="40" w:before="0" w:line="259" w:lineRule="auto"/>
            </w:pPr>
            <w:r>
              <w:rPr>
                <w:rFonts w:ascii="Calibri" w:hAnsi="Calibri"/>
                <w:b w:val="0"/>
                <w:i w:val="0"/>
                <w:color w:val="212121"/>
                <w:sz w:val="16"/>
              </w:rPr>
              <w:t>Negative / low titre</w:t>
            </w:r>
          </w:p>
        </w:tc>
        <w:tc>
          <w:tcPr>
            <w:tcW w:type="dxa" w:w="950"/>
            <w:vAlign w:val="top"/>
          </w:tcPr>
          <w:p>
            <w:pPr>
              <w:spacing w:after="40" w:before="0" w:line="259" w:lineRule="auto"/>
            </w:pPr>
            <w:r>
              <w:rPr>
                <w:rFonts w:ascii="Calibri" w:hAnsi="Calibri"/>
                <w:b w:val="0"/>
                <w:i w:val="0"/>
                <w:color w:val="212121"/>
                <w:sz w:val="16"/>
              </w:rPr>
              <w:t>&gt;=1:40 (&gt;=1:80 more specific)</w:t>
            </w:r>
          </w:p>
        </w:tc>
        <w:tc>
          <w:tcPr>
            <w:tcW w:type="dxa" w:w="1036"/>
            <w:vAlign w:val="top"/>
          </w:tcPr>
          <w:p>
            <w:pPr>
              <w:spacing w:after="40" w:before="0" w:line="259" w:lineRule="auto"/>
            </w:pPr>
            <w:r>
              <w:rPr>
                <w:rFonts w:ascii="Calibri" w:hAnsi="Calibri"/>
                <w:b w:val="0"/>
                <w:i w:val="0"/>
                <w:color w:val="212121"/>
                <w:sz w:val="16"/>
              </w:rPr>
              <w:t>Markers of type 1 AIH; ANA/ASMA present in the majority</w:t>
            </w:r>
          </w:p>
        </w:tc>
        <w:tc>
          <w:tcPr>
            <w:tcW w:type="dxa" w:w="1036"/>
            <w:vAlign w:val="top"/>
          </w:tcPr>
          <w:p>
            <w:pPr>
              <w:spacing w:after="40" w:before="0" w:line="259" w:lineRule="auto"/>
            </w:pPr>
            <w:r>
              <w:rPr>
                <w:rFonts w:ascii="Calibri" w:hAnsi="Calibri"/>
                <w:b w:val="0"/>
                <w:i w:val="0"/>
                <w:color w:val="212121"/>
                <w:sz w:val="16"/>
              </w:rPr>
              <w:t>Adults with suspected AIH</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In an Indian cohort SMA was positive in ~63% and ANA in ~40%</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Anti-LKM1 / anti-LC1</w:t>
            </w:r>
          </w:p>
        </w:tc>
        <w:tc>
          <w:tcPr>
            <w:tcW w:type="dxa" w:w="892"/>
            <w:vAlign w:val="top"/>
          </w:tcPr>
          <w:p>
            <w:pPr>
              <w:spacing w:after="40" w:before="0" w:line="259" w:lineRule="auto"/>
            </w:pPr>
            <w:r>
              <w:rPr>
                <w:rFonts w:ascii="Calibri" w:hAnsi="Calibri"/>
                <w:b w:val="0"/>
                <w:i w:val="0"/>
                <w:color w:val="212121"/>
                <w:sz w:val="16"/>
              </w:rPr>
              <w:t>Autoantibody panel</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w:t>
            </w:r>
          </w:p>
        </w:tc>
        <w:tc>
          <w:tcPr>
            <w:tcW w:type="dxa" w:w="1036"/>
            <w:vAlign w:val="top"/>
          </w:tcPr>
          <w:p>
            <w:pPr>
              <w:spacing w:after="40" w:before="0" w:line="259" w:lineRule="auto"/>
            </w:pPr>
            <w:r>
              <w:rPr>
                <w:rFonts w:ascii="Calibri" w:hAnsi="Calibri"/>
                <w:b w:val="0"/>
                <w:i w:val="0"/>
                <w:color w:val="212121"/>
                <w:sz w:val="16"/>
              </w:rPr>
              <w:t>Define type 2 AIH; typically children/young adults</w:t>
            </w:r>
          </w:p>
        </w:tc>
        <w:tc>
          <w:tcPr>
            <w:tcW w:type="dxa" w:w="1036"/>
            <w:vAlign w:val="top"/>
          </w:tcPr>
          <w:p>
            <w:pPr>
              <w:spacing w:after="40" w:before="0" w:line="259" w:lineRule="auto"/>
            </w:pPr>
            <w:r>
              <w:rPr>
                <w:rFonts w:ascii="Calibri" w:hAnsi="Calibri"/>
                <w:b w:val="0"/>
                <w:i w:val="0"/>
                <w:color w:val="212121"/>
                <w:sz w:val="16"/>
              </w:rPr>
              <w:t>Children, young adults, ANA/ASMA-negative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Anti-LKM1 was absent in the Indian adult series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Anti-SLA/LP</w:t>
            </w:r>
          </w:p>
        </w:tc>
        <w:tc>
          <w:tcPr>
            <w:tcW w:type="dxa" w:w="892"/>
            <w:vAlign w:val="top"/>
          </w:tcPr>
          <w:p>
            <w:pPr>
              <w:spacing w:after="40" w:before="0" w:line="259" w:lineRule="auto"/>
            </w:pPr>
            <w:r>
              <w:rPr>
                <w:rFonts w:ascii="Calibri" w:hAnsi="Calibri"/>
                <w:b w:val="0"/>
                <w:i w:val="0"/>
                <w:color w:val="212121"/>
                <w:sz w:val="16"/>
              </w:rPr>
              <w:t>Autoantibody panel</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w:t>
            </w:r>
          </w:p>
        </w:tc>
        <w:tc>
          <w:tcPr>
            <w:tcW w:type="dxa" w:w="1036"/>
            <w:vAlign w:val="top"/>
          </w:tcPr>
          <w:p>
            <w:pPr>
              <w:spacing w:after="40" w:before="0" w:line="259" w:lineRule="auto"/>
            </w:pPr>
            <w:r>
              <w:rPr>
                <w:rFonts w:ascii="Calibri" w:hAnsi="Calibri"/>
                <w:b w:val="0"/>
                <w:i w:val="0"/>
                <w:color w:val="212121"/>
                <w:sz w:val="16"/>
              </w:rPr>
              <w:t>Highly specific; marks more severe, relapse-prone disease</w:t>
            </w:r>
          </w:p>
        </w:tc>
        <w:tc>
          <w:tcPr>
            <w:tcW w:type="dxa" w:w="1036"/>
            <w:vAlign w:val="top"/>
          </w:tcPr>
          <w:p>
            <w:pPr>
              <w:spacing w:after="40" w:before="0" w:line="259" w:lineRule="auto"/>
            </w:pPr>
            <w:r>
              <w:rPr>
                <w:rFonts w:ascii="Calibri" w:hAnsi="Calibri"/>
                <w:b w:val="0"/>
                <w:i w:val="0"/>
                <w:color w:val="212121"/>
                <w:sz w:val="16"/>
              </w:rPr>
              <w:t>Seronegative or severe AIH</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Associated with treatment failure and higher relapse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Bilirubin, albumin, INR</w:t>
            </w:r>
          </w:p>
        </w:tc>
        <w:tc>
          <w:tcPr>
            <w:tcW w:type="dxa" w:w="892"/>
            <w:vAlign w:val="top"/>
          </w:tcPr>
          <w:p>
            <w:pPr>
              <w:spacing w:after="40" w:before="0" w:line="259" w:lineRule="auto"/>
            </w:pPr>
            <w:r>
              <w:rPr>
                <w:rFonts w:ascii="Calibri" w:hAnsi="Calibri"/>
                <w:b w:val="0"/>
                <w:i w:val="0"/>
                <w:color w:val="212121"/>
                <w:sz w:val="16"/>
              </w:rPr>
              <w:t>Synthetic function panel</w:t>
            </w:r>
          </w:p>
        </w:tc>
        <w:tc>
          <w:tcPr>
            <w:tcW w:type="dxa" w:w="950"/>
            <w:vAlign w:val="top"/>
          </w:tcPr>
          <w:p>
            <w:pPr>
              <w:spacing w:after="40" w:before="0" w:line="259" w:lineRule="auto"/>
            </w:pPr>
            <w:r>
              <w:rPr>
                <w:rFonts w:ascii="Calibri" w:hAnsi="Calibri"/>
                <w:b w:val="0"/>
                <w:i w:val="0"/>
                <w:color w:val="212121"/>
                <w:sz w:val="16"/>
              </w:rPr>
              <w:t>Normal bilirubin/albumin/INR</w:t>
            </w:r>
          </w:p>
        </w:tc>
        <w:tc>
          <w:tcPr>
            <w:tcW w:type="dxa" w:w="950"/>
            <w:vAlign w:val="top"/>
          </w:tcPr>
          <w:p>
            <w:pPr>
              <w:spacing w:after="40" w:before="0" w:line="259" w:lineRule="auto"/>
            </w:pPr>
            <w:r>
              <w:rPr>
                <w:rFonts w:ascii="Calibri" w:hAnsi="Calibri"/>
                <w:b w:val="0"/>
                <w:i w:val="0"/>
                <w:color w:val="212121"/>
                <w:sz w:val="16"/>
              </w:rPr>
              <w:t>High bilirubin/INR; low albumin</w:t>
            </w:r>
          </w:p>
        </w:tc>
        <w:tc>
          <w:tcPr>
            <w:tcW w:type="dxa" w:w="1036"/>
            <w:vAlign w:val="top"/>
          </w:tcPr>
          <w:p>
            <w:pPr>
              <w:spacing w:after="40" w:before="0" w:line="259" w:lineRule="auto"/>
            </w:pPr>
            <w:r>
              <w:rPr>
                <w:rFonts w:ascii="Calibri" w:hAnsi="Calibri"/>
                <w:b w:val="0"/>
                <w:i w:val="0"/>
                <w:color w:val="212121"/>
                <w:sz w:val="16"/>
              </w:rPr>
              <w:t>Assesses severity and identifies acute severe / decompensated disease</w:t>
            </w:r>
          </w:p>
        </w:tc>
        <w:tc>
          <w:tcPr>
            <w:tcW w:type="dxa" w:w="1036"/>
            <w:vAlign w:val="top"/>
          </w:tcPr>
          <w:p>
            <w:pPr>
              <w:spacing w:after="40" w:before="0" w:line="259" w:lineRule="auto"/>
            </w:pPr>
            <w:r>
              <w:rPr>
                <w:rFonts w:ascii="Calibri" w:hAnsi="Calibri"/>
                <w:b w:val="0"/>
                <w:i w:val="0"/>
                <w:color w:val="212121"/>
                <w:sz w:val="16"/>
              </w:rPr>
              <w:t>All AIH patients, especially acute presentation</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Severity &amp; prognosis</w:t>
            </w:r>
          </w:p>
        </w:tc>
        <w:tc>
          <w:tcPr>
            <w:tcW w:type="dxa" w:w="720"/>
            <w:vAlign w:val="top"/>
          </w:tcPr>
          <w:p>
            <w:pPr>
              <w:spacing w:after="40" w:before="0" w:line="259" w:lineRule="auto"/>
            </w:pPr>
            <w:r>
              <w:rPr>
                <w:rFonts w:ascii="Calibri" w:hAnsi="Calibri"/>
                <w:b w:val="0"/>
                <w:i w:val="0"/>
                <w:color w:val="212121"/>
                <w:sz w:val="16"/>
              </w:rPr>
              <w:t>Guides urgency and transplant assessment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Viral hepatitis screen (HAV/HBV/HCV/HEV)</w:t>
            </w:r>
          </w:p>
        </w:tc>
        <w:tc>
          <w:tcPr>
            <w:tcW w:type="dxa" w:w="892"/>
            <w:vAlign w:val="top"/>
          </w:tcPr>
          <w:p>
            <w:pPr>
              <w:spacing w:after="40" w:before="0" w:line="259" w:lineRule="auto"/>
            </w:pPr>
            <w:r>
              <w:rPr>
                <w:rFonts w:ascii="Calibri" w:hAnsi="Calibri"/>
                <w:b w:val="0"/>
                <w:i w:val="0"/>
                <w:color w:val="212121"/>
                <w:sz w:val="16"/>
              </w:rPr>
              <w:t>Exclusion serology</w:t>
            </w:r>
          </w:p>
        </w:tc>
        <w:tc>
          <w:tcPr>
            <w:tcW w:type="dxa" w:w="950"/>
            <w:vAlign w:val="top"/>
          </w:tcPr>
          <w:p>
            <w:pPr>
              <w:spacing w:after="40" w:before="0" w:line="259" w:lineRule="auto"/>
            </w:pPr>
            <w:r>
              <w:rPr>
                <w:rFonts w:ascii="Calibri" w:hAnsi="Calibri"/>
                <w:b w:val="0"/>
                <w:i w:val="0"/>
                <w:color w:val="212121"/>
                <w:sz w:val="16"/>
              </w:rPr>
              <w:t>Non-reactive</w:t>
            </w:r>
          </w:p>
        </w:tc>
        <w:tc>
          <w:tcPr>
            <w:tcW w:type="dxa" w:w="950"/>
            <w:vAlign w:val="top"/>
          </w:tcPr>
          <w:p>
            <w:pPr>
              <w:spacing w:after="40" w:before="0" w:line="259" w:lineRule="auto"/>
            </w:pPr>
            <w:r>
              <w:rPr>
                <w:rFonts w:ascii="Calibri" w:hAnsi="Calibri"/>
                <w:b w:val="0"/>
                <w:i w:val="0"/>
                <w:color w:val="212121"/>
                <w:sz w:val="16"/>
              </w:rPr>
              <w:t>Reactive</w:t>
            </w:r>
          </w:p>
        </w:tc>
        <w:tc>
          <w:tcPr>
            <w:tcW w:type="dxa" w:w="1036"/>
            <w:vAlign w:val="top"/>
          </w:tcPr>
          <w:p>
            <w:pPr>
              <w:spacing w:after="40" w:before="0" w:line="259" w:lineRule="auto"/>
            </w:pPr>
            <w:r>
              <w:rPr>
                <w:rFonts w:ascii="Calibri" w:hAnsi="Calibri"/>
                <w:b w:val="0"/>
                <w:i w:val="0"/>
                <w:color w:val="212121"/>
                <w:sz w:val="16"/>
              </w:rPr>
              <w:t>Excludes viral hepatitis (scores 2 points in simplified criteria when absent)</w:t>
            </w:r>
          </w:p>
        </w:tc>
        <w:tc>
          <w:tcPr>
            <w:tcW w:type="dxa" w:w="1036"/>
            <w:vAlign w:val="top"/>
          </w:tcPr>
          <w:p>
            <w:pPr>
              <w:spacing w:after="40" w:before="0" w:line="259" w:lineRule="auto"/>
            </w:pPr>
            <w:r>
              <w:rPr>
                <w:rFonts w:ascii="Calibri" w:hAnsi="Calibri"/>
                <w:b w:val="0"/>
                <w:i w:val="0"/>
                <w:color w:val="212121"/>
                <w:sz w:val="16"/>
              </w:rPr>
              <w:t>All suspected AIH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Exclusion</w:t>
            </w:r>
          </w:p>
        </w:tc>
        <w:tc>
          <w:tcPr>
            <w:tcW w:type="dxa" w:w="720"/>
            <w:vAlign w:val="top"/>
          </w:tcPr>
          <w:p>
            <w:pPr>
              <w:spacing w:after="40" w:before="0" w:line="259" w:lineRule="auto"/>
            </w:pPr>
            <w:r>
              <w:rPr>
                <w:rFonts w:ascii="Calibri" w:hAnsi="Calibri"/>
                <w:b w:val="0"/>
                <w:i w:val="0"/>
                <w:color w:val="212121"/>
                <w:sz w:val="16"/>
              </w:rPr>
              <w:t>Also exclude Wilson disease, haemochromatosis, drug injury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Histopathology</w:t>
            </w:r>
          </w:p>
        </w:tc>
        <w:tc>
          <w:tcPr>
            <w:tcW w:type="dxa" w:w="1036"/>
            <w:vAlign w:val="top"/>
          </w:tcPr>
          <w:p>
            <w:pPr>
              <w:spacing w:after="40" w:before="0" w:line="259" w:lineRule="auto"/>
            </w:pPr>
            <w:r>
              <w:rPr>
                <w:rFonts w:ascii="Calibri" w:hAnsi="Calibri"/>
                <w:b w:val="0"/>
                <w:i w:val="0"/>
                <w:color w:val="212121"/>
                <w:sz w:val="16"/>
              </w:rPr>
              <w:t>Liver biopsy</w:t>
            </w:r>
          </w:p>
        </w:tc>
        <w:tc>
          <w:tcPr>
            <w:tcW w:type="dxa" w:w="892"/>
            <w:vAlign w:val="top"/>
          </w:tcPr>
          <w:p>
            <w:pPr>
              <w:spacing w:after="40" w:before="0" w:line="259" w:lineRule="auto"/>
            </w:pPr>
            <w:r>
              <w:rPr>
                <w:rFonts w:ascii="Calibri" w:hAnsi="Calibri"/>
                <w:b w:val="0"/>
                <w:i w:val="0"/>
                <w:color w:val="212121"/>
                <w:sz w:val="16"/>
              </w:rPr>
              <w:t>Percutaneous liver biopsy</w:t>
            </w:r>
          </w:p>
        </w:tc>
        <w:tc>
          <w:tcPr>
            <w:tcW w:type="dxa" w:w="950"/>
            <w:vAlign w:val="top"/>
          </w:tcPr>
          <w:p>
            <w:pPr>
              <w:spacing w:after="40" w:before="0" w:line="259" w:lineRule="auto"/>
            </w:pPr>
            <w:r>
              <w:rPr>
                <w:rFonts w:ascii="Calibri" w:hAnsi="Calibri"/>
                <w:b w:val="0"/>
                <w:i w:val="0"/>
                <w:color w:val="212121"/>
                <w:sz w:val="16"/>
              </w:rPr>
              <w:t>No interface hepatitis</w:t>
            </w:r>
          </w:p>
        </w:tc>
        <w:tc>
          <w:tcPr>
            <w:tcW w:type="dxa" w:w="950"/>
            <w:vAlign w:val="top"/>
          </w:tcPr>
          <w:p>
            <w:pPr>
              <w:spacing w:after="40" w:before="0" w:line="259" w:lineRule="auto"/>
            </w:pPr>
            <w:r>
              <w:rPr>
                <w:rFonts w:ascii="Calibri" w:hAnsi="Calibri"/>
                <w:b w:val="0"/>
                <w:i w:val="0"/>
                <w:color w:val="212121"/>
                <w:sz w:val="16"/>
              </w:rPr>
              <w:t>Interface hepatitis, lymphoplasmacytic infiltrate, rosettes, emperipolesis</w:t>
            </w:r>
          </w:p>
        </w:tc>
        <w:tc>
          <w:tcPr>
            <w:tcW w:type="dxa" w:w="1036"/>
            <w:vAlign w:val="top"/>
          </w:tcPr>
          <w:p>
            <w:pPr>
              <w:spacing w:after="40" w:before="0" w:line="259" w:lineRule="auto"/>
            </w:pPr>
            <w:r>
              <w:rPr>
                <w:rFonts w:ascii="Calibri" w:hAnsi="Calibri"/>
                <w:b w:val="0"/>
                <w:i w:val="0"/>
                <w:color w:val="212121"/>
                <w:sz w:val="16"/>
              </w:rPr>
              <w:t>Confirms and stages disease; scored in diagnostic criteria</w:t>
            </w:r>
          </w:p>
        </w:tc>
        <w:tc>
          <w:tcPr>
            <w:tcW w:type="dxa" w:w="1036"/>
            <w:vAlign w:val="top"/>
          </w:tcPr>
          <w:p>
            <w:pPr>
              <w:spacing w:after="40" w:before="0" w:line="259" w:lineRule="auto"/>
            </w:pPr>
            <w:r>
              <w:rPr>
                <w:rFonts w:ascii="Calibri" w:hAnsi="Calibri"/>
                <w:b w:val="0"/>
                <w:i w:val="0"/>
                <w:color w:val="212121"/>
                <w:sz w:val="16"/>
              </w:rPr>
              <w:t>Most patients before or early in treatment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 &amp; staging</w:t>
            </w:r>
          </w:p>
        </w:tc>
        <w:tc>
          <w:tcPr>
            <w:tcW w:type="dxa" w:w="720"/>
            <w:vAlign w:val="top"/>
          </w:tcPr>
          <w:p>
            <w:pPr>
              <w:spacing w:after="40" w:before="0" w:line="259" w:lineRule="auto"/>
            </w:pPr>
            <w:r>
              <w:rPr>
                <w:rFonts w:ascii="Calibri" w:hAnsi="Calibri"/>
                <w:b w:val="0"/>
                <w:i w:val="0"/>
                <w:color w:val="212121"/>
                <w:sz w:val="16"/>
              </w:rPr>
              <w:t>Also grades activity and fibrosis/cirrhosis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Presenting symptoms</w:t>
            </w:r>
          </w:p>
        </w:tc>
        <w:tc>
          <w:tcPr>
            <w:tcW w:type="dxa" w:w="979"/>
            <w:vAlign w:val="top"/>
          </w:tcPr>
          <w:p>
            <w:pPr>
              <w:spacing w:after="40" w:before="0" w:line="259" w:lineRule="auto"/>
            </w:pPr>
            <w:r>
              <w:rPr>
                <w:rFonts w:ascii="Calibri" w:hAnsi="Calibri"/>
                <w:b w:val="0"/>
                <w:i w:val="0"/>
                <w:color w:val="212121"/>
                <w:sz w:val="16"/>
              </w:rPr>
              <w:t>Fatigue, jaundice, arthralgia, right-upper-quadrant discomfort</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One or more present (or asymptomatic with abnormal LFTs)</w:t>
            </w:r>
          </w:p>
        </w:tc>
        <w:tc>
          <w:tcPr>
            <w:tcW w:type="dxa" w:w="1036"/>
            <w:vAlign w:val="top"/>
          </w:tcPr>
          <w:p>
            <w:pPr>
              <w:spacing w:after="40" w:before="0" w:line="259" w:lineRule="auto"/>
            </w:pPr>
            <w:r>
              <w:rPr>
                <w:rFonts w:ascii="Calibri" w:hAnsi="Calibri"/>
                <w:b w:val="0"/>
                <w:i w:val="0"/>
                <w:color w:val="212121"/>
                <w:sz w:val="16"/>
              </w:rPr>
              <w:t>Non-specific; ~25% are asymptomatic and detected incidentally</w:t>
            </w:r>
          </w:p>
        </w:tc>
        <w:tc>
          <w:tcPr>
            <w:tcW w:type="dxa" w:w="1036"/>
            <w:vAlign w:val="top"/>
          </w:tcPr>
          <w:p>
            <w:pPr>
              <w:spacing w:after="40" w:before="0" w:line="259" w:lineRule="auto"/>
            </w:pPr>
            <w:r>
              <w:rPr>
                <w:rFonts w:ascii="Calibri" w:hAnsi="Calibri"/>
                <w:b w:val="0"/>
                <w:i w:val="0"/>
                <w:color w:val="212121"/>
                <w:sz w:val="16"/>
              </w:rPr>
              <w:t>All suspected AIH patients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Low threshold to test IgG/autoantibodies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Autoimmune background</w:t>
            </w:r>
          </w:p>
        </w:tc>
        <w:tc>
          <w:tcPr>
            <w:tcW w:type="dxa" w:w="979"/>
            <w:vAlign w:val="top"/>
          </w:tcPr>
          <w:p>
            <w:pPr>
              <w:spacing w:after="40" w:before="0" w:line="259" w:lineRule="auto"/>
            </w:pPr>
            <w:r>
              <w:rPr>
                <w:rFonts w:ascii="Calibri" w:hAnsi="Calibri"/>
                <w:b w:val="0"/>
                <w:i w:val="0"/>
                <w:color w:val="212121"/>
                <w:sz w:val="16"/>
              </w:rPr>
              <w:t>Personal/family thyroid, coeliac, T1DM, vitiligo, RA</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One or more present</w:t>
            </w:r>
          </w:p>
        </w:tc>
        <w:tc>
          <w:tcPr>
            <w:tcW w:type="dxa" w:w="1036"/>
            <w:vAlign w:val="top"/>
          </w:tcPr>
          <w:p>
            <w:pPr>
              <w:spacing w:after="40" w:before="0" w:line="259" w:lineRule="auto"/>
            </w:pPr>
            <w:r>
              <w:rPr>
                <w:rFonts w:ascii="Calibri" w:hAnsi="Calibri"/>
                <w:b w:val="0"/>
                <w:i w:val="0"/>
                <w:color w:val="212121"/>
                <w:sz w:val="16"/>
              </w:rPr>
              <w:t>Supports AIH and directs concurrent screening</w:t>
            </w:r>
          </w:p>
        </w:tc>
        <w:tc>
          <w:tcPr>
            <w:tcW w:type="dxa" w:w="1036"/>
            <w:vAlign w:val="top"/>
          </w:tcPr>
          <w:p>
            <w:pPr>
              <w:spacing w:after="40" w:before="0" w:line="259" w:lineRule="auto"/>
            </w:pPr>
            <w:r>
              <w:rPr>
                <w:rFonts w:ascii="Calibri" w:hAnsi="Calibri"/>
                <w:b w:val="0"/>
                <w:i w:val="0"/>
                <w:color w:val="212121"/>
                <w:sz w:val="16"/>
              </w:rPr>
              <w:t>Patients with autoimmune diathesis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Extrahepatic autoimmune disease in ~30-40%</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Drug / herbal exposure</w:t>
            </w:r>
          </w:p>
        </w:tc>
        <w:tc>
          <w:tcPr>
            <w:tcW w:type="dxa" w:w="979"/>
            <w:vAlign w:val="top"/>
          </w:tcPr>
          <w:p>
            <w:pPr>
              <w:spacing w:after="40" w:before="0" w:line="259" w:lineRule="auto"/>
            </w:pPr>
            <w:r>
              <w:rPr>
                <w:rFonts w:ascii="Calibri" w:hAnsi="Calibri"/>
                <w:b w:val="0"/>
                <w:i w:val="0"/>
                <w:color w:val="212121"/>
                <w:sz w:val="16"/>
              </w:rPr>
              <w:t>Nitrofurantoin, minocycline, statins, anti-TNF, checkpoint inhibitors, ayurvedic products</w:t>
            </w:r>
          </w:p>
        </w:tc>
        <w:tc>
          <w:tcPr>
            <w:tcW w:type="dxa" w:w="950"/>
            <w:vAlign w:val="top"/>
          </w:tcPr>
          <w:p>
            <w:pPr>
              <w:spacing w:after="40" w:before="0" w:line="259" w:lineRule="auto"/>
            </w:pPr>
            <w:r>
              <w:rPr>
                <w:rFonts w:ascii="Calibri" w:hAnsi="Calibri"/>
                <w:b w:val="0"/>
                <w:i w:val="0"/>
                <w:color w:val="212121"/>
                <w:sz w:val="16"/>
              </w:rPr>
              <w:t>No relevant exposure</w:t>
            </w:r>
          </w:p>
        </w:tc>
        <w:tc>
          <w:tcPr>
            <w:tcW w:type="dxa" w:w="950"/>
            <w:vAlign w:val="top"/>
          </w:tcPr>
          <w:p>
            <w:pPr>
              <w:spacing w:after="40" w:before="0" w:line="259" w:lineRule="auto"/>
            </w:pPr>
            <w:r>
              <w:rPr>
                <w:rFonts w:ascii="Calibri" w:hAnsi="Calibri"/>
                <w:b w:val="0"/>
                <w:i w:val="0"/>
                <w:color w:val="212121"/>
                <w:sz w:val="16"/>
              </w:rPr>
              <w:t>Temporal exposure present</w:t>
            </w:r>
          </w:p>
        </w:tc>
        <w:tc>
          <w:tcPr>
            <w:tcW w:type="dxa" w:w="1036"/>
            <w:vAlign w:val="top"/>
          </w:tcPr>
          <w:p>
            <w:pPr>
              <w:spacing w:after="40" w:before="0" w:line="259" w:lineRule="auto"/>
            </w:pPr>
            <w:r>
              <w:rPr>
                <w:rFonts w:ascii="Calibri" w:hAnsi="Calibri"/>
                <w:b w:val="0"/>
                <w:i w:val="0"/>
                <w:color w:val="212121"/>
                <w:sz w:val="16"/>
              </w:rPr>
              <w:t>Distinguishes drug-induced AIH-like injury from idiopathic AIH</w:t>
            </w:r>
          </w:p>
        </w:tc>
        <w:tc>
          <w:tcPr>
            <w:tcW w:type="dxa" w:w="1036"/>
            <w:vAlign w:val="top"/>
          </w:tcPr>
          <w:p>
            <w:pPr>
              <w:spacing w:after="40" w:before="0" w:line="259" w:lineRule="auto"/>
            </w:pPr>
            <w:r>
              <w:rPr>
                <w:rFonts w:ascii="Calibri" w:hAnsi="Calibri"/>
                <w:b w:val="0"/>
                <w:i w:val="0"/>
                <w:color w:val="212121"/>
                <w:sz w:val="16"/>
              </w:rPr>
              <w:t>All patients, esp. on oncology immunotherapy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Exclusion</w:t>
            </w:r>
          </w:p>
        </w:tc>
        <w:tc>
          <w:tcPr>
            <w:tcW w:type="dxa" w:w="720"/>
            <w:vAlign w:val="top"/>
          </w:tcPr>
          <w:p>
            <w:pPr>
              <w:spacing w:after="40" w:before="0" w:line="259" w:lineRule="auto"/>
            </w:pPr>
            <w:r>
              <w:rPr>
                <w:rFonts w:ascii="Calibri" w:hAnsi="Calibri"/>
                <w:b w:val="0"/>
                <w:i w:val="0"/>
                <w:color w:val="212121"/>
                <w:sz w:val="16"/>
              </w:rPr>
              <w:t>Herbal/traditional hepatotoxins are important in India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Alcohol use</w:t>
            </w:r>
          </w:p>
        </w:tc>
        <w:tc>
          <w:tcPr>
            <w:tcW w:type="dxa" w:w="979"/>
            <w:vAlign w:val="top"/>
          </w:tcPr>
          <w:p>
            <w:pPr>
              <w:spacing w:after="40" w:before="0" w:line="259" w:lineRule="auto"/>
            </w:pPr>
            <w:r>
              <w:rPr>
                <w:rFonts w:ascii="Calibri" w:hAnsi="Calibri"/>
                <w:b w:val="0"/>
                <w:i w:val="0"/>
                <w:color w:val="212121"/>
                <w:sz w:val="16"/>
              </w:rPr>
              <w:t>Quantified weekly alcohol intake</w:t>
            </w:r>
          </w:p>
        </w:tc>
        <w:tc>
          <w:tcPr>
            <w:tcW w:type="dxa" w:w="950"/>
            <w:vAlign w:val="top"/>
          </w:tcPr>
          <w:p>
            <w:pPr>
              <w:spacing w:after="40" w:before="0" w:line="259" w:lineRule="auto"/>
            </w:pPr>
            <w:r>
              <w:rPr>
                <w:rFonts w:ascii="Calibri" w:hAnsi="Calibri"/>
                <w:b w:val="0"/>
                <w:i w:val="0"/>
                <w:color w:val="212121"/>
                <w:sz w:val="16"/>
              </w:rPr>
              <w:t>Abstinent</w:t>
            </w:r>
          </w:p>
        </w:tc>
        <w:tc>
          <w:tcPr>
            <w:tcW w:type="dxa" w:w="950"/>
            <w:vAlign w:val="top"/>
          </w:tcPr>
          <w:p>
            <w:pPr>
              <w:spacing w:after="40" w:before="0" w:line="259" w:lineRule="auto"/>
            </w:pPr>
            <w:r>
              <w:rPr>
                <w:rFonts w:ascii="Calibri" w:hAnsi="Calibri"/>
                <w:b w:val="0"/>
                <w:i w:val="0"/>
                <w:color w:val="212121"/>
                <w:sz w:val="16"/>
              </w:rPr>
              <w:t>Any regular / heavy use</w:t>
            </w:r>
          </w:p>
        </w:tc>
        <w:tc>
          <w:tcPr>
            <w:tcW w:type="dxa" w:w="1036"/>
            <w:vAlign w:val="top"/>
          </w:tcPr>
          <w:p>
            <w:pPr>
              <w:spacing w:after="40" w:before="0" w:line="259" w:lineRule="auto"/>
            </w:pPr>
            <w:r>
              <w:rPr>
                <w:rFonts w:ascii="Calibri" w:hAnsi="Calibri"/>
                <w:b w:val="0"/>
                <w:i w:val="0"/>
                <w:color w:val="212121"/>
                <w:sz w:val="16"/>
              </w:rPr>
              <w:t>Excludes/identifies an additive cause of liver injury</w:t>
            </w:r>
          </w:p>
        </w:tc>
        <w:tc>
          <w:tcPr>
            <w:tcW w:type="dxa" w:w="1036"/>
            <w:vAlign w:val="top"/>
          </w:tcPr>
          <w:p>
            <w:pPr>
              <w:spacing w:after="40" w:before="0" w:line="259" w:lineRule="auto"/>
            </w:pPr>
            <w:r>
              <w:rPr>
                <w:rFonts w:ascii="Calibri" w:hAnsi="Calibri"/>
                <w:b w:val="0"/>
                <w:i w:val="0"/>
                <w:color w:val="212121"/>
                <w:sz w:val="16"/>
              </w:rPr>
              <w:t>All suspected AIH patients</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Exclusion</w:t>
            </w:r>
          </w:p>
        </w:tc>
        <w:tc>
          <w:tcPr>
            <w:tcW w:type="dxa" w:w="720"/>
            <w:vAlign w:val="top"/>
          </w:tcPr>
          <w:p>
            <w:pPr>
              <w:spacing w:after="40" w:before="0" w:line="259" w:lineRule="auto"/>
            </w:pPr>
            <w:r>
              <w:rPr>
                <w:rFonts w:ascii="Calibri" w:hAnsi="Calibri"/>
                <w:b w:val="0"/>
                <w:i w:val="0"/>
                <w:color w:val="212121"/>
                <w:sz w:val="16"/>
              </w:rPr>
              <w:t>Use AUDIT-C; counsel abstinence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Stigmata of chronic liver disease</w:t>
            </w:r>
          </w:p>
        </w:tc>
        <w:tc>
          <w:tcPr>
            <w:tcW w:type="dxa" w:w="979"/>
            <w:vAlign w:val="top"/>
          </w:tcPr>
          <w:p>
            <w:pPr>
              <w:spacing w:after="40" w:before="0" w:line="259" w:lineRule="auto"/>
            </w:pPr>
            <w:r>
              <w:rPr>
                <w:rFonts w:ascii="Calibri" w:hAnsi="Calibri"/>
                <w:b w:val="0"/>
                <w:i w:val="0"/>
                <w:color w:val="212121"/>
                <w:sz w:val="16"/>
              </w:rPr>
              <w:t>Jaundice, hepatomegaly, spider naevi, palmar erythema, splenomegaly</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One or more present</w:t>
            </w:r>
          </w:p>
        </w:tc>
        <w:tc>
          <w:tcPr>
            <w:tcW w:type="dxa" w:w="1036"/>
            <w:vAlign w:val="top"/>
          </w:tcPr>
          <w:p>
            <w:pPr>
              <w:spacing w:after="40" w:before="0" w:line="259" w:lineRule="auto"/>
            </w:pPr>
            <w:r>
              <w:rPr>
                <w:rFonts w:ascii="Calibri" w:hAnsi="Calibri"/>
                <w:b w:val="0"/>
                <w:i w:val="0"/>
                <w:color w:val="212121"/>
                <w:sz w:val="16"/>
              </w:rPr>
              <w:t>Indicates established/advanced disease or cirrhosis</w:t>
            </w:r>
          </w:p>
        </w:tc>
        <w:tc>
          <w:tcPr>
            <w:tcW w:type="dxa" w:w="1036"/>
            <w:vAlign w:val="top"/>
          </w:tcPr>
          <w:p>
            <w:pPr>
              <w:spacing w:after="40" w:before="0" w:line="259" w:lineRule="auto"/>
            </w:pPr>
            <w:r>
              <w:rPr>
                <w:rFonts w:ascii="Calibri" w:hAnsi="Calibri"/>
                <w:b w:val="0"/>
                <w:i w:val="0"/>
                <w:color w:val="212121"/>
                <w:sz w:val="16"/>
              </w:rPr>
              <w:t>Patients with chronic/long-standing disease</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Staging</w:t>
            </w:r>
          </w:p>
        </w:tc>
        <w:tc>
          <w:tcPr>
            <w:tcW w:type="dxa" w:w="720"/>
            <w:vAlign w:val="top"/>
          </w:tcPr>
          <w:p>
            <w:pPr>
              <w:spacing w:after="40" w:before="0" w:line="259" w:lineRule="auto"/>
            </w:pPr>
            <w:r>
              <w:rPr>
                <w:rFonts w:ascii="Calibri" w:hAnsi="Calibri"/>
                <w:b w:val="0"/>
                <w:i w:val="0"/>
                <w:color w:val="212121"/>
                <w:sz w:val="16"/>
              </w:rPr>
              <w:t>Hepatomegaly (~78%) and jaundice (~69%) are common findings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Signs of decompensation</w:t>
            </w:r>
          </w:p>
        </w:tc>
        <w:tc>
          <w:tcPr>
            <w:tcW w:type="dxa" w:w="979"/>
            <w:vAlign w:val="top"/>
          </w:tcPr>
          <w:p>
            <w:pPr>
              <w:spacing w:after="40" w:before="0" w:line="259" w:lineRule="auto"/>
            </w:pPr>
            <w:r>
              <w:rPr>
                <w:rFonts w:ascii="Calibri" w:hAnsi="Calibri"/>
                <w:b w:val="0"/>
                <w:i w:val="0"/>
                <w:color w:val="212121"/>
                <w:sz w:val="16"/>
              </w:rPr>
              <w:t>Ascites, asterixis/encephalopathy, oedema, variceal bleeding</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Any present</w:t>
            </w:r>
          </w:p>
        </w:tc>
        <w:tc>
          <w:tcPr>
            <w:tcW w:type="dxa" w:w="1036"/>
            <w:vAlign w:val="top"/>
          </w:tcPr>
          <w:p>
            <w:pPr>
              <w:spacing w:after="40" w:before="0" w:line="259" w:lineRule="auto"/>
            </w:pPr>
            <w:r>
              <w:rPr>
                <w:rFonts w:ascii="Calibri" w:hAnsi="Calibri"/>
                <w:b w:val="0"/>
                <w:i w:val="0"/>
                <w:color w:val="212121"/>
                <w:sz w:val="16"/>
              </w:rPr>
              <w:t>Signals decompensated cirrhosis or acute severe AIH needing urgent care</w:t>
            </w:r>
          </w:p>
        </w:tc>
        <w:tc>
          <w:tcPr>
            <w:tcW w:type="dxa" w:w="1036"/>
            <w:vAlign w:val="top"/>
          </w:tcPr>
          <w:p>
            <w:pPr>
              <w:spacing w:after="40" w:before="0" w:line="259" w:lineRule="auto"/>
            </w:pPr>
            <w:r>
              <w:rPr>
                <w:rFonts w:ascii="Calibri" w:hAnsi="Calibri"/>
                <w:b w:val="0"/>
                <w:i w:val="0"/>
                <w:color w:val="212121"/>
                <w:sz w:val="16"/>
              </w:rPr>
              <w:t>Cirrhotic / acute severe patients</w:t>
            </w:r>
          </w:p>
        </w:tc>
        <w:tc>
          <w:tcPr>
            <w:tcW w:type="dxa" w:w="720"/>
            <w:vAlign w:val="top"/>
          </w:tcPr>
          <w:p>
            <w:pPr>
              <w:spacing w:after="40" w:before="0" w:line="259" w:lineRule="auto"/>
            </w:pPr>
            <w:r>
              <w:rPr>
                <w:rFonts w:ascii="Calibri" w:hAnsi="Calibri"/>
                <w:b w:val="0"/>
                <w:i w:val="0"/>
                <w:color w:val="212121"/>
                <w:sz w:val="16"/>
              </w:rPr>
              <w:t>Water; Sleep</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Triggers assessment for transplantation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Corticosteroid side-effect review</w:t>
            </w:r>
          </w:p>
        </w:tc>
        <w:tc>
          <w:tcPr>
            <w:tcW w:type="dxa" w:w="979"/>
            <w:vAlign w:val="top"/>
          </w:tcPr>
          <w:p>
            <w:pPr>
              <w:spacing w:after="40" w:before="0" w:line="259" w:lineRule="auto"/>
            </w:pPr>
            <w:r>
              <w:rPr>
                <w:rFonts w:ascii="Calibri" w:hAnsi="Calibri"/>
                <w:b w:val="0"/>
                <w:i w:val="0"/>
                <w:color w:val="212121"/>
                <w:sz w:val="16"/>
              </w:rPr>
              <w:t>Cushingoid features, weight, BP, glucose, mood, bone health</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Emerging steroid toxicity</w:t>
            </w:r>
          </w:p>
        </w:tc>
        <w:tc>
          <w:tcPr>
            <w:tcW w:type="dxa" w:w="1036"/>
            <w:vAlign w:val="top"/>
          </w:tcPr>
          <w:p>
            <w:pPr>
              <w:spacing w:after="40" w:before="0" w:line="259" w:lineRule="auto"/>
            </w:pPr>
            <w:r>
              <w:rPr>
                <w:rFonts w:ascii="Calibri" w:hAnsi="Calibri"/>
                <w:b w:val="0"/>
                <w:i w:val="0"/>
                <w:color w:val="212121"/>
                <w:sz w:val="16"/>
              </w:rPr>
              <w:t>Guides steroid-sparing (azathioprine) and prophylaxis</w:t>
            </w:r>
          </w:p>
        </w:tc>
        <w:tc>
          <w:tcPr>
            <w:tcW w:type="dxa" w:w="1036"/>
            <w:vAlign w:val="top"/>
          </w:tcPr>
          <w:p>
            <w:pPr>
              <w:spacing w:after="40" w:before="0" w:line="259" w:lineRule="auto"/>
            </w:pPr>
            <w:r>
              <w:rPr>
                <w:rFonts w:ascii="Calibri" w:hAnsi="Calibri"/>
                <w:b w:val="0"/>
                <w:i w:val="0"/>
                <w:color w:val="212121"/>
                <w:sz w:val="16"/>
              </w:rPr>
              <w:t>Patients on long-term steroids</w:t>
            </w:r>
          </w:p>
        </w:tc>
        <w:tc>
          <w:tcPr>
            <w:tcW w:type="dxa" w:w="720"/>
            <w:vAlign w:val="top"/>
          </w:tcPr>
          <w:p>
            <w:pPr>
              <w:spacing w:after="40" w:before="0" w:line="259" w:lineRule="auto"/>
            </w:pPr>
            <w:r>
              <w:rPr>
                <w:rFonts w:ascii="Calibri" w:hAnsi="Calibri"/>
                <w:b w:val="0"/>
                <w:i w:val="0"/>
                <w:color w:val="212121"/>
                <w:sz w:val="16"/>
              </w:rPr>
              <w:t>Mental health; Food</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Add calcium/vitamin D and screen glucose/BP</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Fatigue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most frequent symptom, often disproportionate to biochemical severity and a major quality-of-life burden.</w:t>
            </w:r>
          </w:p>
        </w:tc>
      </w:tr>
      <w:tr>
        <w:trPr>
          <w:cantSplit/>
        </w:trPr>
        <w:tc>
          <w:tcPr>
            <w:tcW w:type="dxa" w:w="2304"/>
            <w:vAlign w:val="top"/>
          </w:tcPr>
          <w:p>
            <w:pPr>
              <w:spacing w:after="40" w:before="0" w:line="259" w:lineRule="auto"/>
            </w:pPr>
            <w:r>
              <w:rPr>
                <w:rFonts w:ascii="Calibri" w:hAnsi="Calibri"/>
                <w:b/>
                <w:i w:val="0"/>
                <w:color w:val="212121"/>
                <w:sz w:val="19"/>
              </w:rPr>
              <w:t>Jaundice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Yellowing of skin/eyes from hepatocellular inflammation; may be intermittent or mark an acute flare.</w:t>
            </w:r>
          </w:p>
        </w:tc>
      </w:tr>
      <w:tr>
        <w:trPr>
          <w:cantSplit/>
        </w:trPr>
        <w:tc>
          <w:tcPr>
            <w:tcW w:type="dxa" w:w="2304"/>
            <w:vAlign w:val="top"/>
          </w:tcPr>
          <w:p>
            <w:pPr>
              <w:spacing w:after="40" w:before="0" w:line="259" w:lineRule="auto"/>
            </w:pPr>
            <w:r>
              <w:rPr>
                <w:rFonts w:ascii="Calibri" w:hAnsi="Calibri"/>
                <w:b/>
                <w:i w:val="0"/>
                <w:color w:val="212121"/>
                <w:sz w:val="19"/>
              </w:rPr>
              <w:t>Anorexia / nausea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appetite and nausea are common non-specific features of active hepatitis.</w:t>
            </w:r>
          </w:p>
        </w:tc>
      </w:tr>
      <w:tr>
        <w:trPr>
          <w:cantSplit/>
        </w:trPr>
        <w:tc>
          <w:tcPr>
            <w:tcW w:type="dxa" w:w="2304"/>
            <w:vAlign w:val="top"/>
          </w:tcPr>
          <w:p>
            <w:pPr>
              <w:spacing w:after="40" w:before="0" w:line="259" w:lineRule="auto"/>
            </w:pPr>
            <w:r>
              <w:rPr>
                <w:rFonts w:ascii="Calibri" w:hAnsi="Calibri"/>
                <w:b/>
                <w:i w:val="0"/>
                <w:color w:val="212121"/>
                <w:sz w:val="19"/>
              </w:rPr>
              <w:t>Right upper quadrant / abdominal discomfort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Ache or heaviness over an inflamed, sometimes enlarged, liver.</w:t>
            </w:r>
          </w:p>
        </w:tc>
      </w:tr>
      <w:tr>
        <w:trPr>
          <w:cantSplit/>
        </w:trPr>
        <w:tc>
          <w:tcPr>
            <w:tcW w:type="dxa" w:w="2304"/>
            <w:vAlign w:val="top"/>
          </w:tcPr>
          <w:p>
            <w:pPr>
              <w:spacing w:after="40" w:before="0" w:line="259" w:lineRule="auto"/>
            </w:pPr>
            <w:r>
              <w:rPr>
                <w:rFonts w:ascii="Calibri" w:hAnsi="Calibri"/>
                <w:b/>
                <w:i w:val="0"/>
                <w:color w:val="212121"/>
                <w:sz w:val="19"/>
              </w:rPr>
              <w:t>Arthralgia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Migratory joint pains, usually without deformity, reflecting the systemic autoimmune process.</w:t>
            </w:r>
          </w:p>
        </w:tc>
      </w:tr>
      <w:tr>
        <w:trPr>
          <w:cantSplit/>
        </w:trPr>
        <w:tc>
          <w:tcPr>
            <w:tcW w:type="dxa" w:w="2304"/>
            <w:vAlign w:val="top"/>
          </w:tcPr>
          <w:p>
            <w:pPr>
              <w:spacing w:after="40" w:before="0" w:line="259" w:lineRule="auto"/>
            </w:pPr>
            <w:r>
              <w:rPr>
                <w:rFonts w:ascii="Calibri" w:hAnsi="Calibri"/>
                <w:b/>
                <w:i w:val="0"/>
                <w:color w:val="212121"/>
                <w:sz w:val="19"/>
              </w:rPr>
              <w:t>Malaise / general weakness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Non-specific reduction in energy and functional capacity.</w:t>
            </w:r>
          </w:p>
        </w:tc>
      </w:tr>
      <w:tr>
        <w:trPr>
          <w:cantSplit/>
        </w:trPr>
        <w:tc>
          <w:tcPr>
            <w:tcW w:type="dxa" w:w="2304"/>
            <w:vAlign w:val="top"/>
          </w:tcPr>
          <w:p>
            <w:pPr>
              <w:spacing w:after="40" w:before="0" w:line="259" w:lineRule="auto"/>
            </w:pPr>
            <w:r>
              <w:rPr>
                <w:rFonts w:ascii="Calibri" w:hAnsi="Calibri"/>
                <w:b/>
                <w:i w:val="0"/>
                <w:color w:val="212121"/>
                <w:sz w:val="19"/>
              </w:rPr>
              <w:t>Asymptomatic (incidental abnormal LFTs)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About a quarter of patients have no symptoms and are found on incidental transaminase elevation.</w:t>
            </w:r>
          </w:p>
        </w:tc>
      </w:tr>
      <w:tr>
        <w:trPr>
          <w:cantSplit/>
        </w:trPr>
        <w:tc>
          <w:tcPr>
            <w:tcW w:type="dxa" w:w="2304"/>
            <w:vAlign w:val="top"/>
          </w:tcPr>
          <w:p>
            <w:pPr>
              <w:spacing w:after="40" w:before="0" w:line="259" w:lineRule="auto"/>
            </w:pPr>
            <w:r>
              <w:rPr>
                <w:rFonts w:ascii="Calibri" w:hAnsi="Calibri"/>
                <w:b/>
                <w:i w:val="0"/>
                <w:color w:val="212121"/>
                <w:sz w:val="19"/>
              </w:rPr>
              <w:t>Amenorrhoea / menstrual irregularity</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Menstrual disturbance, including amenorrhoea, can accompany active disease in women.</w:t>
            </w:r>
          </w:p>
        </w:tc>
      </w:tr>
      <w:tr>
        <w:trPr>
          <w:cantSplit/>
        </w:trPr>
        <w:tc>
          <w:tcPr>
            <w:tcW w:type="dxa" w:w="2304"/>
            <w:vAlign w:val="top"/>
          </w:tcPr>
          <w:p>
            <w:pPr>
              <w:spacing w:after="40" w:before="0" w:line="259" w:lineRule="auto"/>
            </w:pPr>
            <w:r>
              <w:rPr>
                <w:rFonts w:ascii="Calibri" w:hAnsi="Calibri"/>
                <w:b/>
                <w:i w:val="0"/>
                <w:color w:val="212121"/>
                <w:sz w:val="19"/>
              </w:rPr>
              <w:t>Myalgia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Muscle aches as part of systemic inflammation.</w:t>
            </w:r>
          </w:p>
        </w:tc>
      </w:tr>
      <w:tr>
        <w:trPr>
          <w:cantSplit/>
        </w:trPr>
        <w:tc>
          <w:tcPr>
            <w:tcW w:type="dxa" w:w="2304"/>
            <w:vAlign w:val="top"/>
          </w:tcPr>
          <w:p>
            <w:pPr>
              <w:spacing w:after="40" w:before="0" w:line="259" w:lineRule="auto"/>
            </w:pPr>
            <w:r>
              <w:rPr>
                <w:rFonts w:ascii="Calibri" w:hAnsi="Calibri"/>
                <w:b/>
                <w:i w:val="0"/>
                <w:color w:val="212121"/>
                <w:sz w:val="19"/>
              </w:rPr>
              <w:t>Pruritus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Itching, more prominent when cholestatic or overlap features are present.</w:t>
            </w:r>
          </w:p>
        </w:tc>
      </w:tr>
      <w:tr>
        <w:trPr>
          <w:cantSplit/>
        </w:trPr>
        <w:tc>
          <w:tcPr>
            <w:tcW w:type="dxa" w:w="2304"/>
            <w:vAlign w:val="top"/>
          </w:tcPr>
          <w:p>
            <w:pPr>
              <w:spacing w:after="40" w:before="0" w:line="259" w:lineRule="auto"/>
            </w:pPr>
            <w:r>
              <w:rPr>
                <w:rFonts w:ascii="Calibri" w:hAnsi="Calibri"/>
                <w:b/>
                <w:i w:val="0"/>
                <w:color w:val="212121"/>
                <w:sz w:val="19"/>
              </w:rPr>
              <w:t>Low-grade fever</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May accompany acute or severe presentations.</w:t>
            </w:r>
          </w:p>
        </w:tc>
      </w:tr>
      <w:tr>
        <w:trPr>
          <w:cantSplit/>
        </w:trPr>
        <w:tc>
          <w:tcPr>
            <w:tcW w:type="dxa" w:w="2304"/>
            <w:vAlign w:val="top"/>
          </w:tcPr>
          <w:p>
            <w:pPr>
              <w:spacing w:after="40" w:before="0" w:line="259" w:lineRule="auto"/>
            </w:pPr>
            <w:r>
              <w:rPr>
                <w:rFonts w:ascii="Calibri" w:hAnsi="Calibri"/>
                <w:b/>
                <w:i w:val="0"/>
                <w:color w:val="212121"/>
                <w:sz w:val="19"/>
              </w:rPr>
              <w:t>Weight loss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Unintentional weight loss with active or advanced disease.</w:t>
            </w:r>
          </w:p>
        </w:tc>
      </w:tr>
      <w:tr>
        <w:trPr>
          <w:cantSplit/>
        </w:trPr>
        <w:tc>
          <w:tcPr>
            <w:tcW w:type="dxa" w:w="2304"/>
            <w:vAlign w:val="top"/>
          </w:tcPr>
          <w:p>
            <w:pPr>
              <w:spacing w:after="40" w:before="0" w:line="259" w:lineRule="auto"/>
            </w:pPr>
            <w:r>
              <w:rPr>
                <w:rFonts w:ascii="Calibri" w:hAnsi="Calibri"/>
                <w:b/>
                <w:i w:val="0"/>
                <w:color w:val="212121"/>
                <w:sz w:val="19"/>
              </w:rPr>
              <w:t>Confusion / altered sensorium</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Hepatic encephalopathy, indicating acute severe disease or decompensated cirrhosis.</w:t>
            </w:r>
          </w:p>
        </w:tc>
      </w:tr>
      <w:tr>
        <w:trPr>
          <w:cantSplit/>
        </w:trPr>
        <w:tc>
          <w:tcPr>
            <w:tcW w:type="dxa" w:w="2304"/>
            <w:vAlign w:val="top"/>
          </w:tcPr>
          <w:p>
            <w:pPr>
              <w:spacing w:after="40" w:before="0" w:line="259" w:lineRule="auto"/>
            </w:pPr>
            <w:r>
              <w:rPr>
                <w:rFonts w:ascii="Calibri" w:hAnsi="Calibri"/>
                <w:b/>
                <w:i w:val="0"/>
                <w:color w:val="212121"/>
                <w:sz w:val="19"/>
              </w:rPr>
              <w:t>Haematemesis / melena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Variceal bleeding from portal hypertension in cirrhotic patients.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Hepatomegaly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An enlarged, sometimes tender liver is found in a large majority (~78%) of patients.</w:t>
            </w:r>
          </w:p>
        </w:tc>
      </w:tr>
      <w:tr>
        <w:trPr>
          <w:cantSplit/>
        </w:trPr>
        <w:tc>
          <w:tcPr>
            <w:tcW w:type="dxa" w:w="3456"/>
            <w:vAlign w:val="top"/>
          </w:tcPr>
          <w:p>
            <w:pPr>
              <w:spacing w:after="40" w:before="0" w:line="259" w:lineRule="auto"/>
            </w:pPr>
            <w:r>
              <w:rPr>
                <w:rFonts w:ascii="Calibri" w:hAnsi="Calibri"/>
                <w:b/>
                <w:i w:val="0"/>
                <w:color w:val="212121"/>
                <w:sz w:val="19"/>
              </w:rPr>
              <w:t>Jaundice / icterus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Scleral and cutaneous yellowing, present in around two-thirds (~69%) at presentation.</w:t>
            </w:r>
          </w:p>
        </w:tc>
      </w:tr>
      <w:tr>
        <w:trPr>
          <w:cantSplit/>
        </w:trPr>
        <w:tc>
          <w:tcPr>
            <w:tcW w:type="dxa" w:w="3456"/>
            <w:vAlign w:val="top"/>
          </w:tcPr>
          <w:p>
            <w:pPr>
              <w:spacing w:after="40" w:before="0" w:line="259" w:lineRule="auto"/>
            </w:pPr>
            <w:r>
              <w:rPr>
                <w:rFonts w:ascii="Calibri" w:hAnsi="Calibri"/>
                <w:b/>
                <w:i w:val="0"/>
                <w:color w:val="212121"/>
                <w:sz w:val="19"/>
              </w:rPr>
              <w:t>Splenomegaly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Reflects portal hypertension in established or cirrhotic disease.</w:t>
            </w:r>
          </w:p>
        </w:tc>
      </w:tr>
      <w:tr>
        <w:trPr>
          <w:cantSplit/>
        </w:trPr>
        <w:tc>
          <w:tcPr>
            <w:tcW w:type="dxa" w:w="3456"/>
            <w:vAlign w:val="top"/>
          </w:tcPr>
          <w:p>
            <w:pPr>
              <w:spacing w:after="40" w:before="0" w:line="259" w:lineRule="auto"/>
            </w:pPr>
            <w:r>
              <w:rPr>
                <w:rFonts w:ascii="Calibri" w:hAnsi="Calibri"/>
                <w:b/>
                <w:i w:val="0"/>
                <w:color w:val="212121"/>
                <w:sz w:val="19"/>
              </w:rPr>
              <w:t>Spider naevi / telangiectasia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Cutaneous vascular lesions of chronic liver disease.</w:t>
            </w:r>
          </w:p>
        </w:tc>
      </w:tr>
      <w:tr>
        <w:trPr>
          <w:cantSplit/>
        </w:trPr>
        <w:tc>
          <w:tcPr>
            <w:tcW w:type="dxa" w:w="3456"/>
            <w:vAlign w:val="top"/>
          </w:tcPr>
          <w:p>
            <w:pPr>
              <w:spacing w:after="40" w:before="0" w:line="259" w:lineRule="auto"/>
            </w:pPr>
            <w:r>
              <w:rPr>
                <w:rFonts w:ascii="Calibri" w:hAnsi="Calibri"/>
                <w:b/>
                <w:i w:val="0"/>
                <w:color w:val="212121"/>
                <w:sz w:val="19"/>
              </w:rPr>
              <w:t>Palmar erythema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Reddening of the thenar/hypothenar eminences.</w:t>
            </w:r>
          </w:p>
        </w:tc>
      </w:tr>
      <w:tr>
        <w:trPr>
          <w:cantSplit/>
        </w:trPr>
        <w:tc>
          <w:tcPr>
            <w:tcW w:type="dxa" w:w="3456"/>
            <w:vAlign w:val="top"/>
          </w:tcPr>
          <w:p>
            <w:pPr>
              <w:spacing w:after="40" w:before="0" w:line="259" w:lineRule="auto"/>
            </w:pPr>
            <w:r>
              <w:rPr>
                <w:rFonts w:ascii="Calibri" w:hAnsi="Calibri"/>
                <w:b/>
                <w:i w:val="0"/>
                <w:color w:val="212121"/>
                <w:sz w:val="19"/>
              </w:rPr>
              <w:t>Ascites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Shifting dullness/fluid thrill from portal hypertension and hypoalbuminaemia in advanced disease.</w:t>
            </w:r>
          </w:p>
        </w:tc>
      </w:tr>
      <w:tr>
        <w:trPr>
          <w:cantSplit/>
        </w:trPr>
        <w:tc>
          <w:tcPr>
            <w:tcW w:type="dxa" w:w="3456"/>
            <w:vAlign w:val="top"/>
          </w:tcPr>
          <w:p>
            <w:pPr>
              <w:spacing w:after="40" w:before="0" w:line="259" w:lineRule="auto"/>
            </w:pPr>
            <w:r>
              <w:rPr>
                <w:rFonts w:ascii="Calibri" w:hAnsi="Calibri"/>
                <w:b/>
                <w:i w:val="0"/>
                <w:color w:val="212121"/>
                <w:sz w:val="19"/>
              </w:rPr>
              <w:t>Cushingoid appearance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Moon face, central adiposity, striae and acne developing on corticosteroid therapy.</w:t>
            </w:r>
          </w:p>
        </w:tc>
      </w:tr>
      <w:tr>
        <w:trPr>
          <w:cantSplit/>
        </w:trPr>
        <w:tc>
          <w:tcPr>
            <w:tcW w:type="dxa" w:w="3456"/>
            <w:vAlign w:val="top"/>
          </w:tcPr>
          <w:p>
            <w:pPr>
              <w:spacing w:after="40" w:before="0" w:line="259" w:lineRule="auto"/>
            </w:pPr>
            <w:r>
              <w:rPr>
                <w:rFonts w:ascii="Calibri" w:hAnsi="Calibri"/>
                <w:b/>
                <w:i w:val="0"/>
                <w:color w:val="212121"/>
                <w:sz w:val="19"/>
              </w:rPr>
              <w:t>Vitiligo</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Depigmented patches reflecting associated organ-specific autoimmunity.</w:t>
            </w:r>
          </w:p>
        </w:tc>
      </w:tr>
      <w:tr>
        <w:trPr>
          <w:cantSplit/>
        </w:trPr>
        <w:tc>
          <w:tcPr>
            <w:tcW w:type="dxa" w:w="3456"/>
            <w:vAlign w:val="top"/>
          </w:tcPr>
          <w:p>
            <w:pPr>
              <w:spacing w:after="40" w:before="0" w:line="259" w:lineRule="auto"/>
            </w:pPr>
            <w:r>
              <w:rPr>
                <w:rFonts w:ascii="Calibri" w:hAnsi="Calibri"/>
                <w:b/>
                <w:i w:val="0"/>
                <w:color w:val="212121"/>
                <w:sz w:val="19"/>
              </w:rPr>
              <w:t>Cutaneous vasculitic rash</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Purpuric or maculopapular eruption in a minority with systemic immune involvement.</w:t>
            </w:r>
          </w:p>
        </w:tc>
      </w:tr>
      <w:tr>
        <w:trPr>
          <w:cantSplit/>
        </w:trPr>
        <w:tc>
          <w:tcPr>
            <w:tcW w:type="dxa" w:w="3456"/>
            <w:vAlign w:val="top"/>
          </w:tcPr>
          <w:p>
            <w:pPr>
              <w:spacing w:after="40" w:before="0" w:line="259" w:lineRule="auto"/>
            </w:pPr>
            <w:r>
              <w:rPr>
                <w:rFonts w:ascii="Calibri" w:hAnsi="Calibri"/>
                <w:b/>
                <w:i w:val="0"/>
                <w:color w:val="212121"/>
                <w:sz w:val="19"/>
              </w:rPr>
              <w:t>Asterixis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Flapping tremor of hepatic encephalopathy in acute severe or decompensated disease.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severe / fulminant autoimmune hepatitis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Acute-on-chronic liver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Disease flares and relapse after immunosuppression withdrawal</w:t>
            </w:r>
          </w:p>
        </w:tc>
        <w:tc>
          <w:tcPr>
            <w:tcW w:type="dxa" w:w="2980"/>
            <w:vAlign w:val="top"/>
          </w:tcPr>
          <w:p>
            <w:pPr>
              <w:spacing w:after="40" w:before="0" w:line="259" w:lineRule="auto"/>
            </w:pPr>
            <w:r>
              <w:rPr>
                <w:rFonts w:ascii="Calibri" w:hAnsi="Calibri"/>
                <w:b w:val="0"/>
                <w:i w:val="0"/>
                <w:color w:val="212121"/>
                <w:sz w:val="19"/>
              </w:rPr>
              <w:t>Direct consequences of uncontrolled hepatocellular necro-inflammation; type 2 AIH and seronegative disease are more prone to acute severe presentation.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hepatic fibrosis and cirrhosis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Portal hypertension with oesophageal/gastric varices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Ascites and coagulopathy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Overlap with primary biliary cholangitis or primary sclerosing cholangitis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Treatment-related harms: steroid osteoporosis, diabetes, hypertension, infection; azathioprine cytopenias/hepatotoxicity</w:t>
            </w:r>
          </w:p>
        </w:tc>
        <w:tc>
          <w:tcPr>
            <w:tcW w:type="dxa" w:w="2980"/>
            <w:vAlign w:val="top"/>
          </w:tcPr>
          <w:p>
            <w:pPr>
              <w:spacing w:after="40" w:before="0" w:line="259" w:lineRule="auto"/>
            </w:pPr>
            <w:r>
              <w:rPr>
                <w:rFonts w:ascii="Calibri" w:hAnsi="Calibri"/>
                <w:b w:val="0"/>
                <w:i w:val="0"/>
                <w:color w:val="212121"/>
                <w:sz w:val="19"/>
              </w:rPr>
              <w:t>Arise from ongoing inflammation and fibrosis and from the long-term immunosuppression required to control the disease.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Decompensated cirrhosis (variceal haemorrhage, refractory ascites, hepatic encephalopathy, hepatorenal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Hepatocellular carcinoma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Liver failure requiring transplantation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AIH in the graft (about one-third of transplant recipients)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Death from liver-related causes</w:t>
            </w:r>
          </w:p>
        </w:tc>
        <w:tc>
          <w:tcPr>
            <w:tcW w:type="dxa" w:w="2980"/>
            <w:vAlign w:val="top"/>
          </w:tcPr>
          <w:p>
            <w:pPr>
              <w:spacing w:after="40" w:before="0" w:line="259" w:lineRule="auto"/>
            </w:pPr>
            <w:r>
              <w:rPr>
                <w:rFonts w:ascii="Calibri" w:hAnsi="Calibri"/>
                <w:b w:val="0"/>
                <w:i w:val="0"/>
                <w:color w:val="212121"/>
                <w:sz w:val="19"/>
              </w:rPr>
              <w:t>Irreversible, life-threatening end-stage outcomes; untreated AIH carries a 5-year and 10-year survival of only about 50% and 10%.</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Autoimmune thyroid disease (hypothyroidism / Graves)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commonest extrahepatic association through shared autoimmune susceptibility; screen thyroid function at diagnosis and follow-up.</w:t>
            </w:r>
          </w:p>
          <w:p>
            <w:pPr>
              <w:spacing w:after="40" w:before="0" w:line="259" w:lineRule="auto"/>
            </w:pPr>
            <w:r>
              <w:rPr>
                <w:rFonts w:ascii="Calibri" w:hAnsi="Calibri"/>
                <w:b/>
                <w:i w:val="0"/>
                <w:color w:val="212121"/>
                <w:sz w:val="19"/>
              </w:rPr>
              <w:t>Among the commonest associations</w:t>
            </w:r>
          </w:p>
        </w:tc>
      </w:tr>
      <w:tr>
        <w:trPr>
          <w:cantSplit/>
        </w:trPr>
        <w:tc>
          <w:tcPr>
            <w:tcW w:type="dxa" w:w="2232"/>
            <w:vAlign w:val="top"/>
          </w:tcPr>
          <w:p>
            <w:pPr>
              <w:spacing w:after="40" w:before="0" w:line="259" w:lineRule="auto"/>
            </w:pPr>
            <w:r>
              <w:rPr>
                <w:rFonts w:ascii="Calibri" w:hAnsi="Calibri"/>
                <w:b/>
                <w:i w:val="0"/>
                <w:color w:val="212121"/>
                <w:sz w:val="19"/>
              </w:rPr>
              <w:t>Coeliac disease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Clusters with AIH via shared HLA-linked autoimmunity; guideline-endorsed screening, and a gluten-free diet can improve liver enzymes.</w:t>
            </w:r>
          </w:p>
        </w:tc>
      </w:tr>
      <w:tr>
        <w:trPr>
          <w:cantSplit/>
        </w:trPr>
        <w:tc>
          <w:tcPr>
            <w:tcW w:type="dxa" w:w="2232"/>
            <w:vAlign w:val="top"/>
          </w:tcPr>
          <w:p>
            <w:pPr>
              <w:spacing w:after="40" w:before="0" w:line="259" w:lineRule="auto"/>
            </w:pPr>
            <w:r>
              <w:rPr>
                <w:rFonts w:ascii="Calibri" w:hAnsi="Calibri"/>
                <w:b/>
                <w:i w:val="0"/>
                <w:color w:val="212121"/>
                <w:sz w:val="19"/>
              </w:rPr>
              <w:t>Type 1 diabetes mellitus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Organ-specific autoimmunity coexisting with AIH; complicates the metabolic effects of corticosteroid therapy.</w:t>
            </w:r>
          </w:p>
        </w:tc>
      </w:tr>
      <w:tr>
        <w:trPr>
          <w:cantSplit/>
        </w:trPr>
        <w:tc>
          <w:tcPr>
            <w:tcW w:type="dxa" w:w="2232"/>
            <w:vAlign w:val="top"/>
          </w:tcPr>
          <w:p>
            <w:pPr>
              <w:spacing w:after="40" w:before="0" w:line="259" w:lineRule="auto"/>
            </w:pPr>
            <w:r>
              <w:rPr>
                <w:rFonts w:ascii="Calibri" w:hAnsi="Calibri"/>
                <w:b/>
                <w:i w:val="0"/>
                <w:color w:val="212121"/>
                <w:sz w:val="19"/>
              </w:rPr>
              <w:t>Steroid-induced diabetes / hyperglycaemia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direct consequence of the corticosteroids used to treat AIH; requires glucose monitoring and steroid-sparing strategies.</w:t>
            </w:r>
          </w:p>
        </w:tc>
      </w:tr>
      <w:tr>
        <w:trPr>
          <w:cantSplit/>
        </w:trPr>
        <w:tc>
          <w:tcPr>
            <w:tcW w:type="dxa" w:w="2232"/>
            <w:vAlign w:val="top"/>
          </w:tcPr>
          <w:p>
            <w:pPr>
              <w:spacing w:after="40" w:before="0" w:line="259" w:lineRule="auto"/>
            </w:pPr>
            <w:r>
              <w:rPr>
                <w:rFonts w:ascii="Calibri" w:hAnsi="Calibri"/>
                <w:b/>
                <w:i w:val="0"/>
                <w:color w:val="212121"/>
                <w:sz w:val="19"/>
              </w:rPr>
              <w:t>Vitiligo</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Depigmenting autoimmune skin disease reflecting the broader autoimmune diathesis of AIH.</w:t>
            </w:r>
          </w:p>
        </w:tc>
      </w:tr>
      <w:tr>
        <w:trPr>
          <w:cantSplit/>
        </w:trPr>
        <w:tc>
          <w:tcPr>
            <w:tcW w:type="dxa" w:w="2232"/>
            <w:vAlign w:val="top"/>
          </w:tcPr>
          <w:p>
            <w:pPr>
              <w:spacing w:after="40" w:before="0" w:line="259" w:lineRule="auto"/>
            </w:pPr>
            <w:r>
              <w:rPr>
                <w:rFonts w:ascii="Calibri" w:hAnsi="Calibri"/>
                <w:b/>
                <w:i w:val="0"/>
                <w:color w:val="212121"/>
                <w:sz w:val="19"/>
              </w:rPr>
              <w:t>Rheumatoid arthritis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Systemic autoimmune arthropathy that coexists with AIH and influences immunosuppressive choices.</w:t>
            </w:r>
          </w:p>
        </w:tc>
      </w:tr>
      <w:tr>
        <w:trPr>
          <w:cantSplit/>
        </w:trPr>
        <w:tc>
          <w:tcPr>
            <w:tcW w:type="dxa" w:w="2232"/>
            <w:vAlign w:val="top"/>
          </w:tcPr>
          <w:p>
            <w:pPr>
              <w:spacing w:after="40" w:before="0" w:line="259" w:lineRule="auto"/>
            </w:pPr>
            <w:r>
              <w:rPr>
                <w:rFonts w:ascii="Calibri" w:hAnsi="Calibri"/>
                <w:b/>
                <w:i w:val="0"/>
                <w:color w:val="212121"/>
                <w:sz w:val="19"/>
              </w:rPr>
              <w:t>Sjogren's syndrome</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Exocrine autoimmune disease associated with AIH as part of polyautoimmunity.</w:t>
            </w:r>
          </w:p>
        </w:tc>
      </w:tr>
      <w:tr>
        <w:trPr>
          <w:cantSplit/>
        </w:trPr>
        <w:tc>
          <w:tcPr>
            <w:tcW w:type="dxa" w:w="2232"/>
            <w:vAlign w:val="top"/>
          </w:tcPr>
          <w:p>
            <w:pPr>
              <w:spacing w:after="40" w:before="0" w:line="259" w:lineRule="auto"/>
            </w:pPr>
            <w:r>
              <w:rPr>
                <w:rFonts w:ascii="Calibri" w:hAnsi="Calibri"/>
                <w:b/>
                <w:i w:val="0"/>
                <w:color w:val="212121"/>
                <w:sz w:val="19"/>
              </w:rPr>
              <w:t>Primary biliary cholangitis (overlap)</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AIH-PBC overlap adds cholestatic features and AMA positivity and changes therapy (ursodeoxycholic acid).</w:t>
            </w:r>
          </w:p>
        </w:tc>
      </w:tr>
      <w:tr>
        <w:trPr>
          <w:cantSplit/>
        </w:trPr>
        <w:tc>
          <w:tcPr>
            <w:tcW w:type="dxa" w:w="2232"/>
            <w:vAlign w:val="top"/>
          </w:tcPr>
          <w:p>
            <w:pPr>
              <w:spacing w:after="40" w:before="0" w:line="259" w:lineRule="auto"/>
            </w:pPr>
            <w:r>
              <w:rPr>
                <w:rFonts w:ascii="Calibri" w:hAnsi="Calibri"/>
                <w:b/>
                <w:i w:val="0"/>
                <w:color w:val="212121"/>
                <w:sz w:val="19"/>
              </w:rPr>
              <w:t>Primary sclerosing cholangitis / IBD</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AIH-PSC overlap (and ulcerative colitis) requires cholangiographic assessment and alters management.</w:t>
            </w:r>
          </w:p>
        </w:tc>
      </w:tr>
      <w:tr>
        <w:trPr>
          <w:cantSplit/>
        </w:trPr>
        <w:tc>
          <w:tcPr>
            <w:tcW w:type="dxa" w:w="2232"/>
            <w:vAlign w:val="top"/>
          </w:tcPr>
          <w:p>
            <w:pPr>
              <w:spacing w:after="40" w:before="0" w:line="259" w:lineRule="auto"/>
            </w:pPr>
            <w:r>
              <w:rPr>
                <w:rFonts w:ascii="Calibri" w:hAnsi="Calibri"/>
                <w:b/>
                <w:i w:val="0"/>
                <w:color w:val="212121"/>
                <w:sz w:val="19"/>
              </w:rPr>
              <w:t>Cirrhosis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central adverse outcome of chronic or inadequately controlled AIH; roughly a third of Indian patients had cirrhosis already at diagnosis.</w:t>
            </w:r>
          </w:p>
          <w:p>
            <w:pPr>
              <w:spacing w:after="40" w:before="0" w:line="259" w:lineRule="auto"/>
            </w:pPr>
            <w:r>
              <w:rPr>
                <w:rFonts w:ascii="Calibri" w:hAnsi="Calibri"/>
                <w:b/>
                <w:i w:val="0"/>
                <w:color w:val="212121"/>
                <w:sz w:val="19"/>
              </w:rPr>
              <w:t>34.2% at presentation (India)</w:t>
            </w:r>
          </w:p>
        </w:tc>
      </w:tr>
      <w:tr>
        <w:trPr>
          <w:cantSplit/>
        </w:trPr>
        <w:tc>
          <w:tcPr>
            <w:tcW w:type="dxa" w:w="2232"/>
            <w:vAlign w:val="top"/>
          </w:tcPr>
          <w:p>
            <w:pPr>
              <w:spacing w:after="40" w:before="0" w:line="259" w:lineRule="auto"/>
            </w:pPr>
            <w:r>
              <w:rPr>
                <w:rFonts w:ascii="Calibri" w:hAnsi="Calibri"/>
                <w:b/>
                <w:i w:val="0"/>
                <w:color w:val="212121"/>
                <w:sz w:val="19"/>
              </w:rPr>
              <w:t>Hepatocellular carcinoma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Arises mainly in AIH-related cirrhosis and mandates ongoing surveillance.</w:t>
            </w:r>
          </w:p>
        </w:tc>
      </w:tr>
      <w:tr>
        <w:trPr>
          <w:cantSplit/>
        </w:trPr>
        <w:tc>
          <w:tcPr>
            <w:tcW w:type="dxa" w:w="2232"/>
            <w:vAlign w:val="top"/>
          </w:tcPr>
          <w:p>
            <w:pPr>
              <w:spacing w:after="40" w:before="0" w:line="259" w:lineRule="auto"/>
            </w:pPr>
            <w:r>
              <w:rPr>
                <w:rFonts w:ascii="Calibri" w:hAnsi="Calibri"/>
                <w:b/>
                <w:i w:val="0"/>
                <w:color w:val="212121"/>
                <w:sz w:val="19"/>
              </w:rPr>
              <w:t>Osteoporosis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Driven by long-term corticosteroid therapy (and chronic liver disease); needs calcium, vitamin D and bone-density monitoring.</w:t>
            </w:r>
          </w:p>
        </w:tc>
      </w:tr>
      <w:tr>
        <w:trPr>
          <w:cantSplit/>
        </w:trPr>
        <w:tc>
          <w:tcPr>
            <w:tcW w:type="dxa" w:w="2232"/>
            <w:vAlign w:val="top"/>
          </w:tcPr>
          <w:p>
            <w:pPr>
              <w:spacing w:after="40" w:before="0" w:line="259" w:lineRule="auto"/>
            </w:pPr>
            <w:r>
              <w:rPr>
                <w:rFonts w:ascii="Calibri" w:hAnsi="Calibri"/>
                <w:b/>
                <w:i w:val="0"/>
                <w:color w:val="212121"/>
                <w:sz w:val="19"/>
              </w:rPr>
              <w:t>Depression / anxiety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Common with chronic illness, disabling fatigue and steroid mood effects; reduces treatment adherence.</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autoimmune hepatitis is a treatable disease in which the immune system attacks the liver - not caused by infection or lifestyle - and that early diagnosis prevents cirrhosis.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stop or reduce immunosuppressive medicines on your own; abrupt withdrawal is a leading cause of relapse.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unprescribed painkillers, and unregulated herbal, ayurvedic or 'liver-tonic' remedies, which can themselves damage the liver or trigger AIH-like injury.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Get vaccinated against hepatitis A and B (and stay up to date with recommended vaccines) before/while on immunosuppression.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warning signs - deepening jaundice, dark urine, swelling of the abdomen/legs, drowsiness or confusion, or vomiting blood - and seek urgent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Have first-degree relatives and yourself screened for associated autoimmune diseases (thyroid, coeliac, diabetes).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immunosuppression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Family members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cirrhosis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Primary-care and general physicians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corticosteroids and azathioprine exactly as prescribed, and attend all monitoring blood tests (liver enzymes, IgG, full blood count).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and maintain biochemical remission - normal ALT/AST and IgG - which is the treatment target that protects the liver.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new infections promptly, as immunosuppression increases infection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Continue 6-monthly ultrasound (and AFP) surveillance for liver cancer if cirrhosis is present.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Discuss pregnancy planning with your hepatologist, as disease can flare in pregnancy and the post-partum period and some drugs need review.</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on/after immunosuppression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Cirrhotic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of childbearing 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prior relapse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at least 150 minutes/week of moderate aerobic activity to counter steroid-related weight gain, hyperglycaemia and fatigue.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resistance/strength and weight-bearing exercise 2-3 days/week to protect muscle and bone during long-term steroids.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active but individualise intensity in cirrhosis, avoiding contact/collision sports if varices or low platelets are present.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graded activity and pacing to manage disproportionate fatigue.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corticosteroids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Compensated cirrhotics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fatigue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balanced diet rich in whole grains, pulses, vegetables and fruit; limit refined sugar, saturated/fried fat to offset steroid metabolic effects.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calcium and vitamin D (diet +/- supplements) to protect against steroid-induced bone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out completely, as it adds to liver injury and confounds monitoring.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coeliac disease is present, maintain a strict gluten-free diet, which can improve liver enzymes.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Restrict dietary salt if fluid retention or ascites develops, and maintain adequate protein unless a clinician advises restriction.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steroids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coeliac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Cirrhotic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steroid-induced diabetes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alcohol completely - it accelerates fibrosis and cirrhosis and interferes with interpreting liver enzymes.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structured de-addiction or brief-intervention support if cutting down is difficult.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alcohol-containing tonics and remedies, which also strain the liver.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AIH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Cirrhotic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prior alcohol use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 it is linked to more advanced fibrosis in autoimmune liver disease and adds cardiovascular risk during long-term steroids.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cessation support, nicotine replacement or pharmacotherapy as needed.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exposure.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long-term steroids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Cirrhotic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7-9 hour sleep schedule and good sleep hygiene to help disease- and steroid-related fatigue and insomnia.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corticosteroids in the morning to reduce steroid-induced insomnia.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new daytime drowsiness or reversed sleep-wake pattern, which can be an early sign of hepatic encephalopathy.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fatigue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steroids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Cirrhotic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depression and anxiety at diagnosis and during follow-up, as chronic illness, fatigue and steroids affect mood.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counselling, peer support and psychiatric care where needed, and address body-image effects of steroids.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adherence to long-term immunosuppression, linking mood care with better disease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reassurance that most patients achieve remission with treatment.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depression/anxiety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long-term steroids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disabling fatigue</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mcgastroenterol.biomedcentral.com/articles/10.1186/1471-230X-5-27" TargetMode="External"/><Relationship Id="rId10" Type="http://schemas.openxmlformats.org/officeDocument/2006/relationships/hyperlink" Target="https://www.ncbi.nlm.nih.gov/books/NBK459186/" TargetMode="External"/><Relationship Id="rId11" Type="http://schemas.openxmlformats.org/officeDocument/2006/relationships/hyperlink" Target="https://pubmed.ncbi.nlm.nih.gov/38571851/" TargetMode="External"/><Relationship Id="rId12" Type="http://schemas.openxmlformats.org/officeDocument/2006/relationships/hyperlink" Target="https://pubmed.ncbi.nlm.nih.gov/26148248/" TargetMode="External"/><Relationship Id="rId13" Type="http://schemas.openxmlformats.org/officeDocument/2006/relationships/hyperlink" Target="https://pubmed.ncbi.nlm.nih.gov/266419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