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MASH (Metabolic dysfunction-associated steatohepatitis)</w:t>
      </w:r>
    </w:p>
    <w:p>
      <w:pPr>
        <w:spacing w:before="0" w:after="160"/>
      </w:pPr>
      <w:r>
        <w:rPr>
          <w:rFonts w:ascii="Calibri" w:hAnsi="Calibri"/>
          <w:b/>
          <w:i w:val="0"/>
          <w:color w:val="212121"/>
          <w:sz w:val="22"/>
        </w:rPr>
        <w:t xml:space="preserve">AKA </w:t>
      </w:r>
      <w:r>
        <w:rPr>
          <w:rFonts w:ascii="Calibri" w:hAnsi="Calibri"/>
          <w:b w:val="0"/>
          <w:i w:val="0"/>
          <w:color w:val="212121"/>
          <w:sz w:val="22"/>
        </w:rPr>
        <w:t>i.e., NASH (Non-alcoholic steatohepatitis), Fatty liver hepatitis, Fatty liver inflammation; the progressive form of MASLD / NAFLD (metabolic dysfunction-associated / non-alcoholic fatty liver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MASH (metabolic dysfunction-associated steatohepatitis) is the progressive, necro-inflammatory form of MASLD in which excess fat in the liver (steatosis, &gt;5% of hepatocytes) is accompanied by hepatocyte injury (ballooning) and lobular inflammation, with or without fibrosis, in a person who has at least one cardiometabolic risk factor and no other dominant cause such as significant alcohol use, viral hepatitis or a hepatotoxic drug. Unlike simple (bland) steatosis, MASH can advance through progressive fibrosis to cirrhosis, liver failure and hepatocellular carcinoma. The condition was renamed from NASH to MASH in the 2023 multisociety nomenclature change, and it is the histological subtype of fatty liver disease that carries the greatest risk of liver-related death.</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fatty liver disease (MASLD, of which MASH is the progressive form) is now among the commonest chronic liver conditions: pooled community and hospital studies place it in roughly a third of adults, with reported figures ranging widely from under 10% to over 50% depending on the population sampled. A clinically important minority of these individuals have MASH rather than simple fat, and it is this steatohepatitis group that is at risk of fibrosis, cirrhosis and liver cancer; globally MASH is estimated to affect on the order of 5% of adults. Prevalence is climbing in step with obesity, type 2 diabetes and central adiposity, and is notably high even among lean, normal-weight Indians because of the South Asian 'thin-fat' phenotype and a high frequency of the PNPLA3 risk variant. Reflecting this burden, India became the first country in the world to integrate fatty liver disease into its national non-communicable disease control programme.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MASH is ultimately a histological diagnosis, but modern practice uses a stepwise pathway that establishes steatosis, confirms a metabolic driver, excludes other liver disease and then risk-stratifies for steatohepatitis and fibrosis. A working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hepatic steatosis demonstrated on imaging (ultrasound 'bright liver', CT, or MRI/MRI-PDFF ≥5% fat) or on the controlled attenuation parameter (CAP) of transient elastography, or on liver histology;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one cardiometabolic criterion — overweight/obesity or raised waist circumference (South Asian cut-offs ≥90 cm men, ≥80 cm women), prediabetes/type 2 diabetes (fasting glucose or HbA1c), raised blood pressure, high triglycerides, or low HDL cholesterol — which distinguishes MASLD from other steatotic liver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significant alcohol intake (MASLD requires &lt;20 g/day in women and &lt;30 g/day in men; 20–50 g/day women or 30–60 g/day men is reclassified as MetALD) and of other causes such as hepatitis B/C, autoimmune hepatitis, Wilson disease, haemochromatosis and steatogenic drugs;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steatohepatitis (MASH) confirmed on liver biopsy by the coexistence of steatosis, hepatocellular ballooning and lobular inflammation, graded with the NAFLD Activity Score (NAS 0–8) or SAF score — definite MASH generally requires ballooning plus inflammation, often NAS ≥5;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fibrosis staged F0–F4 (F0 none, F1 perisinusoidal/portal, F2 significant, F3 advanced bridging, F4 cirrhosis) — the single strongest predictor of liver-related and overall mortality;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non-invasive fibrosis assessment for risk stratification: the FIB-4 index and NAFLD Fibrosis Score as first-line filters, then vibration-controlled transient elastography (FibroScan liver stiffness), MR elastography, or the ELF (Enhanced Liver Fibrosis) blood test to identify advanced fibrosis;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liver biopsy reserved as the reference standard when the diagnosis is uncertain, competing causes are suspected, or confirmation of steatohepatitis/fibrosis will change management.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 the 2023 nomenclature, fatty (steatotic) liver disease is organised as a spectrum, within which MASH occupies the progressive middle of the MASLD pathway:</w:t>
      </w:r>
    </w:p>
    <w:p>
      <w:pPr>
        <w:spacing w:before="0" w:after="80"/>
      </w:pPr>
      <w:r>
        <w:rPr>
          <w:rFonts w:ascii="Calibri" w:hAnsi="Calibri"/>
          <w:b w:val="0"/>
          <w:i w:val="0"/>
          <w:color w:val="212121"/>
          <w:sz w:val="21"/>
        </w:rPr>
        <w:t>(1) Steatotic liver disease (SLD) is the umbrella term; MASLD is the subset with hepatic steatosis plus at least one cardiometabolic risk factor and no other dominant cause, while MetALD denotes MASLD coexisting with moderate alcohol intake, and separate categories cover alcohol-associated, drug-induced, and cryptogenic steatotic liver disease.</w:t>
      </w:r>
    </w:p>
    <w:p>
      <w:pPr>
        <w:spacing w:before="0" w:after="80"/>
      </w:pPr>
      <w:r>
        <w:rPr>
          <w:rFonts w:ascii="Calibri" w:hAnsi="Calibri"/>
          <w:b w:val="0"/>
          <w:i w:val="0"/>
          <w:color w:val="212121"/>
          <w:sz w:val="21"/>
        </w:rPr>
        <w:t>(2) MASL (isolated/simple steatosis, formerly non-alcoholic fatty liver) — fat accumulation with little or no inflammation or ballooning and a low risk of progression.</w:t>
      </w:r>
    </w:p>
    <w:p>
      <w:pPr>
        <w:spacing w:before="0" w:after="80"/>
      </w:pPr>
      <w:r>
        <w:rPr>
          <w:rFonts w:ascii="Calibri" w:hAnsi="Calibri"/>
          <w:b w:val="0"/>
          <w:i w:val="0"/>
          <w:color w:val="212121"/>
          <w:sz w:val="21"/>
        </w:rPr>
        <w:t>(3) MASH (steatohepatitis) — steatosis together with hepatocellular ballooning and lobular inflammation, with or without fibrosis; this is the active, progressive form and the focus of therapy, graded by histological activity (NAS/SAF).</w:t>
      </w:r>
    </w:p>
    <w:p>
      <w:pPr>
        <w:spacing w:before="0" w:after="80"/>
      </w:pPr>
      <w:r>
        <w:rPr>
          <w:rFonts w:ascii="Calibri" w:hAnsi="Calibri"/>
          <w:b w:val="0"/>
          <w:i w:val="0"/>
          <w:color w:val="212121"/>
          <w:sz w:val="21"/>
        </w:rPr>
        <w:t>(4) MASH with fibrosis, staged F1–F3, where significant (≥F2) and advanced (F3, bridging) fibrosis mark the high-risk 'at-risk MASH' group most likely to progress and the population targeted by newer pharmacotherapy.</w:t>
      </w:r>
    </w:p>
    <w:p>
      <w:pPr>
        <w:spacing w:before="0" w:after="80"/>
      </w:pPr>
      <w:r>
        <w:rPr>
          <w:rFonts w:ascii="Calibri" w:hAnsi="Calibri"/>
          <w:b w:val="0"/>
          <w:i w:val="0"/>
          <w:color w:val="212121"/>
          <w:sz w:val="21"/>
        </w:rPr>
        <w:t>(5) MASH cirrhosis (F4), which may be compensated or decompensated, and MASH-related hepatocellular carcinoma — note that in MASH, HCC can arise even before cirrhosis, and advancing cirrhosis may cause steatosis to regress ('burnt-out' MASH), which can make the underlying cause hard to recognise.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Insulin resistance / metabolic syndrome: The central driver — hepatic and peripheral insulin resistance increase free fatty acid delivery to the liver and de novo lipogenesis, loading hepatocytes with fat and priming them for injury.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and visceral adiposity: Dysfunctional, inflamed visceral fat releases free fatty acids and pro-inflammatory adipokines (high leptin, low adiponectin), producing lipotoxic hepatocyte stress that converts bland steatosis into steatohepatitis.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Type 2 diabetes: Strongly and bidirectionally associated; diabetes accelerates the progression of MASH to advanced fibrosis and markedly raises hepatocellular carcinoma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Atherogenic dyslipidaemia: High triglycerides, low HDL and small dense LDL both reflect and aggravate the hepatic lipid overload underlying MASH.</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Variants such as PNPLA3 I148M (rs738409), TM6SF2, MBOAT7 and the protective HSD17B13 modulate hepatic fat handling; the PNPLA3 risk allele is common in South Asians and is a major driver of MASH and of lean/normal-weight fatty liver in India.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'Multiple-hit' injury: Once fat accumulates, lipotoxicity, mitochondrial and endoplasmic-reticulum stress, oxidative injury, gut dysbiosis with endotoxaemia, and activation of hepatic immune and stellate cells together drive inflammation, ballooning and fibrogenesis.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Dietary and lifestyle exposures: Excess calories, fructose and sugar-sweetened beverages, high saturated-fat and ultra-processed foods, and physical inactivity promote hepatic fat and the transition to steatohepatitis.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Prevalence and the risk of steatohepatitis rise through middle age as cumulative metabolic exposure, weight gain and worsening insulin resistance load the liver with fat and sustain low-grade inflammation.</w:t>
            </w:r>
          </w:p>
          <w:p>
            <w:pPr>
              <w:spacing w:after="40" w:before="60" w:line="259" w:lineRule="auto"/>
            </w:pPr>
            <w:r>
              <w:rPr>
                <w:rFonts w:ascii="Calibri" w:hAnsi="Calibri"/>
                <w:b w:val="0"/>
                <w:i w:val="0"/>
                <w:color w:val="212121"/>
                <w:sz w:val="19"/>
              </w:rPr>
              <w:t>MASLD/NAFLD is now reported in roughly a third of Indian adults across pooled community and hospital studies, with prevalence increasing through middle age.</w:t>
            </w:r>
          </w:p>
          <w:p>
            <w:pPr>
              <w:spacing w:after="40" w:line="252" w:lineRule="auto"/>
            </w:pPr>
            <w:hyperlink r:id="rId9">
              <w:r>
                <w:rPr>
                  <w:rFonts w:ascii="Calibri" w:hAnsi="Calibri" w:cs="Calibri"/>
                  <w:sz w:val="18"/>
                  <w:color w:val="1155CC"/>
                  <w:u w:val="single"/>
                </w:rPr>
                <w:t xml:space="preserve">pubmed.ncbi.nlm.nih.gov/35677499 — NAFLD prevalence in India (meta-analysis)</w:t>
              </w:r>
            </w:hyperlink>
          </w:p>
          <w:p>
            <w:pPr>
              <w:spacing w:before="60" w:after="40"/>
            </w:pPr>
            <w:r>
              <w:rPr>
                <w:rFonts w:ascii="Calibri" w:hAnsi="Calibri"/>
                <w:b w:val="0"/>
                <w:i w:val="0"/>
                <w:color w:val="5A5A5A"/>
                <w:sz w:val="18"/>
              </w:rPr>
              <w:t>#MASH  #MASLD  #fattyliver  #insulinresistance  #middleage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Longer disease duration means more time to accumulate fibrosis; ageing, sarcopenia and multimorbidity raise the risk of advanced fibrosis, cirrhosis and hepatocellular carcinoma in those with MASH.</w:t>
            </w:r>
          </w:p>
          <w:p>
            <w:pPr>
              <w:spacing w:after="40" w:before="60" w:line="259" w:lineRule="auto"/>
            </w:pPr>
            <w:r>
              <w:rPr>
                <w:rFonts w:ascii="Calibri" w:hAnsi="Calibri"/>
                <w:b w:val="0"/>
                <w:i w:val="0"/>
                <w:color w:val="212121"/>
                <w:sz w:val="19"/>
              </w:rPr>
              <w:t>Advanced fibrosis and MASH-related hepatocellular carcinoma cluster in older adults, in whom liver-related outcomes are highest.</w:t>
            </w:r>
          </w:p>
          <w:p>
            <w:pPr>
              <w:spacing w:after="40" w:line="252" w:lineRule="auto"/>
            </w:pPr>
            <w:hyperlink r:id="rId10">
              <w:r>
                <w:rPr>
                  <w:rFonts w:ascii="Calibri" w:hAnsi="Calibri" w:cs="Calibri"/>
                  <w:sz w:val="18"/>
                  <w:color w:val="1155CC"/>
                  <w:u w:val="single"/>
                </w:rPr>
                <w:t xml:space="preserve">pubmed.ncbi.nlm.nih.gov/30179269 — global perspectives on NAFLD/NASH</w:t>
              </w:r>
            </w:hyperlink>
          </w:p>
          <w:p>
            <w:pPr>
              <w:spacing w:before="60" w:after="40"/>
            </w:pPr>
            <w:r>
              <w:rPr>
                <w:rFonts w:ascii="Calibri" w:hAnsi="Calibri"/>
                <w:b w:val="0"/>
                <w:i w:val="0"/>
                <w:color w:val="5A5A5A"/>
                <w:sz w:val="18"/>
              </w:rPr>
              <w:t>#ageing  #fibrosis  #cirrhosis  #HCC  #sarcopenia</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Men (reproductive age)</w:t>
            </w:r>
          </w:p>
        </w:tc>
        <w:tc>
          <w:tcPr>
            <w:tcW w:type="dxa" w:w="4276"/>
            <w:vAlign w:val="top"/>
          </w:tcPr>
          <w:p>
            <w:pPr>
              <w:spacing w:after="60" w:line="259" w:lineRule="auto"/>
            </w:pPr>
            <w:r>
              <w:rPr>
                <w:rFonts w:ascii="Calibri" w:hAnsi="Calibri"/>
                <w:b w:val="0"/>
                <w:i w:val="0"/>
                <w:color w:val="212121"/>
                <w:sz w:val="19"/>
              </w:rPr>
              <w:t>Men carry more visceral fat and lack the pre-menopausal oestrogen protection seen in women, giving a higher prevalence of MASLD and MASH through mid-life.</w:t>
            </w:r>
          </w:p>
          <w:p>
            <w:pPr>
              <w:spacing w:after="40" w:before="60" w:line="259" w:lineRule="auto"/>
            </w:pPr>
            <w:r>
              <w:rPr>
                <w:rFonts w:ascii="Calibri" w:hAnsi="Calibri"/>
                <w:b w:val="0"/>
                <w:i w:val="0"/>
                <w:color w:val="212121"/>
                <w:sz w:val="19"/>
              </w:rPr>
              <w:t>Male sex is associated with higher NAFLD/MASH prevalence in reproductive years, with women catching up after menopause.</w:t>
            </w:r>
          </w:p>
          <w:p>
            <w:pPr>
              <w:spacing w:after="40" w:line="252" w:lineRule="auto"/>
            </w:pPr>
            <w:hyperlink r:id="rId11">
              <w:r>
                <w:rPr>
                  <w:rFonts w:ascii="Calibri" w:hAnsi="Calibri" w:cs="Calibri"/>
                  <w:sz w:val="18"/>
                  <w:color w:val="1155CC"/>
                  <w:u w:val="single"/>
                </w:rPr>
                <w:t xml:space="preserve">wikipedia.org — non-alcoholic fatty liver disease</w:t>
              </w:r>
            </w:hyperlink>
          </w:p>
          <w:p>
            <w:pPr>
              <w:spacing w:before="60" w:after="40"/>
            </w:pPr>
            <w:r>
              <w:rPr>
                <w:rFonts w:ascii="Calibri" w:hAnsi="Calibri"/>
                <w:b w:val="0"/>
                <w:i w:val="0"/>
                <w:color w:val="5A5A5A"/>
                <w:sz w:val="18"/>
              </w:rPr>
              <w:t>#male  #visceralfat  #oestrogen  #sexdifference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Loss of oestrogen after menopause removes a protective influence on hepatic lipid handling, raising the incidence of MASH and of significant fibrosis in older women.</w:t>
            </w:r>
          </w:p>
          <w:p>
            <w:pPr>
              <w:spacing w:after="40" w:before="60" w:line="259" w:lineRule="auto"/>
            </w:pPr>
            <w:r>
              <w:rPr>
                <w:rFonts w:ascii="Calibri" w:hAnsi="Calibri"/>
                <w:b w:val="0"/>
                <w:i w:val="0"/>
                <w:color w:val="212121"/>
                <w:sz w:val="19"/>
              </w:rPr>
              <w:t>MASLD prevalence and fibrosis risk in women rise sharply after menopause, approaching or exceeding that of men.</w:t>
            </w:r>
          </w:p>
          <w:p>
            <w:pPr>
              <w:spacing w:before="60" w:after="40"/>
            </w:pPr>
            <w:r>
              <w:rPr>
                <w:rFonts w:ascii="Calibri" w:hAnsi="Calibri"/>
                <w:b w:val="0"/>
                <w:i w:val="0"/>
                <w:color w:val="5A5A5A"/>
                <w:sz w:val="18"/>
              </w:rPr>
              <w:t>#menopause  #oestrogen  #fibrosis  #womenshealth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w:t>
            </w:r>
          </w:p>
        </w:tc>
        <w:tc>
          <w:tcPr>
            <w:tcW w:type="dxa" w:w="4276"/>
            <w:vAlign w:val="top"/>
          </w:tcPr>
          <w:p>
            <w:pPr>
              <w:spacing w:after="60" w:line="259" w:lineRule="auto"/>
            </w:pPr>
            <w:r>
              <w:rPr>
                <w:rFonts w:ascii="Calibri" w:hAnsi="Calibri"/>
                <w:b w:val="0"/>
                <w:i w:val="0"/>
                <w:color w:val="212121"/>
                <w:sz w:val="19"/>
              </w:rPr>
              <w:t>South Asians display the 'thin-fat' phenotype — greater visceral and hepatic fat and more insulin resistance at any given BMI — so fatty liver and MASH occur even at normal body weight (lean MASLD).</w:t>
            </w:r>
          </w:p>
          <w:p>
            <w:pPr>
              <w:spacing w:after="40" w:before="60" w:line="259" w:lineRule="auto"/>
            </w:pPr>
            <w:r>
              <w:rPr>
                <w:rFonts w:ascii="Calibri" w:hAnsi="Calibri"/>
                <w:b w:val="0"/>
                <w:i w:val="0"/>
                <w:color w:val="212121"/>
                <w:sz w:val="19"/>
              </w:rPr>
              <w:t>Asian populations are more susceptible to metabolic syndrome and MASLD than Western counterparts, and lean MASLD is particularly prominent in Asians.</w:t>
            </w:r>
          </w:p>
          <w:p>
            <w:pPr>
              <w:spacing w:after="40" w:line="252" w:lineRule="auto"/>
            </w:pPr>
            <w:hyperlink r:id="rId11">
              <w:r>
                <w:rPr>
                  <w:rFonts w:ascii="Calibri" w:hAnsi="Calibri" w:cs="Calibri"/>
                  <w:sz w:val="18"/>
                  <w:color w:val="1155CC"/>
                  <w:u w:val="single"/>
                </w:rPr>
                <w:t xml:space="preserve">wikipedia.org — NAFLD (lean/Asian susceptibility)</w:t>
              </w:r>
            </w:hyperlink>
          </w:p>
          <w:p>
            <w:pPr>
              <w:spacing w:before="60" w:after="40"/>
            </w:pPr>
            <w:r>
              <w:rPr>
                <w:rFonts w:ascii="Calibri" w:hAnsi="Calibri"/>
                <w:b w:val="0"/>
                <w:i w:val="0"/>
                <w:color w:val="5A5A5A"/>
                <w:sz w:val="18"/>
              </w:rPr>
              <w:t>#SouthAsian  #thinfat  #leanNAFLD  #visceralfat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Urban Indians</w:t>
            </w:r>
          </w:p>
        </w:tc>
        <w:tc>
          <w:tcPr>
            <w:tcW w:type="dxa" w:w="4276"/>
            <w:vAlign w:val="top"/>
          </w:tcPr>
          <w:p>
            <w:pPr>
              <w:spacing w:after="60" w:line="259" w:lineRule="auto"/>
            </w:pPr>
            <w:r>
              <w:rPr>
                <w:rFonts w:ascii="Calibri" w:hAnsi="Calibri"/>
                <w:b w:val="0"/>
                <w:i w:val="0"/>
                <w:color w:val="212121"/>
                <w:sz w:val="19"/>
              </w:rPr>
              <w:t>Urban living brings sedentary desk work, motorised transport and calorie-dense, refined-carbohydrate and fried-food diets — the nutrition transition — which raises hepatic fat and MASH risk above rural levels.</w:t>
            </w:r>
          </w:p>
          <w:p>
            <w:pPr>
              <w:spacing w:after="40" w:before="60" w:line="259" w:lineRule="auto"/>
            </w:pPr>
            <w:r>
              <w:rPr>
                <w:rFonts w:ascii="Calibri" w:hAnsi="Calibri"/>
                <w:b w:val="0"/>
                <w:i w:val="0"/>
                <w:color w:val="212121"/>
                <w:sz w:val="19"/>
              </w:rPr>
              <w:t>Indian meta-analytic data show NAFLD is highly prevalent and tends to be higher in urban and hospital-based populations.</w:t>
            </w:r>
          </w:p>
          <w:p>
            <w:pPr>
              <w:spacing w:after="40" w:line="252" w:lineRule="auto"/>
            </w:pPr>
            <w:hyperlink r:id="rId12">
              <w:r>
                <w:rPr>
                  <w:rFonts w:ascii="Calibri" w:hAnsi="Calibri" w:cs="Calibri"/>
                  <w:sz w:val="18"/>
                  <w:color w:val="1155CC"/>
                  <w:u w:val="single"/>
                </w:rPr>
                <w:t xml:space="preserve">doi.org/10.1016/j.jceh.2021.11.010 — NAFLD in India (JCEH 2022)</w:t>
              </w:r>
            </w:hyperlink>
          </w:p>
          <w:p>
            <w:pPr>
              <w:spacing w:before="60" w:after="40"/>
            </w:pPr>
            <w:r>
              <w:rPr>
                <w:rFonts w:ascii="Calibri" w:hAnsi="Calibri"/>
                <w:b w:val="0"/>
                <w:i w:val="0"/>
                <w:color w:val="5A5A5A"/>
                <w:sz w:val="18"/>
              </w:rPr>
              <w:t>#urban  #nutritiontransition  #sedentary  #refinedcarbs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Rising urban middle class</w:t>
            </w:r>
          </w:p>
        </w:tc>
        <w:tc>
          <w:tcPr>
            <w:tcW w:type="dxa" w:w="4276"/>
            <w:vAlign w:val="top"/>
          </w:tcPr>
          <w:p>
            <w:pPr>
              <w:spacing w:after="60" w:line="259" w:lineRule="auto"/>
            </w:pPr>
            <w:r>
              <w:rPr>
                <w:rFonts w:ascii="Calibri" w:hAnsi="Calibri"/>
                <w:b w:val="0"/>
                <w:i w:val="0"/>
                <w:color w:val="212121"/>
                <w:sz w:val="19"/>
              </w:rPr>
              <w:t>Increasing disposable income and westernised, energy-dense diets in India's expanding middle class drive weight gain, diabetes and fatty liver, though the condition is now seen across socioeconomic strata.</w:t>
            </w:r>
          </w:p>
          <w:p>
            <w:pPr>
              <w:spacing w:after="40" w:before="60" w:line="259" w:lineRule="auto"/>
            </w:pPr>
            <w:r>
              <w:rPr>
                <w:rFonts w:ascii="Calibri" w:hAnsi="Calibri"/>
                <w:b w:val="0"/>
                <w:i w:val="0"/>
                <w:color w:val="212121"/>
                <w:sz w:val="19"/>
              </w:rPr>
              <w:t>MASLD in India is rising fastest alongside urbanisation, dietary change and the obesity/diabetes epidemic.</w:t>
            </w:r>
          </w:p>
          <w:p>
            <w:pPr>
              <w:spacing w:before="60" w:after="40"/>
            </w:pPr>
            <w:r>
              <w:rPr>
                <w:rFonts w:ascii="Calibri" w:hAnsi="Calibri"/>
                <w:b w:val="0"/>
                <w:i w:val="0"/>
                <w:color w:val="5A5A5A"/>
                <w:sz w:val="18"/>
              </w:rPr>
              <w:t>#socioeconomic  #dietchange  #obesity  #middleclass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behaviour</w:t>
            </w:r>
          </w:p>
        </w:tc>
        <w:tc>
          <w:tcPr>
            <w:tcW w:type="dxa" w:w="2160"/>
            <w:vAlign w:val="top"/>
          </w:tcPr>
          <w:p>
            <w:pPr>
              <w:spacing w:after="40" w:before="0" w:line="259" w:lineRule="auto"/>
            </w:pPr>
            <w:r>
              <w:rPr>
                <w:rFonts w:ascii="Calibri" w:hAnsi="Calibri"/>
                <w:b w:val="0"/>
                <w:i w:val="0"/>
                <w:color w:val="212121"/>
                <w:sz w:val="19"/>
              </w:rPr>
              <w:t>IT/desk workers, homemakers, elderly</w:t>
            </w:r>
          </w:p>
        </w:tc>
        <w:tc>
          <w:tcPr>
            <w:tcW w:type="dxa" w:w="4276"/>
            <w:vAlign w:val="top"/>
          </w:tcPr>
          <w:p>
            <w:pPr>
              <w:spacing w:after="60" w:line="259" w:lineRule="auto"/>
            </w:pPr>
            <w:r>
              <w:rPr>
                <w:rFonts w:ascii="Calibri" w:hAnsi="Calibri"/>
                <w:b w:val="0"/>
                <w:i w:val="0"/>
                <w:color w:val="212121"/>
                <w:sz w:val="19"/>
              </w:rPr>
              <w:t>Physical inactivity and prolonged sitting reduce skeletal-muscle glucose uptake and insulin sensitivity, promoting hepatic fat storage; exercise lowers liver fat even without weight loss.</w:t>
            </w:r>
          </w:p>
          <w:p>
            <w:pPr>
              <w:spacing w:after="40" w:before="60" w:line="259" w:lineRule="auto"/>
            </w:pPr>
            <w:r>
              <w:rPr>
                <w:rFonts w:ascii="Calibri" w:hAnsi="Calibri"/>
                <w:b w:val="0"/>
                <w:i w:val="0"/>
                <w:color w:val="212121"/>
                <w:sz w:val="19"/>
              </w:rPr>
              <w:t>Physical inactivity is a consistent, independent contributor to hepatic steatosis and MASH; structured activity reduces intrahepatic fat.</w:t>
            </w:r>
          </w:p>
          <w:p>
            <w:pPr>
              <w:spacing w:after="40" w:line="252" w:lineRule="auto"/>
            </w:pPr>
            <w:hyperlink r:id="rId13">
              <w:r>
                <w:rPr>
                  <w:rFonts w:ascii="Calibri" w:hAnsi="Calibri" w:cs="Calibri"/>
                  <w:sz w:val="18"/>
                  <w:color w:val="1155CC"/>
                  <w:u w:val="single"/>
                </w:rPr>
                <w:t xml:space="preserve">doi.org/10.1002/hep.29367 — AASLD NAFLD practice guidance</w:t>
              </w:r>
            </w:hyperlink>
          </w:p>
          <w:p>
            <w:pPr>
              <w:spacing w:before="60" w:after="40"/>
            </w:pPr>
            <w:r>
              <w:rPr>
                <w:rFonts w:ascii="Calibri" w:hAnsi="Calibri"/>
                <w:b w:val="0"/>
                <w:i w:val="0"/>
                <w:color w:val="5A5A5A"/>
                <w:sz w:val="18"/>
              </w:rPr>
              <w:t>#sedentary  #physicalinactivity  #insulinresistance  #deskjob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(metabolic + alcohol)</w:t>
            </w:r>
          </w:p>
        </w:tc>
        <w:tc>
          <w:tcPr>
            <w:tcW w:type="dxa" w:w="2160"/>
            <w:vAlign w:val="top"/>
          </w:tcPr>
          <w:p>
            <w:pPr>
              <w:spacing w:after="40" w:before="0" w:line="259" w:lineRule="auto"/>
            </w:pPr>
            <w:r>
              <w:rPr>
                <w:rFonts w:ascii="Calibri" w:hAnsi="Calibri"/>
                <w:b w:val="0"/>
                <w:i w:val="0"/>
                <w:color w:val="212121"/>
                <w:sz w:val="19"/>
              </w:rPr>
              <w:t>Moderate drinkers with metabolic risk (MetALD)</w:t>
            </w:r>
          </w:p>
        </w:tc>
        <w:tc>
          <w:tcPr>
            <w:tcW w:type="dxa" w:w="4276"/>
            <w:vAlign w:val="top"/>
          </w:tcPr>
          <w:p>
            <w:pPr>
              <w:spacing w:after="60" w:line="259" w:lineRule="auto"/>
            </w:pPr>
            <w:r>
              <w:rPr>
                <w:rFonts w:ascii="Calibri" w:hAnsi="Calibri"/>
                <w:b w:val="0"/>
                <w:i w:val="0"/>
                <w:color w:val="212121"/>
                <w:sz w:val="19"/>
              </w:rPr>
              <w:t>When moderate alcohol intake is superimposed on metabolic dysfunction (MetALD), the two insults act synergistically to accelerate steatohepatitis, fibrosis, cirrhosis and liver cancer.</w:t>
            </w:r>
          </w:p>
          <w:p>
            <w:pPr>
              <w:spacing w:after="40" w:before="60" w:line="259" w:lineRule="auto"/>
            </w:pPr>
            <w:r>
              <w:rPr>
                <w:rFonts w:ascii="Calibri" w:hAnsi="Calibri"/>
                <w:b w:val="0"/>
                <w:i w:val="0"/>
                <w:color w:val="212121"/>
                <w:sz w:val="19"/>
              </w:rPr>
              <w:t>MASLD requires alcohol &lt;20 g/day (women) or &lt;30 g/day (men); intake of 20–50 g/day (women) or 30–60 g/day (men) is reclassified as MetALD, which progresses faster.</w:t>
            </w:r>
          </w:p>
          <w:p>
            <w:pPr>
              <w:spacing w:after="40" w:line="252" w:lineRule="auto"/>
            </w:pPr>
            <w:hyperlink r:id="rId14">
              <w:r>
                <w:rPr>
                  <w:rFonts w:ascii="Calibri" w:hAnsi="Calibri" w:cs="Calibri"/>
                  <w:sz w:val="18"/>
                  <w:color w:val="1155CC"/>
                  <w:u w:val="single"/>
                </w:rPr>
                <w:t xml:space="preserve">doi.org/10.1097/HEP.0000000000000520 — 2023 SLD nomenclature</w:t>
              </w:r>
            </w:hyperlink>
          </w:p>
          <w:p>
            <w:pPr>
              <w:spacing w:before="60" w:after="40"/>
            </w:pPr>
            <w:r>
              <w:rPr>
                <w:rFonts w:ascii="Calibri" w:hAnsi="Calibri"/>
                <w:b w:val="0"/>
                <w:i w:val="0"/>
                <w:color w:val="5A5A5A"/>
                <w:sz w:val="18"/>
              </w:rPr>
              <w:t>#MetALD  #alcohol  #synergy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smoking worsens insulin resistance, oxidative stress and endothelial dysfunction and is associated with more advanced fibrosis in people with MASH, compounding their already high cardiovascular risk.</w:t>
            </w:r>
          </w:p>
          <w:p>
            <w:pPr>
              <w:spacing w:after="40" w:before="60" w:line="259" w:lineRule="auto"/>
            </w:pPr>
            <w:r>
              <w:rPr>
                <w:rFonts w:ascii="Calibri" w:hAnsi="Calibri"/>
                <w:b w:val="0"/>
                <w:i w:val="0"/>
                <w:color w:val="212121"/>
                <w:sz w:val="19"/>
              </w:rPr>
              <w:t>Smoking is linked to greater fibrosis severity and heightened cardiovascular risk in fatty liver disease.</w:t>
            </w:r>
          </w:p>
          <w:p>
            <w:pPr>
              <w:spacing w:before="60" w:after="40"/>
            </w:pPr>
            <w:r>
              <w:rPr>
                <w:rFonts w:ascii="Calibri" w:hAnsi="Calibri"/>
                <w:b w:val="0"/>
                <w:i w:val="0"/>
                <w:color w:val="5A5A5A"/>
                <w:sz w:val="18"/>
              </w:rPr>
              <w:t>#smoking  #oxidativestress  #fibrosis  #cardiovascular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Fructose / sugar-sweetened beverages</w:t>
            </w:r>
          </w:p>
        </w:tc>
        <w:tc>
          <w:tcPr>
            <w:tcW w:type="dxa" w:w="2160"/>
            <w:vAlign w:val="top"/>
          </w:tcPr>
          <w:p>
            <w:pPr>
              <w:spacing w:after="40" w:before="0" w:line="259" w:lineRule="auto"/>
            </w:pPr>
            <w:r>
              <w:rPr>
                <w:rFonts w:ascii="Calibri" w:hAnsi="Calibri"/>
                <w:b w:val="0"/>
                <w:i w:val="0"/>
                <w:color w:val="212121"/>
                <w:sz w:val="19"/>
              </w:rPr>
              <w:t>High soft-drink &amp; sweet consumers</w:t>
            </w:r>
          </w:p>
        </w:tc>
        <w:tc>
          <w:tcPr>
            <w:tcW w:type="dxa" w:w="4276"/>
            <w:vAlign w:val="top"/>
          </w:tcPr>
          <w:p>
            <w:pPr>
              <w:spacing w:after="60" w:line="259" w:lineRule="auto"/>
            </w:pPr>
            <w:r>
              <w:rPr>
                <w:rFonts w:ascii="Calibri" w:hAnsi="Calibri"/>
                <w:b w:val="0"/>
                <w:i w:val="0"/>
                <w:color w:val="212121"/>
                <w:sz w:val="19"/>
              </w:rPr>
              <w:t>Fructose is metabolised in the liver and is a potent stimulus for de novo lipogenesis; sugar-sweetened beverages, sweets and fruit juices drive hepatic fat and inflammation independent of total calories.</w:t>
            </w:r>
          </w:p>
          <w:p>
            <w:pPr>
              <w:spacing w:after="40" w:before="60" w:line="259" w:lineRule="auto"/>
            </w:pPr>
            <w:r>
              <w:rPr>
                <w:rFonts w:ascii="Calibri" w:hAnsi="Calibri"/>
                <w:b w:val="0"/>
                <w:i w:val="0"/>
                <w:color w:val="212121"/>
                <w:sz w:val="19"/>
              </w:rPr>
              <w:t>High fructose and sugar-sweetened beverage intake is a recognised dietary driver of steatosis and progression to steatohepatitis.</w:t>
            </w:r>
          </w:p>
          <w:p>
            <w:pPr>
              <w:spacing w:after="40" w:line="252" w:lineRule="auto"/>
            </w:pPr>
            <w:hyperlink r:id="rId15">
              <w:r>
                <w:rPr>
                  <w:rFonts w:ascii="Calibri" w:hAnsi="Calibri" w:cs="Calibri"/>
                  <w:sz w:val="18"/>
                  <w:color w:val="1155CC"/>
                  <w:u w:val="single"/>
                </w:rPr>
                <w:t xml:space="preserve">doi.org/10.1038/nrgastro.2017.109 — global burden of NAFLD/NASH</w:t>
              </w:r>
            </w:hyperlink>
          </w:p>
          <w:p>
            <w:pPr>
              <w:spacing w:before="60" w:after="40"/>
            </w:pPr>
            <w:r>
              <w:rPr>
                <w:rFonts w:ascii="Calibri" w:hAnsi="Calibri"/>
                <w:b w:val="0"/>
                <w:i w:val="0"/>
                <w:color w:val="5A5A5A"/>
                <w:sz w:val="18"/>
              </w:rPr>
              <w:t>#fructose  #SSB  #denovolipogenesis  #addedsugar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Refined carbohydrate &amp; fried/ultra-processed food</w:t>
            </w:r>
          </w:p>
        </w:tc>
        <w:tc>
          <w:tcPr>
            <w:tcW w:type="dxa" w:w="2160"/>
            <w:vAlign w:val="top"/>
          </w:tcPr>
          <w:p>
            <w:pPr>
              <w:spacing w:after="40" w:before="0" w:line="259" w:lineRule="auto"/>
            </w:pPr>
            <w:r>
              <w:rPr>
                <w:rFonts w:ascii="Calibri" w:hAnsi="Calibri"/>
                <w:b w:val="0"/>
                <w:i w:val="0"/>
                <w:color w:val="212121"/>
                <w:sz w:val="19"/>
              </w:rPr>
              <w:t>High white-rice/refined-wheat &amp; fried-food diets</w:t>
            </w:r>
          </w:p>
        </w:tc>
        <w:tc>
          <w:tcPr>
            <w:tcW w:type="dxa" w:w="4276"/>
            <w:vAlign w:val="top"/>
          </w:tcPr>
          <w:p>
            <w:pPr>
              <w:spacing w:after="60" w:line="259" w:lineRule="auto"/>
            </w:pPr>
            <w:r>
              <w:rPr>
                <w:rFonts w:ascii="Calibri" w:hAnsi="Calibri"/>
                <w:b w:val="0"/>
                <w:i w:val="0"/>
                <w:color w:val="212121"/>
                <w:sz w:val="19"/>
              </w:rPr>
              <w:t>The typical high-glycaemic Indian diet — large portions of polished white rice or refined wheat with fried snacks and saturated/trans fats — imposes a high glycaemic and lipid load that favours hepatic fat accumulation and MASH.</w:t>
            </w:r>
          </w:p>
          <w:p>
            <w:pPr>
              <w:spacing w:after="40" w:before="60" w:line="259" w:lineRule="auto"/>
            </w:pPr>
            <w:r>
              <w:rPr>
                <w:rFonts w:ascii="Calibri" w:hAnsi="Calibri"/>
                <w:b w:val="0"/>
                <w:i w:val="0"/>
                <w:color w:val="212121"/>
                <w:sz w:val="19"/>
              </w:rPr>
              <w:t>Energy-dense, high-glycaemic, ultra-processed dietary patterns are strongly associated with MASLD and its progression.</w:t>
            </w:r>
          </w:p>
          <w:p>
            <w:pPr>
              <w:spacing w:before="60" w:after="40"/>
            </w:pPr>
            <w:r>
              <w:rPr>
                <w:rFonts w:ascii="Calibri" w:hAnsi="Calibri"/>
                <w:b w:val="0"/>
                <w:i w:val="0"/>
                <w:color w:val="5A5A5A"/>
                <w:sz w:val="18"/>
              </w:rPr>
              <w:t>#refinedcarbs  #glycaemicload  #friedfood  #ultraprocessed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fatty liver / T2DM / cirrhosis</w:t>
            </w:r>
          </w:p>
        </w:tc>
        <w:tc>
          <w:tcPr>
            <w:tcW w:type="dxa" w:w="4276"/>
            <w:vAlign w:val="top"/>
          </w:tcPr>
          <w:p>
            <w:pPr>
              <w:spacing w:after="60" w:line="259" w:lineRule="auto"/>
            </w:pPr>
            <w:r>
              <w:rPr>
                <w:rFonts w:ascii="Calibri" w:hAnsi="Calibri"/>
                <w:b w:val="0"/>
                <w:i w:val="0"/>
                <w:color w:val="212121"/>
                <w:sz w:val="19"/>
              </w:rPr>
              <w:t>Both hepatic fat content and fibrosis are heritable; a family history of fatty liver, type 2 diabetes, metabolic syndrome or cryptogenic cirrhosis raises an individual's risk of MASH.</w:t>
            </w:r>
          </w:p>
          <w:p>
            <w:pPr>
              <w:spacing w:after="40" w:before="60" w:line="259" w:lineRule="auto"/>
            </w:pPr>
            <w:r>
              <w:rPr>
                <w:rFonts w:ascii="Calibri" w:hAnsi="Calibri"/>
                <w:b w:val="0"/>
                <w:i w:val="0"/>
                <w:color w:val="212121"/>
                <w:sz w:val="19"/>
              </w:rPr>
              <w:t>Steatosis and fibrosis show substantial heritability, clustering in families alongside diabetes and metabolic syndrome.</w:t>
            </w:r>
          </w:p>
          <w:p>
            <w:pPr>
              <w:spacing w:before="60" w:after="40"/>
            </w:pPr>
            <w:r>
              <w:rPr>
                <w:rFonts w:ascii="Calibri" w:hAnsi="Calibri"/>
                <w:b w:val="0"/>
                <w:i w:val="0"/>
                <w:color w:val="5A5A5A"/>
                <w:sz w:val="18"/>
              </w:rPr>
              <w:t>#familyhistory  #heritability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PNPLA3 I148M carriers</w:t>
            </w:r>
          </w:p>
        </w:tc>
        <w:tc>
          <w:tcPr>
            <w:tcW w:type="dxa" w:w="2160"/>
            <w:vAlign w:val="top"/>
          </w:tcPr>
          <w:p>
            <w:pPr>
              <w:spacing w:after="40" w:before="0" w:line="259" w:lineRule="auto"/>
            </w:pPr>
            <w:r>
              <w:rPr>
                <w:rFonts w:ascii="Calibri" w:hAnsi="Calibri"/>
                <w:b w:val="0"/>
                <w:i w:val="0"/>
                <w:color w:val="212121"/>
                <w:sz w:val="19"/>
              </w:rPr>
              <w:t>South Asians carrying the PNPLA3 rs738409 risk allele</w:t>
            </w:r>
          </w:p>
        </w:tc>
        <w:tc>
          <w:tcPr>
            <w:tcW w:type="dxa" w:w="4276"/>
            <w:vAlign w:val="top"/>
          </w:tcPr>
          <w:p>
            <w:pPr>
              <w:spacing w:after="60" w:line="259" w:lineRule="auto"/>
            </w:pPr>
            <w:r>
              <w:rPr>
                <w:rFonts w:ascii="Calibri" w:hAnsi="Calibri"/>
                <w:b w:val="0"/>
                <w:i w:val="0"/>
                <w:color w:val="212121"/>
                <w:sz w:val="19"/>
              </w:rPr>
              <w:t>The PNPLA3 I148M variant impairs hepatic lipid mobilisation and is the strongest common genetic risk factor for steatosis, steatohepatitis, fibrosis and HCC; it is frequent in South Asians and underlies much of India's lean fatty-liver burden.</w:t>
            </w:r>
          </w:p>
          <w:p>
            <w:pPr>
              <w:spacing w:after="40" w:before="60" w:line="259" w:lineRule="auto"/>
            </w:pPr>
            <w:r>
              <w:rPr>
                <w:rFonts w:ascii="Calibri" w:hAnsi="Calibri"/>
                <w:b w:val="0"/>
                <w:i w:val="0"/>
                <w:color w:val="212121"/>
                <w:sz w:val="19"/>
              </w:rPr>
              <w:t>PNPLA3 I148M is the leading genetic determinant of MASLD/MASH and drives lean NAFLD, which is particularly common in Asian/Indian populations.</w:t>
            </w:r>
          </w:p>
          <w:p>
            <w:pPr>
              <w:spacing w:after="40" w:line="252" w:lineRule="auto"/>
            </w:pPr>
            <w:hyperlink r:id="rId11">
              <w:r>
                <w:rPr>
                  <w:rFonts w:ascii="Calibri" w:hAnsi="Calibri" w:cs="Calibri"/>
                  <w:sz w:val="18"/>
                  <w:color w:val="1155CC"/>
                  <w:u w:val="single"/>
                </w:rPr>
                <w:t xml:space="preserve">wikipedia.org — NAFLD (lean MASLD, genetics)</w:t>
              </w:r>
            </w:hyperlink>
          </w:p>
          <w:p>
            <w:pPr>
              <w:spacing w:before="60" w:after="40"/>
            </w:pPr>
            <w:r>
              <w:rPr>
                <w:rFonts w:ascii="Calibri" w:hAnsi="Calibri"/>
                <w:b w:val="0"/>
                <w:i w:val="0"/>
                <w:color w:val="5A5A5A"/>
                <w:sz w:val="18"/>
              </w:rPr>
              <w:t>#PNPLA3  #leanNAFLD  #genetics  #fibrosis  #HCC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Diabetes and MASH share insulin resistance and reinforce each other; diabetes greatly increases the prevalence of MASLD and accelerates progression to advanced fibrosis and hepatocellular carcinoma.</w:t>
            </w:r>
          </w:p>
          <w:p>
            <w:pPr>
              <w:spacing w:after="40" w:before="60" w:line="259" w:lineRule="auto"/>
            </w:pPr>
            <w:r>
              <w:rPr>
                <w:rFonts w:ascii="Calibri" w:hAnsi="Calibri"/>
                <w:b w:val="0"/>
                <w:i w:val="0"/>
                <w:color w:val="212121"/>
                <w:sz w:val="19"/>
              </w:rPr>
              <w:t>Around two-thirds of people with type 2 diabetes have NAFLD, and Indian series in newly diagnosed diabetics confirm a very high burden.</w:t>
            </w:r>
          </w:p>
          <w:p>
            <w:pPr>
              <w:spacing w:after="40" w:line="252" w:lineRule="auto"/>
            </w:pPr>
            <w:hyperlink r:id="rId16">
              <w:r>
                <w:rPr>
                  <w:rFonts w:ascii="Calibri" w:hAnsi="Calibri" w:cs="Calibri"/>
                  <w:sz w:val="18"/>
                  <w:color w:val="1155CC"/>
                  <w:u w:val="single"/>
                </w:rPr>
                <w:t xml:space="preserve">pubmed.ncbi.nlm.nih.gov/37491159 — NAFLD in T2DM (global meta-analysis)</w:t>
              </w:r>
            </w:hyperlink>
          </w:p>
          <w:p>
            <w:pPr>
              <w:spacing w:before="60" w:after="40"/>
            </w:pPr>
            <w:r>
              <w:rPr>
                <w:rFonts w:ascii="Calibri" w:hAnsi="Calibri"/>
                <w:b w:val="0"/>
                <w:i w:val="0"/>
                <w:color w:val="5A5A5A"/>
                <w:sz w:val="18"/>
              </w:rPr>
              <w:t>#type2diabetes  #insulinresistance  #fibrosis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Newly diagnosed diabetes (India)</w:t>
            </w:r>
          </w:p>
        </w:tc>
        <w:tc>
          <w:tcPr>
            <w:tcW w:type="dxa" w:w="2160"/>
            <w:vAlign w:val="top"/>
          </w:tcPr>
          <w:p>
            <w:pPr>
              <w:spacing w:after="40" w:before="0" w:line="259" w:lineRule="auto"/>
            </w:pPr>
            <w:r>
              <w:rPr>
                <w:rFonts w:ascii="Calibri" w:hAnsi="Calibri"/>
                <w:b w:val="0"/>
                <w:i w:val="0"/>
                <w:color w:val="212121"/>
                <w:sz w:val="19"/>
              </w:rPr>
              <w:t>Newly diagnosed T2DM patients in India</w:t>
            </w:r>
          </w:p>
        </w:tc>
        <w:tc>
          <w:tcPr>
            <w:tcW w:type="dxa" w:w="4276"/>
            <w:vAlign w:val="top"/>
          </w:tcPr>
          <w:p>
            <w:pPr>
              <w:spacing w:after="60" w:line="259" w:lineRule="auto"/>
            </w:pPr>
            <w:r>
              <w:rPr>
                <w:rFonts w:ascii="Calibri" w:hAnsi="Calibri"/>
                <w:b w:val="0"/>
                <w:i w:val="0"/>
                <w:color w:val="212121"/>
                <w:sz w:val="19"/>
              </w:rPr>
              <w:t>Fatty liver is frequently already present at the time diabetes is first diagnosed, representing a missed early opportunity to intervene before fibrosis develops.</w:t>
            </w:r>
          </w:p>
          <w:p>
            <w:pPr>
              <w:spacing w:after="40" w:before="60" w:line="259" w:lineRule="auto"/>
            </w:pPr>
            <w:r>
              <w:rPr>
                <w:rFonts w:ascii="Calibri" w:hAnsi="Calibri"/>
                <w:b w:val="0"/>
                <w:i w:val="0"/>
                <w:color w:val="212121"/>
                <w:sz w:val="19"/>
              </w:rPr>
              <w:t>An Indian (North Bihar) study documented a high prevalence of NAFLD among newly diagnosed type 2 diabetes patients, highlighting missed early-diagnosis opportunities.</w:t>
            </w:r>
          </w:p>
          <w:p>
            <w:pPr>
              <w:spacing w:after="40" w:line="252" w:lineRule="auto"/>
            </w:pPr>
            <w:hyperlink r:id="rId17">
              <w:r>
                <w:rPr>
                  <w:rFonts w:ascii="Calibri" w:hAnsi="Calibri" w:cs="Calibri"/>
                  <w:sz w:val="18"/>
                  <w:color w:val="1155CC"/>
                  <w:u w:val="single"/>
                </w:rPr>
                <w:t xml:space="preserve">pubmed.ncbi.nlm.nih.gov/39803023 — NAFLD in newly-diagnosed T2DM, North Bihar</w:t>
              </w:r>
            </w:hyperlink>
          </w:p>
          <w:p>
            <w:pPr>
              <w:spacing w:before="60" w:after="40"/>
            </w:pPr>
            <w:r>
              <w:rPr>
                <w:rFonts w:ascii="Calibri" w:hAnsi="Calibri"/>
                <w:b w:val="0"/>
                <w:i w:val="0"/>
                <w:color w:val="5A5A5A"/>
                <w:sz w:val="18"/>
              </w:rPr>
              <w:t>#India  #newdiabetes  #earlydiagnosis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overweight</w:t>
            </w:r>
          </w:p>
        </w:tc>
        <w:tc>
          <w:tcPr>
            <w:tcW w:type="dxa" w:w="2160"/>
            <w:vAlign w:val="top"/>
          </w:tcPr>
          <w:p>
            <w:pPr>
              <w:spacing w:after="40" w:before="0" w:line="259" w:lineRule="auto"/>
            </w:pPr>
            <w:r>
              <w:rPr>
                <w:rFonts w:ascii="Calibri" w:hAnsi="Calibri"/>
                <w:b w:val="0"/>
                <w:i w:val="0"/>
                <w:color w:val="212121"/>
                <w:sz w:val="19"/>
              </w:rPr>
              <w:t>Overweight and obese adults</w:t>
            </w:r>
          </w:p>
        </w:tc>
        <w:tc>
          <w:tcPr>
            <w:tcW w:type="dxa" w:w="4276"/>
            <w:vAlign w:val="top"/>
          </w:tcPr>
          <w:p>
            <w:pPr>
              <w:spacing w:after="60" w:line="259" w:lineRule="auto"/>
            </w:pPr>
            <w:r>
              <w:rPr>
                <w:rFonts w:ascii="Calibri" w:hAnsi="Calibri"/>
                <w:b w:val="0"/>
                <w:i w:val="0"/>
                <w:color w:val="212121"/>
                <w:sz w:val="19"/>
              </w:rPr>
              <w:t>Excess adiposity is the dominant modifiable driver: it supplies the free fatty acids and inflammatory signals that turn bland steatosis into steatohepatitis and fibrosis.</w:t>
            </w:r>
          </w:p>
          <w:p>
            <w:pPr>
              <w:spacing w:after="40" w:before="60" w:line="259" w:lineRule="auto"/>
            </w:pPr>
            <w:r>
              <w:rPr>
                <w:rFonts w:ascii="Calibri" w:hAnsi="Calibri"/>
                <w:b w:val="0"/>
                <w:i w:val="0"/>
                <w:color w:val="212121"/>
                <w:sz w:val="19"/>
              </w:rPr>
              <w:t>NAFLD affects up to about 75–80% of people with obesity, and roughly a third of obese individuals with fatty liver have steatohepatitis (MASH).</w:t>
            </w:r>
          </w:p>
          <w:p>
            <w:pPr>
              <w:spacing w:after="40" w:line="252" w:lineRule="auto"/>
            </w:pPr>
            <w:hyperlink r:id="rId18">
              <w:r>
                <w:rPr>
                  <w:rFonts w:ascii="Calibri" w:hAnsi="Calibri" w:cs="Calibri"/>
                  <w:sz w:val="18"/>
                  <w:color w:val="1155CC"/>
                  <w:u w:val="single"/>
                </w:rPr>
                <w:t xml:space="preserve">pubmed.ncbi.nlm.nih.gov/36400097 — NAFLD/NASH in overweight &amp; obese (meta-analysis)</w:t>
              </w:r>
            </w:hyperlink>
          </w:p>
          <w:p>
            <w:pPr>
              <w:spacing w:before="60" w:after="40"/>
            </w:pPr>
            <w:r>
              <w:rPr>
                <w:rFonts w:ascii="Calibri" w:hAnsi="Calibri"/>
                <w:b w:val="0"/>
                <w:i w:val="0"/>
                <w:color w:val="5A5A5A"/>
                <w:sz w:val="18"/>
              </w:rPr>
              <w:t>#obesity  #centraladiposity  #lipotoxicity  #MASH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 / dyslipidaemia</w:t>
            </w:r>
          </w:p>
        </w:tc>
        <w:tc>
          <w:tcPr>
            <w:tcW w:type="dxa" w:w="2160"/>
            <w:vAlign w:val="top"/>
          </w:tcPr>
          <w:p>
            <w:pPr>
              <w:spacing w:after="40" w:before="0" w:line="259" w:lineRule="auto"/>
            </w:pPr>
            <w:r>
              <w:rPr>
                <w:rFonts w:ascii="Calibri" w:hAnsi="Calibri"/>
                <w:b w:val="0"/>
                <w:i w:val="0"/>
                <w:color w:val="212121"/>
                <w:sz w:val="19"/>
              </w:rPr>
              <w:t>Adults with metabolic syndrome</w:t>
            </w:r>
          </w:p>
        </w:tc>
        <w:tc>
          <w:tcPr>
            <w:tcW w:type="dxa" w:w="4276"/>
            <w:vAlign w:val="top"/>
          </w:tcPr>
          <w:p>
            <w:pPr>
              <w:spacing w:after="60" w:line="259" w:lineRule="auto"/>
            </w:pPr>
            <w:r>
              <w:rPr>
                <w:rFonts w:ascii="Calibri" w:hAnsi="Calibri"/>
                <w:b w:val="0"/>
                <w:i w:val="0"/>
                <w:color w:val="212121"/>
                <w:sz w:val="19"/>
              </w:rPr>
              <w:t>The clustering of central obesity, dysglycaemia, hypertension and atherogenic dyslipidaemia is essentially the metabolic soil of MASH; the more components present, the higher the risk of steatohepatitis and fibrosis.</w:t>
            </w:r>
          </w:p>
          <w:p>
            <w:pPr>
              <w:spacing w:after="40" w:before="60" w:line="259" w:lineRule="auto"/>
            </w:pPr>
            <w:r>
              <w:rPr>
                <w:rFonts w:ascii="Calibri" w:hAnsi="Calibri"/>
                <w:b w:val="0"/>
                <w:i w:val="0"/>
                <w:color w:val="212121"/>
                <w:sz w:val="19"/>
              </w:rPr>
              <w:t>Metabolic syndrome and its components (high triglycerides, low HDL) are strongly and consistently associated with MASLD and progression to MASH.</w:t>
            </w:r>
          </w:p>
          <w:p>
            <w:pPr>
              <w:spacing w:after="40" w:line="252" w:lineRule="auto"/>
            </w:pPr>
            <w:hyperlink r:id="rId19">
              <w:r>
                <w:rPr>
                  <w:rFonts w:ascii="Calibri" w:hAnsi="Calibri" w:cs="Calibri"/>
                  <w:sz w:val="18"/>
                  <w:color w:val="1155CC"/>
                  <w:u w:val="single"/>
                </w:rPr>
                <w:t xml:space="preserve">niddk.nih.gov — NAFLD &amp; NASH definition &amp; facts</w:t>
              </w:r>
            </w:hyperlink>
          </w:p>
          <w:p>
            <w:pPr>
              <w:spacing w:before="60" w:after="40"/>
            </w:pPr>
            <w:r>
              <w:rPr>
                <w:rFonts w:ascii="Calibri" w:hAnsi="Calibri"/>
                <w:b w:val="0"/>
                <w:i w:val="0"/>
                <w:color w:val="5A5A5A"/>
                <w:sz w:val="18"/>
              </w:rPr>
              <w:t>#metabolicsyndrome  #dyslipidaemia  #hypertension  #dysglycaemia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PCOS</w:t>
            </w:r>
          </w:p>
        </w:tc>
        <w:tc>
          <w:tcPr>
            <w:tcW w:type="dxa" w:w="2160"/>
            <w:vAlign w:val="top"/>
          </w:tcPr>
          <w:p>
            <w:pPr>
              <w:spacing w:after="40" w:before="0" w:line="259" w:lineRule="auto"/>
            </w:pPr>
            <w:r>
              <w:rPr>
                <w:rFonts w:ascii="Calibri" w:hAnsi="Calibri"/>
                <w:b w:val="0"/>
                <w:i w:val="0"/>
                <w:color w:val="212121"/>
                <w:sz w:val="19"/>
              </w:rPr>
              <w:t>Women with polycystic ovary syndrome</w:t>
            </w:r>
          </w:p>
        </w:tc>
        <w:tc>
          <w:tcPr>
            <w:tcW w:type="dxa" w:w="4276"/>
            <w:vAlign w:val="top"/>
          </w:tcPr>
          <w:p>
            <w:pPr>
              <w:spacing w:after="60" w:line="259" w:lineRule="auto"/>
            </w:pPr>
            <w:r>
              <w:rPr>
                <w:rFonts w:ascii="Calibri" w:hAnsi="Calibri"/>
                <w:b w:val="0"/>
                <w:i w:val="0"/>
                <w:color w:val="212121"/>
                <w:sz w:val="19"/>
              </w:rPr>
              <w:t>PCOS is characterised by insulin resistance and hyperandrogenism, which independently raise the prevalence of fatty liver and MASH in relatively young women.</w:t>
            </w:r>
          </w:p>
          <w:p>
            <w:pPr>
              <w:spacing w:after="40" w:before="60" w:line="259" w:lineRule="auto"/>
            </w:pPr>
            <w:r>
              <w:rPr>
                <w:rFonts w:ascii="Calibri" w:hAnsi="Calibri"/>
                <w:b w:val="0"/>
                <w:i w:val="0"/>
                <w:color w:val="212121"/>
                <w:sz w:val="19"/>
              </w:rPr>
              <w:t>Women with PCOS have a substantially higher prevalence of NAFLD/MASH than age-matched controls, driven by shared insulin resistance.</w:t>
            </w:r>
          </w:p>
          <w:p>
            <w:pPr>
              <w:spacing w:before="60" w:after="40"/>
            </w:pPr>
            <w:r>
              <w:rPr>
                <w:rFonts w:ascii="Calibri" w:hAnsi="Calibri"/>
                <w:b w:val="0"/>
                <w:i w:val="0"/>
                <w:color w:val="5A5A5A"/>
                <w:sz w:val="18"/>
              </w:rPr>
              <w:t>#PCOS  #insulinresistance  #hyperandrogenism  #womenshealth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strongly promotes hepatic fat storage, while regular aerobic and resistance exercise reduces intrahepatic triglyceride and improves steatohepatitis even without significant weight loss. Combined diet and exercise producing 7–10% weight loss can resolve MASH and regress fibrosis.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Hypercaloric, high-fructose, high-saturated-fat and ultra-processed diets drive steatosis and its progression to MASH, whereas Mediterranean-style and low-glycaemic dietary patterns reduce liver fat and inflammation.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duration, poor sleep quality and obstructive sleep apnoea are associated with MASLD and more severe MASH through insulin resistance and, in OSA, chronic intermittent hypoxia.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Active (and probably passive) smoking is associated with worse insulin resistance and more advanced hepatic fibrosis, and it amplifies the cardiovascular risk that dominates outcomes in MASH.</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Even moderate alcohol superimposed on metabolic dysfunction (MetALD) accelerates fibrosis and raises cirrhosis and hepatocellular carcinoma risk; abstinence is advised once significant fibrosis is present.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chronic stress are associated with MASLD through shared inflammatory pathways and adverse effects on diet, activity and treatment adherence; the diagnosis itself also carries psychological burden.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importantly, replacing sugar-sweetened beverages with water can lower hepatic fat, but water intake itself has weak direct evidence in MASH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coffee consumption (about 2–3 cups/day) is consistently associated with lower liver fat, less fibrosis and reduced progression in fatty liver disease, an effect attributed to caffeine and other coffee compounds.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General and oral/periodontal hygiene have only an indirect role via systemic and gut-derived inflammation; periodontal disease and gut dysbiosis are modestly linked to MASLD severity.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Certain steatogenic drugs (amiodarone, methotrexate, tamoxifen, long-term corticosteroids) and very rapid weight loss or starvation can precipitate or worsen steatohepatitis and should be reviewed.</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≥23 (overweight); ≥25 (obese)</w:t>
            </w:r>
          </w:p>
        </w:tc>
        <w:tc>
          <w:tcPr>
            <w:tcW w:type="dxa" w:w="1468"/>
            <w:vAlign w:val="top"/>
          </w:tcPr>
          <w:p>
            <w:pPr>
              <w:spacing w:after="60" w:line="259" w:lineRule="auto"/>
            </w:pPr>
            <w:r>
              <w:rPr>
                <w:rFonts w:ascii="Calibri" w:hAnsi="Calibri"/>
                <w:b w:val="0"/>
                <w:i w:val="0"/>
                <w:color w:val="212121"/>
                <w:sz w:val="19"/>
              </w:rPr>
              <w:t>Excess weight drives hepatic fat; a 7–10% BMI reduction can resolve MASH and regress fibrosis.</w:t>
            </w:r>
          </w:p>
          <w:p>
            <w:pPr>
              <w:spacing w:after="40" w:line="252" w:lineRule="auto"/>
            </w:pPr>
            <w:hyperlink r:id="rId13">
              <w:r>
                <w:rPr>
                  <w:rFonts w:ascii="Calibri" w:hAnsi="Calibri" w:cs="Calibri"/>
                  <w:sz w:val="18"/>
                  <w:color w:val="1155CC"/>
                  <w:u w:val="single"/>
                </w:rPr>
                <w:t xml:space="preserve">https://doi.org/10.1002/hep.29367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(South Asian)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&lt;90 cm; F &lt;80 cm</w:t>
            </w:r>
          </w:p>
        </w:tc>
        <w:tc>
          <w:tcPr>
            <w:tcW w:type="dxa" w:w="1512"/>
            <w:vAlign w:val="top"/>
          </w:tcPr>
          <w:p>
            <w:pPr>
              <w:spacing w:after="40" w:before="0" w:line="259" w:lineRule="auto"/>
            </w:pPr>
            <w:r>
              <w:rPr>
                <w:rFonts w:ascii="Calibri" w:hAnsi="Calibri"/>
                <w:b w:val="0"/>
                <w:i w:val="0"/>
                <w:color w:val="212121"/>
                <w:sz w:val="19"/>
              </w:rPr>
              <w:t>M ≥90 cm; F ≥80 cm</w:t>
            </w:r>
          </w:p>
        </w:tc>
        <w:tc>
          <w:tcPr>
            <w:tcW w:type="dxa" w:w="1468"/>
            <w:vAlign w:val="top"/>
          </w:tcPr>
          <w:p>
            <w:pPr>
              <w:spacing w:after="40" w:before="0" w:line="259" w:lineRule="auto"/>
            </w:pPr>
            <w:r>
              <w:rPr>
                <w:rFonts w:ascii="Calibri" w:hAnsi="Calibri"/>
                <w:b w:val="0"/>
                <w:i w:val="0"/>
                <w:color w:val="212121"/>
                <w:sz w:val="19"/>
              </w:rPr>
              <w:t>Central adiposity, a cardiometabolic criterion for MASLD, correlates with liver fat and MASH.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Moderate-to-vigorous activity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≥150–300 min/week</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60" w:line="259" w:lineRule="auto"/>
            </w:pPr>
            <w:r>
              <w:rPr>
                <w:rFonts w:ascii="Calibri" w:hAnsi="Calibri"/>
                <w:b w:val="0"/>
                <w:i w:val="0"/>
                <w:color w:val="212121"/>
                <w:sz w:val="19"/>
              </w:rPr>
              <w:t>Exercise lowers intrahepatic fat even without weight loss.</w:t>
            </w:r>
          </w:p>
          <w:p>
            <w:pPr>
              <w:spacing w:after="40" w:line="252" w:lineRule="auto"/>
            </w:pPr>
            <w:hyperlink r:id="rId19">
              <w:r>
                <w:rPr>
                  <w:rFonts w:ascii="Calibri" w:hAnsi="Calibri" w:cs="Calibri"/>
                  <w:sz w:val="18"/>
                  <w:color w:val="1155CC"/>
                  <w:u w:val="single"/>
                </w:rPr>
                <w:t xml:space="preserve">https://www.niddk.nih.gov/health-information/liver-disease/nafld-nash/definition-facts</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Sugar-sweetened beverage intake</w:t>
            </w:r>
          </w:p>
        </w:tc>
        <w:tc>
          <w:tcPr>
            <w:tcW w:type="dxa" w:w="1655"/>
            <w:vAlign w:val="top"/>
          </w:tcPr>
          <w:p>
            <w:pPr>
              <w:spacing w:after="40" w:before="0" w:line="259" w:lineRule="auto"/>
            </w:pPr>
            <w:r>
              <w:rPr>
                <w:rFonts w:ascii="Calibri" w:hAnsi="Calibri"/>
                <w:b w:val="0"/>
                <w:i w:val="0"/>
                <w:color w:val="212121"/>
                <w:sz w:val="19"/>
              </w:rPr>
              <w:t>Adults, adolescents</w:t>
            </w:r>
          </w:p>
        </w:tc>
        <w:tc>
          <w:tcPr>
            <w:tcW w:type="dxa" w:w="1512"/>
            <w:vAlign w:val="top"/>
          </w:tcPr>
          <w:p>
            <w:pPr>
              <w:spacing w:after="40" w:before="0" w:line="259" w:lineRule="auto"/>
            </w:pPr>
            <w:r>
              <w:rPr>
                <w:rFonts w:ascii="Calibri" w:hAnsi="Calibri"/>
                <w:b w:val="0"/>
                <w:i w:val="0"/>
                <w:color w:val="212121"/>
                <w:sz w:val="19"/>
              </w:rPr>
              <w:t>Minimal / none</w:t>
            </w:r>
          </w:p>
        </w:tc>
        <w:tc>
          <w:tcPr>
            <w:tcW w:type="dxa" w:w="1512"/>
            <w:vAlign w:val="top"/>
          </w:tcPr>
          <w:p>
            <w:pPr>
              <w:spacing w:after="40" w:before="0" w:line="259" w:lineRule="auto"/>
            </w:pPr>
            <w:r>
              <w:rPr>
                <w:rFonts w:ascii="Calibri" w:hAnsi="Calibri"/>
                <w:b w:val="0"/>
                <w:i w:val="0"/>
                <w:color w:val="212121"/>
                <w:sz w:val="19"/>
              </w:rPr>
              <w:t>Daily SSB or fruit-juice intake</w:t>
            </w:r>
          </w:p>
        </w:tc>
        <w:tc>
          <w:tcPr>
            <w:tcW w:type="dxa" w:w="1468"/>
            <w:vAlign w:val="top"/>
          </w:tcPr>
          <w:p>
            <w:pPr>
              <w:spacing w:after="40" w:before="0" w:line="259" w:lineRule="auto"/>
            </w:pPr>
            <w:r>
              <w:rPr>
                <w:rFonts w:ascii="Calibri" w:hAnsi="Calibri"/>
                <w:b w:val="0"/>
                <w:i w:val="0"/>
                <w:color w:val="212121"/>
                <w:sz w:val="19"/>
              </w:rPr>
              <w:t>Fructose promotes hepatic de novo lipogenesis.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OSA</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h/night, no OSA</w:t>
            </w:r>
          </w:p>
        </w:tc>
        <w:tc>
          <w:tcPr>
            <w:tcW w:type="dxa" w:w="1512"/>
            <w:vAlign w:val="top"/>
          </w:tcPr>
          <w:p>
            <w:pPr>
              <w:spacing w:after="40" w:before="0" w:line="259" w:lineRule="auto"/>
            </w:pPr>
            <w:r>
              <w:rPr>
                <w:rFonts w:ascii="Calibri" w:hAnsi="Calibri"/>
                <w:b w:val="0"/>
                <w:i w:val="0"/>
                <w:color w:val="212121"/>
                <w:sz w:val="19"/>
              </w:rPr>
              <w:t>&lt;6 h/night or untreated OSA</w:t>
            </w:r>
          </w:p>
        </w:tc>
        <w:tc>
          <w:tcPr>
            <w:tcW w:type="dxa" w:w="1468"/>
            <w:vAlign w:val="top"/>
          </w:tcPr>
          <w:p>
            <w:pPr>
              <w:spacing w:after="40" w:before="0" w:line="259" w:lineRule="auto"/>
            </w:pPr>
            <w:r>
              <w:rPr>
                <w:rFonts w:ascii="Calibri" w:hAnsi="Calibri"/>
                <w:b w:val="0"/>
                <w:i w:val="0"/>
                <w:color w:val="212121"/>
                <w:sz w:val="19"/>
              </w:rPr>
              <w:t>Short sleep and intermittent hypoxia worsen insulin resistance and MASH.</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(defines MASLD vs MetALD)</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&lt;20 g/day (F); &lt;30 g/day (M)</w:t>
            </w:r>
          </w:p>
        </w:tc>
        <w:tc>
          <w:tcPr>
            <w:tcW w:type="dxa" w:w="1512"/>
            <w:vAlign w:val="top"/>
          </w:tcPr>
          <w:p>
            <w:pPr>
              <w:spacing w:after="40" w:before="0" w:line="259" w:lineRule="auto"/>
            </w:pPr>
            <w:r>
              <w:rPr>
                <w:rFonts w:ascii="Calibri" w:hAnsi="Calibri"/>
                <w:b w:val="0"/>
                <w:i w:val="0"/>
                <w:color w:val="212121"/>
                <w:sz w:val="19"/>
              </w:rPr>
              <w:t>20–50 g/day (F) or 30–60 g/day (M) = MetALD; higher = ALD</w:t>
            </w:r>
          </w:p>
        </w:tc>
        <w:tc>
          <w:tcPr>
            <w:tcW w:type="dxa" w:w="1468"/>
            <w:vAlign w:val="top"/>
          </w:tcPr>
          <w:p>
            <w:pPr>
              <w:spacing w:after="60" w:line="259" w:lineRule="auto"/>
            </w:pPr>
            <w:r>
              <w:rPr>
                <w:rFonts w:ascii="Calibri" w:hAnsi="Calibri"/>
                <w:b w:val="0"/>
                <w:i w:val="0"/>
                <w:color w:val="212121"/>
                <w:sz w:val="19"/>
              </w:rPr>
              <w:t>Alcohol synergises with metabolic dysfunction to accelerate fibrosis.</w:t>
            </w:r>
          </w:p>
          <w:p>
            <w:pPr>
              <w:spacing w:after="40" w:line="252" w:lineRule="auto"/>
            </w:pPr>
            <w:hyperlink r:id="rId14">
              <w:r>
                <w:rPr>
                  <w:rFonts w:ascii="Calibri" w:hAnsi="Calibri" w:cs="Calibri"/>
                  <w:sz w:val="18"/>
                  <w:color w:val="1155CC"/>
                  <w:u w:val="single"/>
                </w:rPr>
                <w:t xml:space="preserve">https://doi.org/10.1097/HEP.0000000000000520</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 consumption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~2–3 cups/day (unsweetened)</w:t>
            </w:r>
          </w:p>
        </w:tc>
        <w:tc>
          <w:tcPr>
            <w:tcW w:type="dxa" w:w="1512"/>
            <w:vAlign w:val="top"/>
          </w:tcPr>
          <w:p>
            <w:pPr>
              <w:spacing w:after="40" w:before="0" w:line="259" w:lineRule="auto"/>
            </w:pPr>
            <w:r>
              <w:rPr>
                <w:rFonts w:ascii="Calibri" w:hAnsi="Calibri"/>
                <w:b w:val="0"/>
                <w:i w:val="0"/>
                <w:color w:val="212121"/>
                <w:sz w:val="19"/>
              </w:rPr>
              <w:t>None (higher intake tends to be protective)</w:t>
            </w:r>
          </w:p>
        </w:tc>
        <w:tc>
          <w:tcPr>
            <w:tcW w:type="dxa" w:w="1468"/>
            <w:vAlign w:val="top"/>
          </w:tcPr>
          <w:p>
            <w:pPr>
              <w:spacing w:after="40" w:before="0" w:line="259" w:lineRule="auto"/>
            </w:pPr>
            <w:r>
              <w:rPr>
                <w:rFonts w:ascii="Calibri" w:hAnsi="Calibri"/>
                <w:b w:val="0"/>
                <w:i w:val="0"/>
                <w:color w:val="212121"/>
                <w:sz w:val="19"/>
              </w:rPr>
              <w:t>Regular coffee is associated with less fibrosis and slower progression.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Alanine aminotransferase (ALT)</w:t>
            </w:r>
          </w:p>
        </w:tc>
        <w:tc>
          <w:tcPr>
            <w:tcW w:type="dxa" w:w="1655"/>
            <w:vAlign w:val="top"/>
          </w:tcPr>
          <w:p>
            <w:pPr>
              <w:spacing w:after="40" w:before="0" w:line="259" w:lineRule="auto"/>
            </w:pPr>
            <w:r>
              <w:rPr>
                <w:rFonts w:ascii="Calibri" w:hAnsi="Calibri"/>
                <w:b w:val="0"/>
                <w:i w:val="0"/>
                <w:color w:val="212121"/>
                <w:sz w:val="19"/>
              </w:rPr>
              <w:t>Adults with metabolic risk</w:t>
            </w:r>
          </w:p>
        </w:tc>
        <w:tc>
          <w:tcPr>
            <w:tcW w:type="dxa" w:w="1512"/>
            <w:vAlign w:val="top"/>
          </w:tcPr>
          <w:p>
            <w:pPr>
              <w:spacing w:after="40" w:before="0" w:line="259" w:lineRule="auto"/>
            </w:pPr>
            <w:r>
              <w:rPr>
                <w:rFonts w:ascii="Calibri" w:hAnsi="Calibri"/>
                <w:b w:val="0"/>
                <w:i w:val="0"/>
                <w:color w:val="212121"/>
                <w:sz w:val="19"/>
              </w:rPr>
              <w:t>M &lt;30 U/L; F &lt;19–25 U/L</w:t>
            </w:r>
          </w:p>
        </w:tc>
        <w:tc>
          <w:tcPr>
            <w:tcW w:type="dxa" w:w="1512"/>
            <w:vAlign w:val="top"/>
          </w:tcPr>
          <w:p>
            <w:pPr>
              <w:spacing w:after="40" w:before="0" w:line="259" w:lineRule="auto"/>
            </w:pPr>
            <w:r>
              <w:rPr>
                <w:rFonts w:ascii="Calibri" w:hAnsi="Calibri"/>
                <w:b w:val="0"/>
                <w:i w:val="0"/>
                <w:color w:val="212121"/>
                <w:sz w:val="19"/>
              </w:rPr>
              <w:t>Persistently raised ALT</w:t>
            </w:r>
          </w:p>
        </w:tc>
        <w:tc>
          <w:tcPr>
            <w:tcW w:type="dxa" w:w="1468"/>
            <w:vAlign w:val="top"/>
          </w:tcPr>
          <w:p>
            <w:pPr>
              <w:spacing w:after="40" w:before="0" w:line="259" w:lineRule="auto"/>
            </w:pPr>
            <w:r>
              <w:rPr>
                <w:rFonts w:ascii="Calibri" w:hAnsi="Calibri"/>
                <w:b w:val="0"/>
                <w:i w:val="0"/>
                <w:color w:val="212121"/>
                <w:sz w:val="19"/>
              </w:rPr>
              <w:t>Suggests hepatocyte injury, but ALT can be normal despite active MASH and fibrosis.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triglycerides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&lt;150 mg/dL</w:t>
            </w:r>
          </w:p>
        </w:tc>
        <w:tc>
          <w:tcPr>
            <w:tcW w:type="dxa" w:w="1512"/>
            <w:vAlign w:val="top"/>
          </w:tcPr>
          <w:p>
            <w:pPr>
              <w:spacing w:after="40" w:before="0" w:line="259" w:lineRule="auto"/>
            </w:pPr>
            <w:r>
              <w:rPr>
                <w:rFonts w:ascii="Calibri" w:hAnsi="Calibri"/>
                <w:b w:val="0"/>
                <w:i w:val="0"/>
                <w:color w:val="212121"/>
                <w:sz w:val="19"/>
              </w:rPr>
              <w:t>≥150 mg/dL</w:t>
            </w:r>
          </w:p>
        </w:tc>
        <w:tc>
          <w:tcPr>
            <w:tcW w:type="dxa" w:w="1468"/>
            <w:vAlign w:val="top"/>
          </w:tcPr>
          <w:p>
            <w:pPr>
              <w:spacing w:after="40" w:before="0" w:line="259" w:lineRule="auto"/>
            </w:pPr>
            <w:r>
              <w:rPr>
                <w:rFonts w:ascii="Calibri" w:hAnsi="Calibri"/>
                <w:b w:val="0"/>
                <w:i w:val="0"/>
                <w:color w:val="212121"/>
                <w:sz w:val="19"/>
              </w:rPr>
              <w:t>Atherogenic dyslipidaemia is a cardiometabolic criterion and marker of hepatic lipid overload.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HDL cholesterol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&gt;40 mg/dL; F &gt;50 mg/dL</w:t>
            </w:r>
          </w:p>
        </w:tc>
        <w:tc>
          <w:tcPr>
            <w:tcW w:type="dxa" w:w="1512"/>
            <w:vAlign w:val="top"/>
          </w:tcPr>
          <w:p>
            <w:pPr>
              <w:spacing w:after="40" w:before="0" w:line="259" w:lineRule="auto"/>
            </w:pPr>
            <w:r>
              <w:rPr>
                <w:rFonts w:ascii="Calibri" w:hAnsi="Calibri"/>
                <w:b w:val="0"/>
                <w:i w:val="0"/>
                <w:color w:val="212121"/>
                <w:sz w:val="19"/>
              </w:rPr>
              <w:t>M ≤40; F ≤50 mg/dL</w:t>
            </w:r>
          </w:p>
        </w:tc>
        <w:tc>
          <w:tcPr>
            <w:tcW w:type="dxa" w:w="1468"/>
            <w:vAlign w:val="top"/>
          </w:tcPr>
          <w:p>
            <w:pPr>
              <w:spacing w:after="40" w:before="0" w:line="259" w:lineRule="auto"/>
            </w:pPr>
            <w:r>
              <w:rPr>
                <w:rFonts w:ascii="Calibri" w:hAnsi="Calibri"/>
                <w:b w:val="0"/>
                <w:i w:val="0"/>
                <w:color w:val="212121"/>
                <w:sz w:val="19"/>
              </w:rPr>
              <w:t>Low HDL is part of the metabolic cluster underlying MASH.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 glycaemic status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&lt;5.7%</w:t>
            </w:r>
          </w:p>
        </w:tc>
        <w:tc>
          <w:tcPr>
            <w:tcW w:type="dxa" w:w="1512"/>
            <w:vAlign w:val="top"/>
          </w:tcPr>
          <w:p>
            <w:pPr>
              <w:spacing w:after="40" w:before="0" w:line="259" w:lineRule="auto"/>
            </w:pPr>
            <w:r>
              <w:rPr>
                <w:rFonts w:ascii="Calibri" w:hAnsi="Calibri"/>
                <w:b w:val="0"/>
                <w:i w:val="0"/>
                <w:color w:val="212121"/>
                <w:sz w:val="19"/>
              </w:rPr>
              <w:t>5.7–6.4% (prediabetes); ≥6.5% (diabetes)</w:t>
            </w:r>
          </w:p>
        </w:tc>
        <w:tc>
          <w:tcPr>
            <w:tcW w:type="dxa" w:w="1468"/>
            <w:vAlign w:val="top"/>
          </w:tcPr>
          <w:p>
            <w:pPr>
              <w:spacing w:after="40" w:before="0" w:line="259" w:lineRule="auto"/>
            </w:pPr>
            <w:r>
              <w:rPr>
                <w:rFonts w:ascii="Calibri" w:hAnsi="Calibri"/>
                <w:b w:val="0"/>
                <w:i w:val="0"/>
                <w:color w:val="212121"/>
                <w:sz w:val="19"/>
              </w:rPr>
              <w:t>Dysglycaemia is a key driver of MASH progression and HCC risk.</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FIB-4 index (fibrosis risk)</w:t>
            </w:r>
          </w:p>
        </w:tc>
        <w:tc>
          <w:tcPr>
            <w:tcW w:type="dxa" w:w="1655"/>
            <w:vAlign w:val="top"/>
          </w:tcPr>
          <w:p>
            <w:pPr>
              <w:spacing w:after="40" w:before="0" w:line="259" w:lineRule="auto"/>
            </w:pPr>
            <w:r>
              <w:rPr>
                <w:rFonts w:ascii="Calibri" w:hAnsi="Calibri"/>
                <w:b w:val="0"/>
                <w:i w:val="0"/>
                <w:color w:val="212121"/>
                <w:sz w:val="19"/>
              </w:rPr>
              <w:t>Adults with MASLD</w:t>
            </w:r>
          </w:p>
        </w:tc>
        <w:tc>
          <w:tcPr>
            <w:tcW w:type="dxa" w:w="1512"/>
            <w:vAlign w:val="top"/>
          </w:tcPr>
          <w:p>
            <w:pPr>
              <w:spacing w:after="40" w:before="0" w:line="259" w:lineRule="auto"/>
            </w:pPr>
            <w:r>
              <w:rPr>
                <w:rFonts w:ascii="Calibri" w:hAnsi="Calibri"/>
                <w:b w:val="0"/>
                <w:i w:val="0"/>
                <w:color w:val="212121"/>
                <w:sz w:val="19"/>
              </w:rPr>
              <w:t>&lt;1.3</w:t>
            </w:r>
          </w:p>
        </w:tc>
        <w:tc>
          <w:tcPr>
            <w:tcW w:type="dxa" w:w="1512"/>
            <w:vAlign w:val="top"/>
          </w:tcPr>
          <w:p>
            <w:pPr>
              <w:spacing w:after="40" w:before="0" w:line="259" w:lineRule="auto"/>
            </w:pPr>
            <w:r>
              <w:rPr>
                <w:rFonts w:ascii="Calibri" w:hAnsi="Calibri"/>
                <w:b w:val="0"/>
                <w:i w:val="0"/>
                <w:color w:val="212121"/>
                <w:sz w:val="19"/>
              </w:rPr>
              <w:t>&gt;1.3 (indeterminate); &gt;2.67 (high risk)</w:t>
            </w:r>
          </w:p>
        </w:tc>
        <w:tc>
          <w:tcPr>
            <w:tcW w:type="dxa" w:w="1468"/>
            <w:vAlign w:val="top"/>
          </w:tcPr>
          <w:p>
            <w:pPr>
              <w:spacing w:after="40" w:before="0" w:line="259" w:lineRule="auto"/>
            </w:pPr>
            <w:r>
              <w:rPr>
                <w:rFonts w:ascii="Calibri" w:hAnsi="Calibri"/>
                <w:b w:val="0"/>
                <w:i w:val="0"/>
                <w:color w:val="212121"/>
                <w:sz w:val="19"/>
              </w:rPr>
              <w:t>First-line non-invasive filter to rule out advanced fibrosis (use 2.0 cut-off if &gt;65 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Liver stiffness (VCTE / FibroScan)</w:t>
            </w:r>
          </w:p>
        </w:tc>
        <w:tc>
          <w:tcPr>
            <w:tcW w:type="dxa" w:w="1655"/>
            <w:vAlign w:val="top"/>
          </w:tcPr>
          <w:p>
            <w:pPr>
              <w:spacing w:after="40" w:before="0" w:line="259" w:lineRule="auto"/>
            </w:pPr>
            <w:r>
              <w:rPr>
                <w:rFonts w:ascii="Calibri" w:hAnsi="Calibri"/>
                <w:b w:val="0"/>
                <w:i w:val="0"/>
                <w:color w:val="212121"/>
                <w:sz w:val="19"/>
              </w:rPr>
              <w:t>Adults with MASLD</w:t>
            </w:r>
          </w:p>
        </w:tc>
        <w:tc>
          <w:tcPr>
            <w:tcW w:type="dxa" w:w="1512"/>
            <w:vAlign w:val="top"/>
          </w:tcPr>
          <w:p>
            <w:pPr>
              <w:spacing w:after="40" w:before="0" w:line="259" w:lineRule="auto"/>
            </w:pPr>
            <w:r>
              <w:rPr>
                <w:rFonts w:ascii="Calibri" w:hAnsi="Calibri"/>
                <w:b w:val="0"/>
                <w:i w:val="0"/>
                <w:color w:val="212121"/>
                <w:sz w:val="19"/>
              </w:rPr>
              <w:t>&lt;8 kPa</w:t>
            </w:r>
          </w:p>
        </w:tc>
        <w:tc>
          <w:tcPr>
            <w:tcW w:type="dxa" w:w="1512"/>
            <w:vAlign w:val="top"/>
          </w:tcPr>
          <w:p>
            <w:pPr>
              <w:spacing w:after="40" w:before="0" w:line="259" w:lineRule="auto"/>
            </w:pPr>
            <w:r>
              <w:rPr>
                <w:rFonts w:ascii="Calibri" w:hAnsi="Calibri"/>
                <w:b w:val="0"/>
                <w:i w:val="0"/>
                <w:color w:val="212121"/>
                <w:sz w:val="19"/>
              </w:rPr>
              <w:t>≥8 kPa (indeterminate); ≥12 kPa (advanced fibrosis likely)</w:t>
            </w:r>
          </w:p>
        </w:tc>
        <w:tc>
          <w:tcPr>
            <w:tcW w:type="dxa" w:w="1468"/>
            <w:vAlign w:val="top"/>
          </w:tcPr>
          <w:p>
            <w:pPr>
              <w:spacing w:after="40" w:before="0" w:line="259" w:lineRule="auto"/>
            </w:pPr>
            <w:r>
              <w:rPr>
                <w:rFonts w:ascii="Calibri" w:hAnsi="Calibri"/>
                <w:b w:val="0"/>
                <w:i w:val="0"/>
                <w:color w:val="212121"/>
                <w:sz w:val="19"/>
              </w:rPr>
              <w:t>Non-invasive marker of fibrosis stage guiding referral.</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Hepatic steatosis (MRI-PDFF / CAP)</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PDFF &lt;5%</w:t>
            </w:r>
          </w:p>
        </w:tc>
        <w:tc>
          <w:tcPr>
            <w:tcW w:type="dxa" w:w="1512"/>
            <w:vAlign w:val="top"/>
          </w:tcPr>
          <w:p>
            <w:pPr>
              <w:spacing w:after="40" w:before="0" w:line="259" w:lineRule="auto"/>
            </w:pPr>
            <w:r>
              <w:rPr>
                <w:rFonts w:ascii="Calibri" w:hAnsi="Calibri"/>
                <w:b w:val="0"/>
                <w:i w:val="0"/>
                <w:color w:val="212121"/>
                <w:sz w:val="19"/>
              </w:rPr>
              <w:t>PDFF ≥5% or elevated CAP</w:t>
            </w:r>
          </w:p>
        </w:tc>
        <w:tc>
          <w:tcPr>
            <w:tcW w:type="dxa" w:w="1468"/>
            <w:vAlign w:val="top"/>
          </w:tcPr>
          <w:p>
            <w:pPr>
              <w:spacing w:after="40" w:before="0" w:line="259" w:lineRule="auto"/>
            </w:pPr>
            <w:r>
              <w:rPr>
                <w:rFonts w:ascii="Calibri" w:hAnsi="Calibri"/>
                <w:b w:val="0"/>
                <w:i w:val="0"/>
                <w:color w:val="212121"/>
                <w:sz w:val="19"/>
              </w:rPr>
              <w:t>Quantifies liver fat for diagnosis and treatment monitoring.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Alanine aminotransferase (ALT) &amp; AST</w:t>
            </w:r>
          </w:p>
        </w:tc>
        <w:tc>
          <w:tcPr>
            <w:tcW w:type="dxa" w:w="892"/>
            <w:vAlign w:val="top"/>
          </w:tcPr>
          <w:p>
            <w:pPr>
              <w:spacing w:after="40" w:before="0" w:line="259" w:lineRule="auto"/>
            </w:pPr>
            <w:r>
              <w:rPr>
                <w:rFonts w:ascii="Calibri" w:hAnsi="Calibri"/>
                <w:b w:val="0"/>
                <w:i w:val="0"/>
                <w:color w:val="212121"/>
                <w:sz w:val="16"/>
              </w:rPr>
              <w:t>Liver function tests</w:t>
            </w:r>
          </w:p>
        </w:tc>
        <w:tc>
          <w:tcPr>
            <w:tcW w:type="dxa" w:w="950"/>
            <w:vAlign w:val="top"/>
          </w:tcPr>
          <w:p>
            <w:pPr>
              <w:spacing w:after="40" w:before="0" w:line="259" w:lineRule="auto"/>
            </w:pPr>
            <w:r>
              <w:rPr>
                <w:rFonts w:ascii="Calibri" w:hAnsi="Calibri"/>
                <w:b w:val="0"/>
                <w:i w:val="0"/>
                <w:color w:val="212121"/>
                <w:sz w:val="16"/>
              </w:rPr>
              <w:t>ALT M &lt;30, F &lt;19–25 U/L</w:t>
            </w:r>
          </w:p>
        </w:tc>
        <w:tc>
          <w:tcPr>
            <w:tcW w:type="dxa" w:w="950"/>
            <w:vAlign w:val="top"/>
          </w:tcPr>
          <w:p>
            <w:pPr>
              <w:spacing w:after="40" w:before="0" w:line="259" w:lineRule="auto"/>
            </w:pPr>
            <w:r>
              <w:rPr>
                <w:rFonts w:ascii="Calibri" w:hAnsi="Calibri"/>
                <w:b w:val="0"/>
                <w:i w:val="0"/>
                <w:color w:val="212121"/>
                <w:sz w:val="16"/>
              </w:rPr>
              <w:t>Persistent elevation (mild–moderate)</w:t>
            </w:r>
          </w:p>
        </w:tc>
        <w:tc>
          <w:tcPr>
            <w:tcW w:type="dxa" w:w="1036"/>
            <w:vAlign w:val="top"/>
          </w:tcPr>
          <w:p>
            <w:pPr>
              <w:spacing w:after="40" w:before="0" w:line="259" w:lineRule="auto"/>
            </w:pPr>
            <w:r>
              <w:rPr>
                <w:rFonts w:ascii="Calibri" w:hAnsi="Calibri"/>
                <w:b w:val="0"/>
                <w:i w:val="0"/>
                <w:color w:val="212121"/>
                <w:sz w:val="16"/>
              </w:rPr>
              <w:t>Raised transaminases suggest hepatocyte injury; ALT typically &gt; AST early, but levels may be normal in MASH</w:t>
            </w:r>
          </w:p>
        </w:tc>
        <w:tc>
          <w:tcPr>
            <w:tcW w:type="dxa" w:w="1036"/>
            <w:vAlign w:val="top"/>
          </w:tcPr>
          <w:p>
            <w:pPr>
              <w:spacing w:after="40" w:before="0" w:line="259" w:lineRule="auto"/>
            </w:pPr>
            <w:r>
              <w:rPr>
                <w:rFonts w:ascii="Calibri" w:hAnsi="Calibri"/>
                <w:b w:val="0"/>
                <w:i w:val="0"/>
                <w:color w:val="212121"/>
                <w:sz w:val="16"/>
              </w:rPr>
              <w:t>Adults with obesity, T2DM, metabolic syndrome</w:t>
            </w:r>
          </w:p>
        </w:tc>
        <w:tc>
          <w:tcPr>
            <w:tcW w:type="dxa" w:w="720"/>
            <w:vAlign w:val="top"/>
          </w:tcPr>
          <w:p>
            <w:pPr>
              <w:spacing w:after="40" w:before="0" w:line="259" w:lineRule="auto"/>
            </w:pPr>
            <w:r>
              <w:rPr>
                <w:rFonts w:ascii="Calibri" w:hAnsi="Calibri"/>
                <w:b w:val="0"/>
                <w:i w:val="0"/>
                <w:color w:val="212121"/>
                <w:sz w:val="16"/>
              </w:rPr>
              <w:t>Food; Physical activity;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Normal ALT does not exclude MASH or advanced fibrosis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AST/ALT ratio</w:t>
            </w:r>
          </w:p>
        </w:tc>
        <w:tc>
          <w:tcPr>
            <w:tcW w:type="dxa" w:w="892"/>
            <w:vAlign w:val="top"/>
          </w:tcPr>
          <w:p>
            <w:pPr>
              <w:spacing w:after="40" w:before="0" w:line="259" w:lineRule="auto"/>
            </w:pPr>
            <w:r>
              <w:rPr>
                <w:rFonts w:ascii="Calibri" w:hAnsi="Calibri"/>
                <w:b w:val="0"/>
                <w:i w:val="0"/>
                <w:color w:val="212121"/>
                <w:sz w:val="16"/>
              </w:rPr>
              <w:t>Liver function tests</w:t>
            </w:r>
          </w:p>
        </w:tc>
        <w:tc>
          <w:tcPr>
            <w:tcW w:type="dxa" w:w="950"/>
            <w:vAlign w:val="top"/>
          </w:tcPr>
          <w:p>
            <w:pPr>
              <w:spacing w:after="40" w:before="0" w:line="259" w:lineRule="auto"/>
            </w:pPr>
            <w:r>
              <w:rPr>
                <w:rFonts w:ascii="Calibri" w:hAnsi="Calibri"/>
                <w:b w:val="0"/>
                <w:i w:val="0"/>
                <w:color w:val="212121"/>
                <w:sz w:val="16"/>
              </w:rPr>
              <w:t>&lt;0.8</w:t>
            </w:r>
          </w:p>
        </w:tc>
        <w:tc>
          <w:tcPr>
            <w:tcW w:type="dxa" w:w="950"/>
            <w:vAlign w:val="top"/>
          </w:tcPr>
          <w:p>
            <w:pPr>
              <w:spacing w:after="40" w:before="0" w:line="259" w:lineRule="auto"/>
            </w:pPr>
            <w:r>
              <w:rPr>
                <w:rFonts w:ascii="Calibri" w:hAnsi="Calibri"/>
                <w:b w:val="0"/>
                <w:i w:val="0"/>
                <w:color w:val="212121"/>
                <w:sz w:val="16"/>
              </w:rPr>
              <w:t>≥1.0 (rising toward/over 1)</w:t>
            </w:r>
          </w:p>
        </w:tc>
        <w:tc>
          <w:tcPr>
            <w:tcW w:type="dxa" w:w="1036"/>
            <w:vAlign w:val="top"/>
          </w:tcPr>
          <w:p>
            <w:pPr>
              <w:spacing w:after="40" w:before="0" w:line="259" w:lineRule="auto"/>
            </w:pPr>
            <w:r>
              <w:rPr>
                <w:rFonts w:ascii="Calibri" w:hAnsi="Calibri"/>
                <w:b w:val="0"/>
                <w:i w:val="0"/>
                <w:color w:val="212121"/>
                <w:sz w:val="16"/>
              </w:rPr>
              <w:t>A rising AST/ALT ratio suggests advancing fibrosis or cirrhosis (or an alcohol component)</w:t>
            </w:r>
          </w:p>
        </w:tc>
        <w:tc>
          <w:tcPr>
            <w:tcW w:type="dxa" w:w="1036"/>
            <w:vAlign w:val="top"/>
          </w:tcPr>
          <w:p>
            <w:pPr>
              <w:spacing w:after="40" w:before="0" w:line="259" w:lineRule="auto"/>
            </w:pPr>
            <w:r>
              <w:rPr>
                <w:rFonts w:ascii="Calibri" w:hAnsi="Calibri"/>
                <w:b w:val="0"/>
                <w:i w:val="0"/>
                <w:color w:val="212121"/>
                <w:sz w:val="16"/>
              </w:rPr>
              <w:t>MASLD patients being risk-stratified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Interpret with platelets and elastography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function tests</w:t>
            </w:r>
          </w:p>
        </w:tc>
        <w:tc>
          <w:tcPr>
            <w:tcW w:type="dxa" w:w="950"/>
            <w:vAlign w:val="top"/>
          </w:tcPr>
          <w:p>
            <w:pPr>
              <w:spacing w:after="40" w:before="0" w:line="259" w:lineRule="auto"/>
            </w:pPr>
            <w:r>
              <w:rPr>
                <w:rFonts w:ascii="Calibri" w:hAnsi="Calibri"/>
                <w:b w:val="0"/>
                <w:i w:val="0"/>
                <w:color w:val="212121"/>
                <w:sz w:val="16"/>
              </w:rPr>
              <w:t>M &lt;55, F &lt;38 U/L (lab-dependent)</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Non-specific; supports hepatic involvement and correlates with metabolic risk and fibrosis</w:t>
            </w:r>
          </w:p>
        </w:tc>
        <w:tc>
          <w:tcPr>
            <w:tcW w:type="dxa" w:w="1036"/>
            <w:vAlign w:val="top"/>
          </w:tcPr>
          <w:p>
            <w:pPr>
              <w:spacing w:after="40" w:before="0" w:line="259" w:lineRule="auto"/>
            </w:pPr>
            <w:r>
              <w:rPr>
                <w:rFonts w:ascii="Calibri" w:hAnsi="Calibri"/>
                <w:b w:val="0"/>
                <w:i w:val="0"/>
                <w:color w:val="212121"/>
                <w:sz w:val="16"/>
              </w:rPr>
              <w:t>Adults with metabolic risk, suspected MetALD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rises with alcohol 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Metabolic panel (fasting glucose/HbA1c, lipids)</w:t>
            </w:r>
          </w:p>
        </w:tc>
        <w:tc>
          <w:tcPr>
            <w:tcW w:type="dxa" w:w="892"/>
            <w:vAlign w:val="top"/>
          </w:tcPr>
          <w:p>
            <w:pPr>
              <w:spacing w:after="40" w:before="0" w:line="259" w:lineRule="auto"/>
            </w:pPr>
            <w:r>
              <w:rPr>
                <w:rFonts w:ascii="Calibri" w:hAnsi="Calibri"/>
                <w:b w:val="0"/>
                <w:i w:val="0"/>
                <w:color w:val="212121"/>
                <w:sz w:val="16"/>
              </w:rPr>
              <w:t>Cardiometabolic work-up</w:t>
            </w:r>
          </w:p>
        </w:tc>
        <w:tc>
          <w:tcPr>
            <w:tcW w:type="dxa" w:w="950"/>
            <w:vAlign w:val="top"/>
          </w:tcPr>
          <w:p>
            <w:pPr>
              <w:spacing w:after="40" w:before="0" w:line="259" w:lineRule="auto"/>
            </w:pPr>
            <w:r>
              <w:rPr>
                <w:rFonts w:ascii="Calibri" w:hAnsi="Calibri"/>
                <w:b w:val="0"/>
                <w:i w:val="0"/>
                <w:color w:val="212121"/>
                <w:sz w:val="16"/>
              </w:rPr>
              <w:t>HbA1c &lt;5.7%; TG &lt;150; HDL M&gt;40/F&gt;50 mg/dL</w:t>
            </w:r>
          </w:p>
        </w:tc>
        <w:tc>
          <w:tcPr>
            <w:tcW w:type="dxa" w:w="950"/>
            <w:vAlign w:val="top"/>
          </w:tcPr>
          <w:p>
            <w:pPr>
              <w:spacing w:after="40" w:before="0" w:line="259" w:lineRule="auto"/>
            </w:pPr>
            <w:r>
              <w:rPr>
                <w:rFonts w:ascii="Calibri" w:hAnsi="Calibri"/>
                <w:b w:val="0"/>
                <w:i w:val="0"/>
                <w:color w:val="212121"/>
                <w:sz w:val="16"/>
              </w:rPr>
              <w:t>Dysglycaemia, high TG, low HDL</w:t>
            </w:r>
          </w:p>
        </w:tc>
        <w:tc>
          <w:tcPr>
            <w:tcW w:type="dxa" w:w="1036"/>
            <w:vAlign w:val="top"/>
          </w:tcPr>
          <w:p>
            <w:pPr>
              <w:spacing w:after="40" w:before="0" w:line="259" w:lineRule="auto"/>
            </w:pPr>
            <w:r>
              <w:rPr>
                <w:rFonts w:ascii="Calibri" w:hAnsi="Calibri"/>
                <w:b w:val="0"/>
                <w:i w:val="0"/>
                <w:color w:val="212121"/>
                <w:sz w:val="16"/>
              </w:rPr>
              <w:t>Establishes the cardiometabolic criteria required to label MASLD and stratifies cardiovascular risk</w:t>
            </w:r>
          </w:p>
        </w:tc>
        <w:tc>
          <w:tcPr>
            <w:tcW w:type="dxa" w:w="1036"/>
            <w:vAlign w:val="top"/>
          </w:tcPr>
          <w:p>
            <w:pPr>
              <w:spacing w:after="40" w:before="0" w:line="259" w:lineRule="auto"/>
            </w:pPr>
            <w:r>
              <w:rPr>
                <w:rFonts w:ascii="Calibri" w:hAnsi="Calibri"/>
                <w:b w:val="0"/>
                <w:i w:val="0"/>
                <w:color w:val="212121"/>
                <w:sz w:val="16"/>
              </w:rPr>
              <w:t>All patients with suspected MASLD/MASH</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Cardiovascular disease is the leading cause of death in MASLD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Calculated score</w:t>
            </w:r>
          </w:p>
        </w:tc>
        <w:tc>
          <w:tcPr>
            <w:tcW w:type="dxa" w:w="1036"/>
            <w:vAlign w:val="top"/>
          </w:tcPr>
          <w:p>
            <w:pPr>
              <w:spacing w:after="40" w:before="0" w:line="259" w:lineRule="auto"/>
            </w:pPr>
            <w:r>
              <w:rPr>
                <w:rFonts w:ascii="Calibri" w:hAnsi="Calibri"/>
                <w:b w:val="0"/>
                <w:i w:val="0"/>
                <w:color w:val="212121"/>
                <w:sz w:val="16"/>
              </w:rPr>
              <w:t>FIB-4 index</w:t>
            </w:r>
          </w:p>
        </w:tc>
        <w:tc>
          <w:tcPr>
            <w:tcW w:type="dxa" w:w="892"/>
            <w:vAlign w:val="top"/>
          </w:tcPr>
          <w:p>
            <w:pPr>
              <w:spacing w:after="40" w:before="0" w:line="259" w:lineRule="auto"/>
            </w:pPr>
            <w:r>
              <w:rPr>
                <w:rFonts w:ascii="Calibri" w:hAnsi="Calibri"/>
                <w:b w:val="0"/>
                <w:i w:val="0"/>
                <w:color w:val="212121"/>
                <w:sz w:val="16"/>
              </w:rPr>
              <w:t>Non-invasive fibrosis score</w:t>
            </w:r>
          </w:p>
        </w:tc>
        <w:tc>
          <w:tcPr>
            <w:tcW w:type="dxa" w:w="950"/>
            <w:vAlign w:val="top"/>
          </w:tcPr>
          <w:p>
            <w:pPr>
              <w:spacing w:after="40" w:before="0" w:line="259" w:lineRule="auto"/>
            </w:pPr>
            <w:r>
              <w:rPr>
                <w:rFonts w:ascii="Calibri" w:hAnsi="Calibri"/>
                <w:b w:val="0"/>
                <w:i w:val="0"/>
                <w:color w:val="212121"/>
                <w:sz w:val="16"/>
              </w:rPr>
              <w:t>&lt;1.3</w:t>
            </w:r>
          </w:p>
        </w:tc>
        <w:tc>
          <w:tcPr>
            <w:tcW w:type="dxa" w:w="950"/>
            <w:vAlign w:val="top"/>
          </w:tcPr>
          <w:p>
            <w:pPr>
              <w:spacing w:after="40" w:before="0" w:line="259" w:lineRule="auto"/>
            </w:pPr>
            <w:r>
              <w:rPr>
                <w:rFonts w:ascii="Calibri" w:hAnsi="Calibri"/>
                <w:b w:val="0"/>
                <w:i w:val="0"/>
                <w:color w:val="212121"/>
                <w:sz w:val="16"/>
              </w:rPr>
              <w:t>&gt;1.3 indeterminate; &gt;2.67 high risk</w:t>
            </w:r>
          </w:p>
        </w:tc>
        <w:tc>
          <w:tcPr>
            <w:tcW w:type="dxa" w:w="1036"/>
            <w:vAlign w:val="top"/>
          </w:tcPr>
          <w:p>
            <w:pPr>
              <w:spacing w:after="40" w:before="0" w:line="259" w:lineRule="auto"/>
            </w:pPr>
            <w:r>
              <w:rPr>
                <w:rFonts w:ascii="Calibri" w:hAnsi="Calibri"/>
                <w:b w:val="0"/>
                <w:i w:val="0"/>
                <w:color w:val="212121"/>
                <w:sz w:val="16"/>
              </w:rPr>
              <w:t>First-line filter combining age, AST, ALT and platelets to rule out advanced fibrosis</w:t>
            </w:r>
          </w:p>
        </w:tc>
        <w:tc>
          <w:tcPr>
            <w:tcW w:type="dxa" w:w="1036"/>
            <w:vAlign w:val="top"/>
          </w:tcPr>
          <w:p>
            <w:pPr>
              <w:spacing w:after="40" w:before="0" w:line="259" w:lineRule="auto"/>
            </w:pPr>
            <w:r>
              <w:rPr>
                <w:rFonts w:ascii="Calibri" w:hAnsi="Calibri"/>
                <w:b w:val="0"/>
                <w:i w:val="0"/>
                <w:color w:val="212121"/>
                <w:sz w:val="16"/>
              </w:rPr>
              <w:t>Adults with MASLD, T2DM, obesity</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Gold-standard first step</w:t>
            </w:r>
          </w:p>
        </w:tc>
        <w:tc>
          <w:tcPr>
            <w:tcW w:type="dxa" w:w="720"/>
            <w:vAlign w:val="top"/>
          </w:tcPr>
          <w:p>
            <w:pPr>
              <w:spacing w:after="40" w:before="0" w:line="259" w:lineRule="auto"/>
            </w:pPr>
            <w:r>
              <w:rPr>
                <w:rFonts w:ascii="Calibri" w:hAnsi="Calibri"/>
                <w:b w:val="0"/>
                <w:i w:val="0"/>
                <w:color w:val="212121"/>
                <w:sz w:val="16"/>
              </w:rPr>
              <w:t>Use 2.0 cut-off in those &gt;65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Elastography</w:t>
            </w:r>
          </w:p>
        </w:tc>
        <w:tc>
          <w:tcPr>
            <w:tcW w:type="dxa" w:w="1036"/>
            <w:vAlign w:val="top"/>
          </w:tcPr>
          <w:p>
            <w:pPr>
              <w:spacing w:after="40" w:before="0" w:line="259" w:lineRule="auto"/>
            </w:pPr>
            <w:r>
              <w:rPr>
                <w:rFonts w:ascii="Calibri" w:hAnsi="Calibri"/>
                <w:b w:val="0"/>
                <w:i w:val="0"/>
                <w:color w:val="212121"/>
                <w:sz w:val="16"/>
              </w:rPr>
              <w:t>Liver stiffness &amp; CAP (VCTE / FibroScan)</w:t>
            </w:r>
          </w:p>
        </w:tc>
        <w:tc>
          <w:tcPr>
            <w:tcW w:type="dxa" w:w="892"/>
            <w:vAlign w:val="top"/>
          </w:tcPr>
          <w:p>
            <w:pPr>
              <w:spacing w:after="40" w:before="0" w:line="259" w:lineRule="auto"/>
            </w:pPr>
            <w:r>
              <w:rPr>
                <w:rFonts w:ascii="Calibri" w:hAnsi="Calibri"/>
                <w:b w:val="0"/>
                <w:i w:val="0"/>
                <w:color w:val="212121"/>
                <w:sz w:val="16"/>
              </w:rPr>
              <w:t>Vibration-controlled transient elastography</w:t>
            </w:r>
          </w:p>
        </w:tc>
        <w:tc>
          <w:tcPr>
            <w:tcW w:type="dxa" w:w="950"/>
            <w:vAlign w:val="top"/>
          </w:tcPr>
          <w:p>
            <w:pPr>
              <w:spacing w:after="40" w:before="0" w:line="259" w:lineRule="auto"/>
            </w:pPr>
            <w:r>
              <w:rPr>
                <w:rFonts w:ascii="Calibri" w:hAnsi="Calibri"/>
                <w:b w:val="0"/>
                <w:i w:val="0"/>
                <w:color w:val="212121"/>
                <w:sz w:val="16"/>
              </w:rPr>
              <w:t>Stiffness &lt;8 kPa</w:t>
            </w:r>
          </w:p>
        </w:tc>
        <w:tc>
          <w:tcPr>
            <w:tcW w:type="dxa" w:w="950"/>
            <w:vAlign w:val="top"/>
          </w:tcPr>
          <w:p>
            <w:pPr>
              <w:spacing w:after="40" w:before="0" w:line="259" w:lineRule="auto"/>
            </w:pPr>
            <w:r>
              <w:rPr>
                <w:rFonts w:ascii="Calibri" w:hAnsi="Calibri"/>
                <w:b w:val="0"/>
                <w:i w:val="0"/>
                <w:color w:val="212121"/>
                <w:sz w:val="16"/>
              </w:rPr>
              <w:t>≥8 kPa (indeterminate); ≥12 kPa (advanced fibrosis)</w:t>
            </w:r>
          </w:p>
        </w:tc>
        <w:tc>
          <w:tcPr>
            <w:tcW w:type="dxa" w:w="1036"/>
            <w:vAlign w:val="top"/>
          </w:tcPr>
          <w:p>
            <w:pPr>
              <w:spacing w:after="40" w:before="0" w:line="259" w:lineRule="auto"/>
            </w:pPr>
            <w:r>
              <w:rPr>
                <w:rFonts w:ascii="Calibri" w:hAnsi="Calibri"/>
                <w:b w:val="0"/>
                <w:i w:val="0"/>
                <w:color w:val="212121"/>
                <w:sz w:val="16"/>
              </w:rPr>
              <w:t>Non-invasive staging of fibrosis; CAP quantifies steatosis</w:t>
            </w:r>
          </w:p>
        </w:tc>
        <w:tc>
          <w:tcPr>
            <w:tcW w:type="dxa" w:w="1036"/>
            <w:vAlign w:val="top"/>
          </w:tcPr>
          <w:p>
            <w:pPr>
              <w:spacing w:after="40" w:before="0" w:line="259" w:lineRule="auto"/>
            </w:pPr>
            <w:r>
              <w:rPr>
                <w:rFonts w:ascii="Calibri" w:hAnsi="Calibri"/>
                <w:b w:val="0"/>
                <w:i w:val="0"/>
                <w:color w:val="212121"/>
                <w:sz w:val="16"/>
              </w:rPr>
              <w:t>Indeterminate/high FIB-4, diabetics, obese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Key second step</w:t>
            </w:r>
          </w:p>
        </w:tc>
        <w:tc>
          <w:tcPr>
            <w:tcW w:type="dxa" w:w="720"/>
            <w:vAlign w:val="top"/>
          </w:tcPr>
          <w:p>
            <w:pPr>
              <w:spacing w:after="40" w:before="0" w:line="259" w:lineRule="auto"/>
            </w:pPr>
            <w:r>
              <w:rPr>
                <w:rFonts w:ascii="Calibri" w:hAnsi="Calibri"/>
                <w:b w:val="0"/>
                <w:i w:val="0"/>
                <w:color w:val="212121"/>
                <w:sz w:val="16"/>
              </w:rPr>
              <w:t>Guides who needs specialist referral or biopsy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Hepatic fat &amp; fibrosis (Ultrasound / MRI-PDFF / MR elastography)</w:t>
            </w:r>
          </w:p>
        </w:tc>
        <w:tc>
          <w:tcPr>
            <w:tcW w:type="dxa" w:w="892"/>
            <w:vAlign w:val="top"/>
          </w:tcPr>
          <w:p>
            <w:pPr>
              <w:spacing w:after="40" w:before="0" w:line="259" w:lineRule="auto"/>
            </w:pPr>
            <w:r>
              <w:rPr>
                <w:rFonts w:ascii="Calibri" w:hAnsi="Calibri"/>
                <w:b w:val="0"/>
                <w:i w:val="0"/>
                <w:color w:val="212121"/>
                <w:sz w:val="16"/>
              </w:rPr>
              <w:t>Imaging</w:t>
            </w:r>
          </w:p>
        </w:tc>
        <w:tc>
          <w:tcPr>
            <w:tcW w:type="dxa" w:w="950"/>
            <w:vAlign w:val="top"/>
          </w:tcPr>
          <w:p>
            <w:pPr>
              <w:spacing w:after="40" w:before="0" w:line="259" w:lineRule="auto"/>
            </w:pPr>
            <w:r>
              <w:rPr>
                <w:rFonts w:ascii="Calibri" w:hAnsi="Calibri"/>
                <w:b w:val="0"/>
                <w:i w:val="0"/>
                <w:color w:val="212121"/>
                <w:sz w:val="16"/>
              </w:rPr>
              <w:t>No steatosis; MRI-PDFF &lt;5%</w:t>
            </w:r>
          </w:p>
        </w:tc>
        <w:tc>
          <w:tcPr>
            <w:tcW w:type="dxa" w:w="950"/>
            <w:vAlign w:val="top"/>
          </w:tcPr>
          <w:p>
            <w:pPr>
              <w:spacing w:after="40" w:before="0" w:line="259" w:lineRule="auto"/>
            </w:pPr>
            <w:r>
              <w:rPr>
                <w:rFonts w:ascii="Calibri" w:hAnsi="Calibri"/>
                <w:b w:val="0"/>
                <w:i w:val="0"/>
                <w:color w:val="212121"/>
                <w:sz w:val="16"/>
              </w:rPr>
              <w:t>'Bright' liver; PDFF ≥5%; raised MRE stiffness</w:t>
            </w:r>
          </w:p>
        </w:tc>
        <w:tc>
          <w:tcPr>
            <w:tcW w:type="dxa" w:w="1036"/>
            <w:vAlign w:val="top"/>
          </w:tcPr>
          <w:p>
            <w:pPr>
              <w:spacing w:after="40" w:before="0" w:line="259" w:lineRule="auto"/>
            </w:pPr>
            <w:r>
              <w:rPr>
                <w:rFonts w:ascii="Calibri" w:hAnsi="Calibri"/>
                <w:b w:val="0"/>
                <w:i w:val="0"/>
                <w:color w:val="212121"/>
                <w:sz w:val="16"/>
              </w:rPr>
              <w:t>Ultrasound detects steatosis (needs ≥30% fat for detection); MRI-PDFF and MRE precisely quantify fat and fibrosis</w:t>
            </w:r>
          </w:p>
        </w:tc>
        <w:tc>
          <w:tcPr>
            <w:tcW w:type="dxa" w:w="1036"/>
            <w:vAlign w:val="top"/>
          </w:tcPr>
          <w:p>
            <w:pPr>
              <w:spacing w:after="40" w:before="0" w:line="259" w:lineRule="auto"/>
            </w:pPr>
            <w:r>
              <w:rPr>
                <w:rFonts w:ascii="Calibri" w:hAnsi="Calibri"/>
                <w:b w:val="0"/>
                <w:i w:val="0"/>
                <w:color w:val="212121"/>
                <w:sz w:val="16"/>
              </w:rPr>
              <w:t>Adults with suspected/known MASLD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MRI-PDFF is the reference for quantifying steatosis and tracking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Liver biopsy (NAS / SAF, fibrosis stage)</w:t>
            </w:r>
          </w:p>
        </w:tc>
        <w:tc>
          <w:tcPr>
            <w:tcW w:type="dxa" w:w="892"/>
            <w:vAlign w:val="top"/>
          </w:tcPr>
          <w:p>
            <w:pPr>
              <w:spacing w:after="40" w:before="0" w:line="259" w:lineRule="auto"/>
            </w:pPr>
            <w:r>
              <w:rPr>
                <w:rFonts w:ascii="Calibri" w:hAnsi="Calibri"/>
                <w:b w:val="0"/>
                <w:i w:val="0"/>
                <w:color w:val="212121"/>
                <w:sz w:val="16"/>
              </w:rPr>
              <w:t>Percutaneous liver biopsy</w:t>
            </w:r>
          </w:p>
        </w:tc>
        <w:tc>
          <w:tcPr>
            <w:tcW w:type="dxa" w:w="950"/>
            <w:vAlign w:val="top"/>
          </w:tcPr>
          <w:p>
            <w:pPr>
              <w:spacing w:after="40" w:before="0" w:line="259" w:lineRule="auto"/>
            </w:pPr>
            <w:r>
              <w:rPr>
                <w:rFonts w:ascii="Calibri" w:hAnsi="Calibri"/>
                <w:b w:val="0"/>
                <w:i w:val="0"/>
                <w:color w:val="212121"/>
                <w:sz w:val="16"/>
              </w:rPr>
              <w:t>No ballooning/inflammation; F0</w:t>
            </w:r>
          </w:p>
        </w:tc>
        <w:tc>
          <w:tcPr>
            <w:tcW w:type="dxa" w:w="950"/>
            <w:vAlign w:val="top"/>
          </w:tcPr>
          <w:p>
            <w:pPr>
              <w:spacing w:after="40" w:before="0" w:line="259" w:lineRule="auto"/>
            </w:pPr>
            <w:r>
              <w:rPr>
                <w:rFonts w:ascii="Calibri" w:hAnsi="Calibri"/>
                <w:b w:val="0"/>
                <w:i w:val="0"/>
                <w:color w:val="212121"/>
                <w:sz w:val="16"/>
              </w:rPr>
              <w:t>Steatosis + ballooning + lobular inflammation ± fibrosis (definite MASH; NAS ≥5)</w:t>
            </w:r>
          </w:p>
        </w:tc>
        <w:tc>
          <w:tcPr>
            <w:tcW w:type="dxa" w:w="1036"/>
            <w:vAlign w:val="top"/>
          </w:tcPr>
          <w:p>
            <w:pPr>
              <w:spacing w:after="40" w:before="0" w:line="259" w:lineRule="auto"/>
            </w:pPr>
            <w:r>
              <w:rPr>
                <w:rFonts w:ascii="Calibri" w:hAnsi="Calibri"/>
                <w:b w:val="0"/>
                <w:i w:val="0"/>
                <w:color w:val="212121"/>
                <w:sz w:val="16"/>
              </w:rPr>
              <w:t>Reference standard that distinguishes MASH from simple steatosis and stages fibrosis</w:t>
            </w:r>
          </w:p>
        </w:tc>
        <w:tc>
          <w:tcPr>
            <w:tcW w:type="dxa" w:w="1036"/>
            <w:vAlign w:val="top"/>
          </w:tcPr>
          <w:p>
            <w:pPr>
              <w:spacing w:after="40" w:before="0" w:line="259" w:lineRule="auto"/>
            </w:pPr>
            <w:r>
              <w:rPr>
                <w:rFonts w:ascii="Calibri" w:hAnsi="Calibri"/>
                <w:b w:val="0"/>
                <w:i w:val="0"/>
                <w:color w:val="212121"/>
                <w:sz w:val="16"/>
              </w:rPr>
              <w:t>Diagnostic uncertainty, suspected advanced fibrosis, trial eligibility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Reserved for cases where it will change management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Exclusion panel</w:t>
            </w:r>
          </w:p>
        </w:tc>
        <w:tc>
          <w:tcPr>
            <w:tcW w:type="dxa" w:w="1036"/>
            <w:vAlign w:val="top"/>
          </w:tcPr>
          <w:p>
            <w:pPr>
              <w:spacing w:after="40" w:before="0" w:line="259" w:lineRule="auto"/>
            </w:pPr>
            <w:r>
              <w:rPr>
                <w:rFonts w:ascii="Calibri" w:hAnsi="Calibri"/>
                <w:b w:val="0"/>
                <w:i w:val="0"/>
                <w:color w:val="212121"/>
                <w:sz w:val="16"/>
              </w:rPr>
              <w:t>Viral, autoimmune &amp; metabolic causes</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HBsAg/anti-HCV, autoantibodies, abnormal iron/copper studies</w:t>
            </w:r>
          </w:p>
        </w:tc>
        <w:tc>
          <w:tcPr>
            <w:tcW w:type="dxa" w:w="1036"/>
            <w:vAlign w:val="top"/>
          </w:tcPr>
          <w:p>
            <w:pPr>
              <w:spacing w:after="40" w:before="0" w:line="259" w:lineRule="auto"/>
            </w:pPr>
            <w:r>
              <w:rPr>
                <w:rFonts w:ascii="Calibri" w:hAnsi="Calibri"/>
                <w:b w:val="0"/>
                <w:i w:val="0"/>
                <w:color w:val="212121"/>
                <w:sz w:val="16"/>
              </w:rPr>
              <w:t>Excludes competing or coexisting liver disease before attributing steatohepatitis to MASH</w:t>
            </w:r>
          </w:p>
        </w:tc>
        <w:tc>
          <w:tcPr>
            <w:tcW w:type="dxa" w:w="1036"/>
            <w:vAlign w:val="top"/>
          </w:tcPr>
          <w:p>
            <w:pPr>
              <w:spacing w:after="40" w:before="0" w:line="259" w:lineRule="auto"/>
            </w:pPr>
            <w:r>
              <w:rPr>
                <w:rFonts w:ascii="Calibri" w:hAnsi="Calibri"/>
                <w:b w:val="0"/>
                <w:i w:val="0"/>
                <w:color w:val="212121"/>
                <w:sz w:val="16"/>
              </w:rPr>
              <w:t>All patients before confirming MASLD/MASH</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Includes HBsAg, anti-HCV, ANA/ASMA, ferritin/transferrin saturation, caeruloplasmin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complaints</w:t>
            </w:r>
          </w:p>
        </w:tc>
        <w:tc>
          <w:tcPr>
            <w:tcW w:type="dxa" w:w="979"/>
            <w:vAlign w:val="top"/>
          </w:tcPr>
          <w:p>
            <w:pPr>
              <w:spacing w:after="40" w:before="0" w:line="259" w:lineRule="auto"/>
            </w:pPr>
            <w:r>
              <w:rPr>
                <w:rFonts w:ascii="Calibri" w:hAnsi="Calibri"/>
                <w:b w:val="0"/>
                <w:i w:val="0"/>
                <w:color w:val="212121"/>
                <w:sz w:val="16"/>
              </w:rPr>
              <w:t>Fatigue, right-upper-quadrant discomfort</w:t>
            </w:r>
          </w:p>
        </w:tc>
        <w:tc>
          <w:tcPr>
            <w:tcW w:type="dxa" w:w="950"/>
            <w:vAlign w:val="top"/>
          </w:tcPr>
          <w:p>
            <w:pPr>
              <w:spacing w:after="40" w:before="0" w:line="259" w:lineRule="auto"/>
            </w:pPr>
            <w:r>
              <w:rPr>
                <w:rFonts w:ascii="Calibri" w:hAnsi="Calibri"/>
                <w:b w:val="0"/>
                <w:i w:val="0"/>
                <w:color w:val="212121"/>
                <w:sz w:val="16"/>
              </w:rPr>
              <w:t>Asymptomatic</w:t>
            </w:r>
          </w:p>
        </w:tc>
        <w:tc>
          <w:tcPr>
            <w:tcW w:type="dxa" w:w="950"/>
            <w:vAlign w:val="top"/>
          </w:tcPr>
          <w:p>
            <w:pPr>
              <w:spacing w:after="40" w:before="0" w:line="259" w:lineRule="auto"/>
            </w:pPr>
            <w:r>
              <w:rPr>
                <w:rFonts w:ascii="Calibri" w:hAnsi="Calibri"/>
                <w:b w:val="0"/>
                <w:i w:val="0"/>
                <w:color w:val="212121"/>
                <w:sz w:val="16"/>
              </w:rPr>
              <w:t>Fatigue and/or dull RUQ ache present</w:t>
            </w:r>
          </w:p>
        </w:tc>
        <w:tc>
          <w:tcPr>
            <w:tcW w:type="dxa" w:w="1036"/>
            <w:vAlign w:val="top"/>
          </w:tcPr>
          <w:p>
            <w:pPr>
              <w:spacing w:after="40" w:before="0" w:line="259" w:lineRule="auto"/>
            </w:pPr>
            <w:r>
              <w:rPr>
                <w:rFonts w:ascii="Calibri" w:hAnsi="Calibri"/>
                <w:b w:val="0"/>
                <w:i w:val="0"/>
                <w:color w:val="212121"/>
                <w:sz w:val="16"/>
              </w:rPr>
              <w:t>MASH is usually silent; non-specific fatigue or RUQ discomfort may be the only clues</w:t>
            </w:r>
          </w:p>
        </w:tc>
        <w:tc>
          <w:tcPr>
            <w:tcW w:type="dxa" w:w="1036"/>
            <w:vAlign w:val="top"/>
          </w:tcPr>
          <w:p>
            <w:pPr>
              <w:spacing w:after="40" w:before="0" w:line="259" w:lineRule="auto"/>
            </w:pPr>
            <w:r>
              <w:rPr>
                <w:rFonts w:ascii="Calibri" w:hAnsi="Calibri"/>
                <w:b w:val="0"/>
                <w:i w:val="0"/>
                <w:color w:val="212121"/>
                <w:sz w:val="16"/>
              </w:rPr>
              <w:t>Adults with metabolic risk</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Absence of symptoms does not exclude significant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Cardiometabolic history</w:t>
            </w:r>
          </w:p>
        </w:tc>
        <w:tc>
          <w:tcPr>
            <w:tcW w:type="dxa" w:w="979"/>
            <w:vAlign w:val="top"/>
          </w:tcPr>
          <w:p>
            <w:pPr>
              <w:spacing w:after="40" w:before="0" w:line="259" w:lineRule="auto"/>
            </w:pPr>
            <w:r>
              <w:rPr>
                <w:rFonts w:ascii="Calibri" w:hAnsi="Calibri"/>
                <w:b w:val="0"/>
                <w:i w:val="0"/>
                <w:color w:val="212121"/>
                <w:sz w:val="16"/>
              </w:rPr>
              <w:t>T2DM, obesity, hypertension, dyslipidaemia, PCOS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≥1 cardiometabolic condition</w:t>
            </w:r>
          </w:p>
        </w:tc>
        <w:tc>
          <w:tcPr>
            <w:tcW w:type="dxa" w:w="1036"/>
            <w:vAlign w:val="top"/>
          </w:tcPr>
          <w:p>
            <w:pPr>
              <w:spacing w:after="40" w:before="0" w:line="259" w:lineRule="auto"/>
            </w:pPr>
            <w:r>
              <w:rPr>
                <w:rFonts w:ascii="Calibri" w:hAnsi="Calibri"/>
                <w:b w:val="0"/>
                <w:i w:val="0"/>
                <w:color w:val="212121"/>
                <w:sz w:val="16"/>
              </w:rPr>
              <w:t>Establishes the metabolic driver that defines MASLD and predicts progression</w:t>
            </w:r>
          </w:p>
        </w:tc>
        <w:tc>
          <w:tcPr>
            <w:tcW w:type="dxa" w:w="1036"/>
            <w:vAlign w:val="top"/>
          </w:tcPr>
          <w:p>
            <w:pPr>
              <w:spacing w:after="40" w:before="0" w:line="259" w:lineRule="auto"/>
            </w:pPr>
            <w:r>
              <w:rPr>
                <w:rFonts w:ascii="Calibri" w:hAnsi="Calibri"/>
                <w:b w:val="0"/>
                <w:i w:val="0"/>
                <w:color w:val="212121"/>
                <w:sz w:val="16"/>
              </w:rPr>
              <w:t>All suspected MASLD/MASH</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Number of metabolic components tracks with MASH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history</w:t>
            </w:r>
          </w:p>
        </w:tc>
        <w:tc>
          <w:tcPr>
            <w:tcW w:type="dxa" w:w="979"/>
            <w:vAlign w:val="top"/>
          </w:tcPr>
          <w:p>
            <w:pPr>
              <w:spacing w:after="40" w:before="0" w:line="259" w:lineRule="auto"/>
            </w:pPr>
            <w:r>
              <w:rPr>
                <w:rFonts w:ascii="Calibri" w:hAnsi="Calibri"/>
                <w:b w:val="0"/>
                <w:i w:val="0"/>
                <w:color w:val="212121"/>
                <w:sz w:val="16"/>
              </w:rPr>
              <w:t>Quantified weekly alcohol intake</w:t>
            </w:r>
          </w:p>
        </w:tc>
        <w:tc>
          <w:tcPr>
            <w:tcW w:type="dxa" w:w="950"/>
            <w:vAlign w:val="top"/>
          </w:tcPr>
          <w:p>
            <w:pPr>
              <w:spacing w:after="40" w:before="0" w:line="259" w:lineRule="auto"/>
            </w:pPr>
            <w:r>
              <w:rPr>
                <w:rFonts w:ascii="Calibri" w:hAnsi="Calibri"/>
                <w:b w:val="0"/>
                <w:i w:val="0"/>
                <w:color w:val="212121"/>
                <w:sz w:val="16"/>
              </w:rPr>
              <w:t>&lt;20 g/day (F); &lt;30 g/day (M)</w:t>
            </w:r>
          </w:p>
        </w:tc>
        <w:tc>
          <w:tcPr>
            <w:tcW w:type="dxa" w:w="950"/>
            <w:vAlign w:val="top"/>
          </w:tcPr>
          <w:p>
            <w:pPr>
              <w:spacing w:after="40" w:before="0" w:line="259" w:lineRule="auto"/>
            </w:pPr>
            <w:r>
              <w:rPr>
                <w:rFonts w:ascii="Calibri" w:hAnsi="Calibri"/>
                <w:b w:val="0"/>
                <w:i w:val="0"/>
                <w:color w:val="212121"/>
                <w:sz w:val="16"/>
              </w:rPr>
              <w:t>Above MASLD thresholds (MetALD/ALD range)</w:t>
            </w:r>
          </w:p>
        </w:tc>
        <w:tc>
          <w:tcPr>
            <w:tcW w:type="dxa" w:w="1036"/>
            <w:vAlign w:val="top"/>
          </w:tcPr>
          <w:p>
            <w:pPr>
              <w:spacing w:after="40" w:before="0" w:line="259" w:lineRule="auto"/>
            </w:pPr>
            <w:r>
              <w:rPr>
                <w:rFonts w:ascii="Calibri" w:hAnsi="Calibri"/>
                <w:b w:val="0"/>
                <w:i w:val="0"/>
                <w:color w:val="212121"/>
                <w:sz w:val="16"/>
              </w:rPr>
              <w:t>Distinguishes MASLD from MetALD and alcohol-associated liver disease and modifies prognosis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Use a validated tool; corroborate where possible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drug history</w:t>
            </w:r>
          </w:p>
        </w:tc>
        <w:tc>
          <w:tcPr>
            <w:tcW w:type="dxa" w:w="979"/>
            <w:vAlign w:val="top"/>
          </w:tcPr>
          <w:p>
            <w:pPr>
              <w:spacing w:after="40" w:before="0" w:line="259" w:lineRule="auto"/>
            </w:pPr>
            <w:r>
              <w:rPr>
                <w:rFonts w:ascii="Calibri" w:hAnsi="Calibri"/>
                <w:b w:val="0"/>
                <w:i w:val="0"/>
                <w:color w:val="212121"/>
                <w:sz w:val="16"/>
              </w:rPr>
              <w:t>Family fatty liver/T2DM/cirrhosis; steatogenic drugs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 or steatogenic drug use</w:t>
            </w:r>
          </w:p>
        </w:tc>
        <w:tc>
          <w:tcPr>
            <w:tcW w:type="dxa" w:w="1036"/>
            <w:vAlign w:val="top"/>
          </w:tcPr>
          <w:p>
            <w:pPr>
              <w:spacing w:after="40" w:before="0" w:line="259" w:lineRule="auto"/>
            </w:pPr>
            <w:r>
              <w:rPr>
                <w:rFonts w:ascii="Calibri" w:hAnsi="Calibri"/>
                <w:b w:val="0"/>
                <w:i w:val="0"/>
                <w:color w:val="212121"/>
                <w:sz w:val="16"/>
              </w:rPr>
              <w:t>Identifies genetic risk (e.g., PNPLA3) and drug contributors (amiodarone, methotrexate, tamoxifen, steroids)</w:t>
            </w:r>
          </w:p>
        </w:tc>
        <w:tc>
          <w:tcPr>
            <w:tcW w:type="dxa" w:w="1036"/>
            <w:vAlign w:val="top"/>
          </w:tcPr>
          <w:p>
            <w:pPr>
              <w:spacing w:after="40" w:before="0" w:line="259" w:lineRule="auto"/>
            </w:pPr>
            <w:r>
              <w:rPr>
                <w:rFonts w:ascii="Calibri" w:hAnsi="Calibri"/>
                <w:b w:val="0"/>
                <w:i w:val="0"/>
                <w:color w:val="212121"/>
                <w:sz w:val="16"/>
              </w:rPr>
              <w:t>Lean MASLD, young patients, polypharmacy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genetic drivers in lean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Anthropometry</w:t>
            </w:r>
          </w:p>
        </w:tc>
        <w:tc>
          <w:tcPr>
            <w:tcW w:type="dxa" w:w="950"/>
            <w:vAlign w:val="top"/>
          </w:tcPr>
          <w:p>
            <w:pPr>
              <w:spacing w:after="40" w:before="0" w:line="259" w:lineRule="auto"/>
            </w:pPr>
            <w:r>
              <w:rPr>
                <w:rFonts w:ascii="Calibri" w:hAnsi="Calibri"/>
                <w:b w:val="0"/>
                <w:i w:val="0"/>
                <w:color w:val="212121"/>
                <w:sz w:val="16"/>
              </w:rPr>
              <w:t>Body habitus</w:t>
            </w:r>
          </w:p>
        </w:tc>
        <w:tc>
          <w:tcPr>
            <w:tcW w:type="dxa" w:w="979"/>
            <w:vAlign w:val="top"/>
          </w:tcPr>
          <w:p>
            <w:pPr>
              <w:spacing w:after="40" w:before="0" w:line="259" w:lineRule="auto"/>
            </w:pPr>
            <w:r>
              <w:rPr>
                <w:rFonts w:ascii="Calibri" w:hAnsi="Calibri"/>
                <w:b w:val="0"/>
                <w:i w:val="0"/>
                <w:color w:val="212121"/>
                <w:sz w:val="16"/>
              </w:rPr>
              <w:t>BMI (Asian) &amp; waist circumference</w:t>
            </w:r>
          </w:p>
        </w:tc>
        <w:tc>
          <w:tcPr>
            <w:tcW w:type="dxa" w:w="950"/>
            <w:vAlign w:val="top"/>
          </w:tcPr>
          <w:p>
            <w:pPr>
              <w:spacing w:after="40" w:before="0" w:line="259" w:lineRule="auto"/>
            </w:pPr>
            <w:r>
              <w:rPr>
                <w:rFonts w:ascii="Calibri" w:hAnsi="Calibri"/>
                <w:b w:val="0"/>
                <w:i w:val="0"/>
                <w:color w:val="212121"/>
                <w:sz w:val="16"/>
              </w:rPr>
              <w:t>BMI 18.5–22.9; WC M&lt;90/F&lt;80 cm</w:t>
            </w:r>
          </w:p>
        </w:tc>
        <w:tc>
          <w:tcPr>
            <w:tcW w:type="dxa" w:w="950"/>
            <w:vAlign w:val="top"/>
          </w:tcPr>
          <w:p>
            <w:pPr>
              <w:spacing w:after="40" w:before="0" w:line="259" w:lineRule="auto"/>
            </w:pPr>
            <w:r>
              <w:rPr>
                <w:rFonts w:ascii="Calibri" w:hAnsi="Calibri"/>
                <w:b w:val="0"/>
                <w:i w:val="0"/>
                <w:color w:val="212121"/>
                <w:sz w:val="16"/>
              </w:rPr>
              <w:t>BMI ≥23 or raised waist circumference</w:t>
            </w:r>
          </w:p>
        </w:tc>
        <w:tc>
          <w:tcPr>
            <w:tcW w:type="dxa" w:w="1036"/>
            <w:vAlign w:val="top"/>
          </w:tcPr>
          <w:p>
            <w:pPr>
              <w:spacing w:after="40" w:before="0" w:line="259" w:lineRule="auto"/>
            </w:pPr>
            <w:r>
              <w:rPr>
                <w:rFonts w:ascii="Calibri" w:hAnsi="Calibri"/>
                <w:b w:val="0"/>
                <w:i w:val="0"/>
                <w:color w:val="212121"/>
                <w:sz w:val="16"/>
              </w:rPr>
              <w:t>Quantifies adiposity, the dominant modifiable driver; note lean MASLD despite normal BMI</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Normal BMI does not exclude MASH in South Asians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General &amp; abdominal examination</w:t>
            </w:r>
          </w:p>
        </w:tc>
        <w:tc>
          <w:tcPr>
            <w:tcW w:type="dxa" w:w="979"/>
            <w:vAlign w:val="top"/>
          </w:tcPr>
          <w:p>
            <w:pPr>
              <w:spacing w:after="40" w:before="0" w:line="259" w:lineRule="auto"/>
            </w:pPr>
            <w:r>
              <w:rPr>
                <w:rFonts w:ascii="Calibri" w:hAnsi="Calibri"/>
                <w:b w:val="0"/>
                <w:i w:val="0"/>
                <w:color w:val="212121"/>
                <w:sz w:val="16"/>
              </w:rPr>
              <w:t>Hepatomegaly, acanthosis nigricans, central obesity</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Enlarged liver, acanthosis, high waist</w:t>
            </w:r>
          </w:p>
        </w:tc>
        <w:tc>
          <w:tcPr>
            <w:tcW w:type="dxa" w:w="1036"/>
            <w:vAlign w:val="top"/>
          </w:tcPr>
          <w:p>
            <w:pPr>
              <w:spacing w:after="40" w:before="0" w:line="259" w:lineRule="auto"/>
            </w:pPr>
            <w:r>
              <w:rPr>
                <w:rFonts w:ascii="Calibri" w:hAnsi="Calibri"/>
                <w:b w:val="0"/>
                <w:i w:val="0"/>
                <w:color w:val="212121"/>
                <w:sz w:val="16"/>
              </w:rPr>
              <w:t>Signs of hepatic fat and insulin resistance; usually subtle</w:t>
            </w:r>
          </w:p>
        </w:tc>
        <w:tc>
          <w:tcPr>
            <w:tcW w:type="dxa" w:w="1036"/>
            <w:vAlign w:val="top"/>
          </w:tcPr>
          <w:p>
            <w:pPr>
              <w:spacing w:after="40" w:before="0" w:line="259" w:lineRule="auto"/>
            </w:pPr>
            <w:r>
              <w:rPr>
                <w:rFonts w:ascii="Calibri" w:hAnsi="Calibri"/>
                <w:b w:val="0"/>
                <w:i w:val="0"/>
                <w:color w:val="212121"/>
                <w:sz w:val="16"/>
              </w:rPr>
              <w:t>Adults with metabolic risk</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unremarkable in early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advanced liver disease</w:t>
            </w:r>
          </w:p>
        </w:tc>
        <w:tc>
          <w:tcPr>
            <w:tcW w:type="dxa" w:w="979"/>
            <w:vAlign w:val="top"/>
          </w:tcPr>
          <w:p>
            <w:pPr>
              <w:spacing w:after="40" w:before="0" w:line="259" w:lineRule="auto"/>
            </w:pPr>
            <w:r>
              <w:rPr>
                <w:rFonts w:ascii="Calibri" w:hAnsi="Calibri"/>
                <w:b w:val="0"/>
                <w:i w:val="0"/>
                <w:color w:val="212121"/>
                <w:sz w:val="16"/>
              </w:rPr>
              <w:t>Splenomegaly, spider naevi, palmar erythema, ascites, asterixis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stigmata of cirrhosis/portal hypertension</w:t>
            </w:r>
          </w:p>
        </w:tc>
        <w:tc>
          <w:tcPr>
            <w:tcW w:type="dxa" w:w="1036"/>
            <w:vAlign w:val="top"/>
          </w:tcPr>
          <w:p>
            <w:pPr>
              <w:spacing w:after="40" w:before="0" w:line="259" w:lineRule="auto"/>
            </w:pPr>
            <w:r>
              <w:rPr>
                <w:rFonts w:ascii="Calibri" w:hAnsi="Calibri"/>
                <w:b w:val="0"/>
                <w:i w:val="0"/>
                <w:color w:val="212121"/>
                <w:sz w:val="16"/>
              </w:rPr>
              <w:t>Indicate progression to cirrhosis or decompensation and prompt urgent specialist care</w:t>
            </w:r>
          </w:p>
        </w:tc>
        <w:tc>
          <w:tcPr>
            <w:tcW w:type="dxa" w:w="1036"/>
            <w:vAlign w:val="top"/>
          </w:tcPr>
          <w:p>
            <w:pPr>
              <w:spacing w:after="40" w:before="0" w:line="259" w:lineRule="auto"/>
            </w:pPr>
            <w:r>
              <w:rPr>
                <w:rFonts w:ascii="Calibri" w:hAnsi="Calibri"/>
                <w:b w:val="0"/>
                <w:i w:val="0"/>
                <w:color w:val="212121"/>
                <w:sz w:val="16"/>
              </w:rPr>
              <w:t>Long-standing MASH, high FIB-4/stiffness</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Screen these patients for varices and HCC</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No symptoms (silent disease)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people with MASH feel well and are found incidentally on abnormal LFTs or an ultrasound done for other reasons.</w:t>
            </w:r>
          </w:p>
        </w:tc>
      </w:tr>
      <w:tr>
        <w:trPr>
          <w:cantSplit/>
        </w:trPr>
        <w:tc>
          <w:tcPr>
            <w:tcW w:type="dxa" w:w="2304"/>
            <w:vAlign w:val="top"/>
          </w:tcPr>
          <w:p>
            <w:pPr>
              <w:spacing w:after="40" w:before="0" w:line="259" w:lineRule="auto"/>
            </w:pPr>
            <w:r>
              <w:rPr>
                <w:rFonts w:ascii="Calibri" w:hAnsi="Calibri"/>
                <w:b/>
                <w:i w:val="0"/>
                <w:color w:val="212121"/>
                <w:sz w:val="19"/>
              </w:rPr>
              <w:t>Fatigue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frequent, non-specific complaint that correlates poorly with histological severity.</w:t>
            </w:r>
          </w:p>
        </w:tc>
      </w:tr>
      <w:tr>
        <w:trPr>
          <w:cantSplit/>
        </w:trPr>
        <w:tc>
          <w:tcPr>
            <w:tcW w:type="dxa" w:w="2304"/>
            <w:vAlign w:val="top"/>
          </w:tcPr>
          <w:p>
            <w:pPr>
              <w:spacing w:after="40" w:before="0" w:line="259" w:lineRule="auto"/>
            </w:pPr>
            <w:r>
              <w:rPr>
                <w:rFonts w:ascii="Calibri" w:hAnsi="Calibri"/>
                <w:b/>
                <w:i w:val="0"/>
                <w:color w:val="212121"/>
                <w:sz w:val="19"/>
              </w:rPr>
              <w:t>Right-upper-quadrant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dull ache or fullness over the liver, thought to relate to hepatic fat and capsular stretch.</w:t>
            </w:r>
          </w:p>
        </w:tc>
      </w:tr>
      <w:tr>
        <w:trPr>
          <w:cantSplit/>
        </w:trPr>
        <w:tc>
          <w:tcPr>
            <w:tcW w:type="dxa" w:w="2304"/>
            <w:vAlign w:val="top"/>
          </w:tcPr>
          <w:p>
            <w:pPr>
              <w:spacing w:after="40" w:before="0" w:line="259" w:lineRule="auto"/>
            </w:pPr>
            <w:r>
              <w:rPr>
                <w:rFonts w:ascii="Calibri" w:hAnsi="Calibri"/>
                <w:b/>
                <w:i w:val="0"/>
                <w:color w:val="212121"/>
                <w:sz w:val="19"/>
              </w:rPr>
              <w:t>General malaise / reduced wellbeing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Vague ill-health, sometimes with low mood, in established disease.</w:t>
            </w:r>
          </w:p>
        </w:tc>
      </w:tr>
      <w:tr>
        <w:trPr>
          <w:cantSplit/>
        </w:trPr>
        <w:tc>
          <w:tcPr>
            <w:tcW w:type="dxa" w:w="2304"/>
            <w:vAlign w:val="top"/>
          </w:tcPr>
          <w:p>
            <w:pPr>
              <w:spacing w:after="40" w:before="0" w:line="259" w:lineRule="auto"/>
            </w:pPr>
            <w:r>
              <w:rPr>
                <w:rFonts w:ascii="Calibri" w:hAnsi="Calibri"/>
                <w:b/>
                <w:i w:val="0"/>
                <w:color w:val="212121"/>
                <w:sz w:val="19"/>
              </w:rPr>
              <w:t>Poor concentration /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Reported in MASLD and may relate to systemic inflammation and metabolic dysfunction.</w:t>
            </w:r>
          </w:p>
        </w:tc>
      </w:tr>
      <w:tr>
        <w:trPr>
          <w:cantSplit/>
        </w:trPr>
        <w:tc>
          <w:tcPr>
            <w:tcW w:type="dxa" w:w="2304"/>
            <w:vAlign w:val="top"/>
          </w:tcPr>
          <w:p>
            <w:pPr>
              <w:spacing w:after="40" w:before="0" w:line="259" w:lineRule="auto"/>
            </w:pPr>
            <w:r>
              <w:rPr>
                <w:rFonts w:ascii="Calibri" w:hAnsi="Calibri"/>
                <w:b/>
                <w:i w:val="0"/>
                <w:color w:val="212121"/>
                <w:sz w:val="19"/>
              </w:rPr>
              <w:t>Anorexia or nausea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typical as fibrosis advances toward cirrhosis.</w:t>
            </w:r>
          </w:p>
        </w:tc>
      </w:tr>
      <w:tr>
        <w:trPr>
          <w:cantSplit/>
        </w:trPr>
        <w:tc>
          <w:tcPr>
            <w:tcW w:type="dxa" w:w="2304"/>
            <w:vAlign w:val="top"/>
          </w:tcPr>
          <w:p>
            <w:pPr>
              <w:spacing w:after="40" w:before="0" w:line="259" w:lineRule="auto"/>
            </w:pPr>
            <w:r>
              <w:rPr>
                <w:rFonts w:ascii="Calibri" w:hAnsi="Calibri"/>
                <w:b/>
                <w:i w:val="0"/>
                <w:color w:val="212121"/>
                <w:sz w:val="19"/>
              </w:rPr>
              <w:t>Unintentional weight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Weight loss can occur with advancing disease; weight gain reflects the underlying metabolic state.</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cholestasis or advanced/cirrhotic disease.</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Yellowing of eyes/skin indicates significant hepatic dysfunction or decompensation.</w:t>
            </w:r>
          </w:p>
        </w:tc>
      </w:tr>
      <w:tr>
        <w:trPr>
          <w:cantSplit/>
        </w:trPr>
        <w:tc>
          <w:tcPr>
            <w:tcW w:type="dxa" w:w="2304"/>
            <w:vAlign w:val="top"/>
          </w:tcPr>
          <w:p>
            <w:pPr>
              <w:spacing w:after="40" w:before="0" w:line="259" w:lineRule="auto"/>
            </w:pPr>
            <w:r>
              <w:rPr>
                <w:rFonts w:ascii="Calibri" w:hAnsi="Calibri"/>
                <w:b/>
                <w:i w:val="0"/>
                <w:color w:val="212121"/>
                <w:sz w:val="19"/>
              </w:rPr>
              <w:t>Abdominal swelling, leg oedema or confusion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Ascites, peripheral oedema and hepatic encephalopathy signal decompensated MASH cirrhosis.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Central obesity /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dominant physical correlate of the metabolic dysfunction underlying MASH.</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smooth, sometimes mildly tender enlarged liver from fat infiltration.</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skin at the neck and axillae — a marker of insulin resistance.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Frequently coexists as part of the metabolic syndrome cluster.</w:t>
            </w:r>
          </w:p>
        </w:tc>
      </w:tr>
      <w:tr>
        <w:trPr>
          <w:cantSplit/>
        </w:trPr>
        <w:tc>
          <w:tcPr>
            <w:tcW w:type="dxa" w:w="3456"/>
            <w:vAlign w:val="top"/>
          </w:tcPr>
          <w:p>
            <w:pPr>
              <w:spacing w:after="40" w:before="0" w:line="259" w:lineRule="auto"/>
            </w:pPr>
            <w:r>
              <w:rPr>
                <w:rFonts w:ascii="Calibri" w:hAnsi="Calibri"/>
                <w:b/>
                <w:i w:val="0"/>
                <w:color w:val="212121"/>
                <w:sz w:val="19"/>
              </w:rPr>
              <w:t>Skin tags (acrochordons)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Associated with insulin resistance and metabolic syndrome.</w:t>
            </w:r>
          </w:p>
        </w:tc>
      </w:tr>
      <w:tr>
        <w:trPr>
          <w:cantSplit/>
        </w:trPr>
        <w:tc>
          <w:tcPr>
            <w:tcW w:type="dxa" w:w="3456"/>
            <w:vAlign w:val="top"/>
          </w:tcPr>
          <w:p>
            <w:pPr>
              <w:spacing w:after="40" w:before="0" w:line="259" w:lineRule="auto"/>
            </w:pPr>
            <w:r>
              <w:rPr>
                <w:rFonts w:ascii="Calibri" w:hAnsi="Calibri"/>
                <w:b/>
                <w:i w:val="0"/>
                <w:color w:val="212121"/>
                <w:sz w:val="19"/>
              </w:rPr>
              <w:t>Mild right-upper-quadrant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Inconstant tenderness over an enlarged fatty liver.</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portal hypertension from advanced fibrosis or cirrhosis.</w:t>
            </w:r>
          </w:p>
        </w:tc>
      </w:tr>
      <w:tr>
        <w:trPr>
          <w:cantSplit/>
        </w:trPr>
        <w:tc>
          <w:tcPr>
            <w:tcW w:type="dxa" w:w="3456"/>
            <w:vAlign w:val="top"/>
          </w:tcPr>
          <w:p>
            <w:pPr>
              <w:spacing w:after="40" w:before="0" w:line="259" w:lineRule="auto"/>
            </w:pPr>
            <w:r>
              <w:rPr>
                <w:rFonts w:ascii="Calibri" w:hAnsi="Calibri"/>
                <w:b/>
                <w:i w:val="0"/>
                <w:color w:val="212121"/>
                <w:sz w:val="19"/>
              </w:rPr>
              <w:t>Spider naevi / palmar erythema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Cutaneous stigmata of chronic liver disease.</w:t>
            </w:r>
          </w:p>
        </w:tc>
      </w:tr>
      <w:tr>
        <w:trPr>
          <w:cantSplit/>
        </w:trPr>
        <w:tc>
          <w:tcPr>
            <w:tcW w:type="dxa" w:w="3456"/>
            <w:vAlign w:val="top"/>
          </w:tcPr>
          <w:p>
            <w:pPr>
              <w:spacing w:after="40" w:before="0" w:line="259" w:lineRule="auto"/>
            </w:pPr>
            <w:r>
              <w:rPr>
                <w:rFonts w:ascii="Calibri" w:hAnsi="Calibri"/>
                <w:b/>
                <w:i w:val="0"/>
                <w:color w:val="212121"/>
                <w:sz w:val="19"/>
              </w:rPr>
              <w:t>Ascites, jaundice, asterixis, caput medusae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decompensated MASH cirrhosis requiring urgent specialist care.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hepatic fibrosis (stages F1–F3)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Bridging (advanced)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necro-inflammation and hepatocyte ballooning injury</w:t>
            </w:r>
          </w:p>
        </w:tc>
        <w:tc>
          <w:tcPr>
            <w:tcW w:type="dxa" w:w="2980"/>
            <w:vAlign w:val="top"/>
          </w:tcPr>
          <w:p>
            <w:pPr>
              <w:spacing w:after="40" w:before="0" w:line="259" w:lineRule="auto"/>
            </w:pPr>
            <w:r>
              <w:rPr>
                <w:rFonts w:ascii="Calibri" w:hAnsi="Calibri"/>
                <w:b w:val="0"/>
                <w:i w:val="0"/>
                <w:color w:val="212121"/>
                <w:sz w:val="19"/>
              </w:rPr>
              <w:t>Direct consequences of ongoing steatohepatitis; fibrosis stage is the strongest predictor of liver-related and overall mortality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(initially compensated)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 — which in MASH can arise even without established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 the leading cause of death in MASLD/MASH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Worsening type 2 diabetes and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w:t>
            </w:r>
          </w:p>
        </w:tc>
        <w:tc>
          <w:tcPr>
            <w:tcW w:type="dxa" w:w="2980"/>
            <w:vAlign w:val="top"/>
          </w:tcPr>
          <w:p>
            <w:pPr>
              <w:spacing w:after="40" w:before="0" w:line="259" w:lineRule="auto"/>
            </w:pPr>
            <w:r>
              <w:rPr>
                <w:rFonts w:ascii="Calibri" w:hAnsi="Calibri"/>
                <w:b w:val="0"/>
                <w:i w:val="0"/>
                <w:color w:val="212121"/>
                <w:sz w:val="19"/>
              </w:rPr>
              <w:t>Result from chronic hepatic injury and the shared metabolic milieu; cardiovascular and extrahepatic outcomes often dominate over liver events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ascites, variceal haemorrhage, hepatic encephalopathy, hepatorenal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liver disease requiring liver transplantation — MASH is a leading and rising indication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carcinoma-related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Liver-related mortality</w:t>
            </w:r>
          </w:p>
        </w:tc>
        <w:tc>
          <w:tcPr>
            <w:tcW w:type="dxa" w:w="2980"/>
            <w:vAlign w:val="top"/>
          </w:tcPr>
          <w:p>
            <w:pPr>
              <w:spacing w:after="40" w:before="0" w:line="259" w:lineRule="auto"/>
            </w:pPr>
            <w:r>
              <w:rPr>
                <w:rFonts w:ascii="Calibri" w:hAnsi="Calibri"/>
                <w:b w:val="0"/>
                <w:i w:val="0"/>
                <w:color w:val="212121"/>
                <w:sz w:val="19"/>
              </w:rPr>
              <w:t>Irreversible, life-threatening outcomes of long-standing MASH cirrhosis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Insulin resistance is shared; diabetes both promotes MASH and is worsened by it, and it accelerates fibrosis and HCC risk, altering screening and treatment.</w:t>
            </w:r>
          </w:p>
          <w:p>
            <w:pPr>
              <w:spacing w:after="40" w:before="0" w:line="259" w:lineRule="auto"/>
            </w:pPr>
            <w:r>
              <w:rPr>
                <w:rFonts w:ascii="Calibri" w:hAnsi="Calibri"/>
                <w:b/>
                <w:i w:val="0"/>
                <w:color w:val="212121"/>
                <w:sz w:val="19"/>
              </w:rPr>
              <w:t>Up to ~65%</w:t>
            </w:r>
          </w:p>
        </w:tc>
      </w:tr>
      <w:tr>
        <w:trPr>
          <w:cantSplit/>
        </w:trPr>
        <w:tc>
          <w:tcPr>
            <w:tcW w:type="dxa" w:w="2232"/>
            <w:vAlign w:val="top"/>
          </w:tcPr>
          <w:p>
            <w:pPr>
              <w:spacing w:after="40" w:before="0" w:line="259" w:lineRule="auto"/>
            </w:pPr>
            <w:r>
              <w:rPr>
                <w:rFonts w:ascii="Calibri" w:hAnsi="Calibri"/>
                <w:b/>
                <w:i w:val="0"/>
                <w:color w:val="212121"/>
                <w:sz w:val="19"/>
              </w:rPr>
              <w:t>Obesity / central adiposity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Excess visceral fat supplies the lipotoxic and inflammatory drive for steatohepatitis; weight reduction is the cornerstone of treatment.</w:t>
            </w:r>
          </w:p>
          <w:p>
            <w:pPr>
              <w:spacing w:after="40" w:before="0" w:line="259" w:lineRule="auto"/>
            </w:pPr>
            <w:r>
              <w:rPr>
                <w:rFonts w:ascii="Calibri" w:hAnsi="Calibri"/>
                <w:b/>
                <w:i w:val="0"/>
                <w:color w:val="212121"/>
                <w:sz w:val="19"/>
              </w:rPr>
              <w:t>Up to ~80%</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MASH is widely regarded as the hepatic manifestation of the metabolic syndrome; the two share the same underlying pathophysiology.</w:t>
            </w:r>
          </w:p>
        </w:tc>
      </w:tr>
      <w:tr>
        <w:trPr>
          <w:cantSplit/>
        </w:trPr>
        <w:tc>
          <w:tcPr>
            <w:tcW w:type="dxa" w:w="2232"/>
            <w:vAlign w:val="top"/>
          </w:tcPr>
          <w:p>
            <w:pPr>
              <w:spacing w:after="40" w:before="0" w:line="259" w:lineRule="auto"/>
            </w:pPr>
            <w:r>
              <w:rPr>
                <w:rFonts w:ascii="Calibri" w:hAnsi="Calibri"/>
                <w:b/>
                <w:i w:val="0"/>
                <w:color w:val="212121"/>
                <w:sz w:val="19"/>
              </w:rPr>
              <w:t>Atherogenic dyslipidaemia (high TG, low HDL)</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Reflects and aggravates hepatic lipid overload; its presence supports the MASLD label and adds cardiovascular risk that must be managed.</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component of the metabolic cluster driving MASH; frequently coexists and compounds cardiovascular and renal risk.</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Atherosclerotic cardiovascular disease is the leading cause of death in people with MASLD/MASH and shares the insulin-resistant, inflammatory substrate.</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MASH is independently associated with incident CKD through shared metabolic and inflammatory mechanisms, influencing drug choice and monitoring.</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intermittent hypoxia worsens insulin resistance and hepatic inflammation, promoting progression of MASH; treating OSA is part of holistic management.</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insulin resistance and hyperandrogenism, raising MASH prevalence in relatively young women and prompting liver screening.</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increased hepatic fat and MASH via effects on lipid and energy metabolism; identifying and treating it is part of the metabolic work-up.</w:t>
            </w:r>
          </w:p>
        </w:tc>
      </w:tr>
      <w:tr>
        <w:trPr>
          <w:cantSplit/>
        </w:trPr>
        <w:tc>
          <w:tcPr>
            <w:tcW w:type="dxa" w:w="2232"/>
            <w:vAlign w:val="top"/>
          </w:tcPr>
          <w:p>
            <w:pPr>
              <w:spacing w:after="40" w:before="0" w:line="259" w:lineRule="auto"/>
            </w:pPr>
            <w:r>
              <w:rPr>
                <w:rFonts w:ascii="Calibri" w:hAnsi="Calibri"/>
                <w:b/>
                <w:i w:val="0"/>
                <w:color w:val="212121"/>
                <w:sz w:val="19"/>
              </w:rPr>
              <w:t>Hepatocellular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as a consequence of MASH-related fibrosis/cirrhosis (and occasionally without cirrhosis), mandating surveillance in advanced disease.</w:t>
            </w:r>
          </w:p>
        </w:tc>
      </w:tr>
      <w:tr>
        <w:trPr>
          <w:cantSplit/>
        </w:trPr>
        <w:tc>
          <w:tcPr>
            <w:tcW w:type="dxa" w:w="2232"/>
            <w:vAlign w:val="top"/>
          </w:tcPr>
          <w:p>
            <w:pPr>
              <w:spacing w:after="40" w:before="0" w:line="259" w:lineRule="auto"/>
            </w:pPr>
            <w:r>
              <w:rPr>
                <w:rFonts w:ascii="Calibri" w:hAnsi="Calibri"/>
                <w:b/>
                <w:i w:val="0"/>
                <w:color w:val="212121"/>
                <w:sz w:val="19"/>
              </w:rPr>
              <w:t>Sarcopenia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Muscle loss and MASH reinforce each other through insulin resistance and inactivity, worsening prognosis in advanced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MASH is usually silent yet can progress to cirrhosis and liver cancer, so screening despite feeling well is worthwhile.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obesity, type 2 diabetes, a large waist, high triglycerides/low HDL or a family history should ask about fatty-liver assessment (LFTs plus a FIB-4 score).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lean, normal-weight South Asians can still have MASH — a normal body weight is not reassuring on its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hepatotoxins: limit or avoid alcohol, and be cautious with unprescribed painkillers and unregulated herbal or 'liver-tonic'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review of weight, blood sugar, blood pressure and lipids, since controlling these protects both the liver and the heart.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Lean South Asians with metabolic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 of affected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gradual 7–10% loss of body weight, which can resolve steatohepatitis and even regress fibrosis; ≥5% already reduces liver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150–300 minutes/week of moderate aerobic activity (brisk walking, cycling, swimming).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on 2–3 days/week to preserve muscle and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and include short post-meal walks to blunt glucose and lipid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Sustain activity long-term — exercise lowers liver fat even when weight loss is modest.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MASH/MASLD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office/IT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Create a modest calorie deficit to drive 7–10% weight loss, ideally with dietitian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Mediterranean-style, low-glycaemic pattern: vegetables, pulses, whole grains and millets (ragi/jowar/bajra), nuts, and healthy oils.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sugar-sweetened beverages, fruit juices, sweets and other added-fructose sources, which directly drive hepatic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portions of polished white rice and refined wheat and replace with whole grains and higher-fibre options.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fried foods, bakery items, processed meats and ultra-processed snacks high in saturated and trans fats.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2–3 cups/day of unsweetened coffee, which is associated with less fibrosis.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MASH/MASLD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soft-drink/sweet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type 2 diabetes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or strictly minimise alcohol — even moderate intake accelerates fibrosis when metabolic dysfunction is present (MetALD).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abstinence once significant fibrosis (≥F2) or cirrhosis is present, because of cirrhosis and liver-cancer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honestly for intake so that MASLD, MetALD and alcohol-associated disease are correctly distinguished.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MASH/MASLD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drink and have metabolic risk (MetALD)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advanced fibrosis or cirrhosis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insulin resistance, fibrosis progression and, above all, the dominant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and pharmacotherapy) and offer help at every visit.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MASH/MASLD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cardiovascular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daytime sleepiness), which worsens insulin resistance and MASH.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to support metabolic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MASH/MASLD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OSA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anxiety and chronic stress, which undermine diet, activity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strategies (physical activity, mindfulness, social support) that also aid weight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the diagnosis constructively — MASH is often reversible with sustained lifestyle change — to support motivation.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struggling with lifestyle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low mood or high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people with type 2 diabetes and obesity are risk-stratified for fibrosis (FIB-4, then elastography) and referred appropriately.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treatment of diabetes, dyslipidaemia and hypertension, which benefits both liver and cardiovascular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with specialists the newer options for at-risk (≥F2–F3) MASH, including diabetes/weight therapies (e.g., GLP-1 receptor agonists, pioglitazone) and approved MASH-specific pharmacotherapy where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advanced fibrosis or cirrhosis, arrange hepatocellular-carcinoma surveillance and screening for varices.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vaccination (hepatitis A/B) and avoidance of additional liver insults.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type 2 diabetes and MASLD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MASH (F2–F3)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MASH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on multiple metabolic medications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5677499/" TargetMode="External"/><Relationship Id="rId10" Type="http://schemas.openxmlformats.org/officeDocument/2006/relationships/hyperlink" Target="https://pubmed.ncbi.nlm.nih.gov/30179269/" TargetMode="External"/><Relationship Id="rId11" Type="http://schemas.openxmlformats.org/officeDocument/2006/relationships/hyperlink" Target="https://en.wikipedia.org/wiki/Non-alcoholic_fatty_liver_disease" TargetMode="External"/><Relationship Id="rId12" Type="http://schemas.openxmlformats.org/officeDocument/2006/relationships/hyperlink" Target="https://doi.org/10.1016/j.jceh.2021.11.010" TargetMode="External"/><Relationship Id="rId13" Type="http://schemas.openxmlformats.org/officeDocument/2006/relationships/hyperlink" Target="https://doi.org/10.1002/hep.29367" TargetMode="External"/><Relationship Id="rId14" Type="http://schemas.openxmlformats.org/officeDocument/2006/relationships/hyperlink" Target="https://doi.org/10.1097/HEP.0000000000000520" TargetMode="External"/><Relationship Id="rId15" Type="http://schemas.openxmlformats.org/officeDocument/2006/relationships/hyperlink" Target="https://doi.org/10.1038/nrgastro.2017.109" TargetMode="External"/><Relationship Id="rId16" Type="http://schemas.openxmlformats.org/officeDocument/2006/relationships/hyperlink" Target="https://pubmed.ncbi.nlm.nih.gov/37491159/" TargetMode="External"/><Relationship Id="rId17" Type="http://schemas.openxmlformats.org/officeDocument/2006/relationships/hyperlink" Target="https://pubmed.ncbi.nlm.nih.gov/39803023/" TargetMode="External"/><Relationship Id="rId18" Type="http://schemas.openxmlformats.org/officeDocument/2006/relationships/hyperlink" Target="https://pubmed.ncbi.nlm.nih.gov/36400097/" TargetMode="External"/><Relationship Id="rId19" Type="http://schemas.openxmlformats.org/officeDocument/2006/relationships/hyperlink" Target="https://www.niddk.nih.gov/health-information/liver-disease/nafld-nash/definition-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