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Hepatic Encephalopathy</w:t>
      </w:r>
    </w:p>
    <w:p>
      <w:pPr>
        <w:spacing w:before="0" w:after="160"/>
      </w:pPr>
      <w:r>
        <w:rPr>
          <w:rFonts w:ascii="Calibri" w:hAnsi="Calibri"/>
          <w:b/>
          <w:i w:val="0"/>
          <w:color w:val="212121"/>
          <w:sz w:val="22"/>
        </w:rPr>
        <w:t xml:space="preserve">AKA </w:t>
      </w:r>
      <w:r>
        <w:rPr>
          <w:rFonts w:ascii="Calibri" w:hAnsi="Calibri"/>
          <w:b w:val="0"/>
          <w:i w:val="0"/>
          <w:color w:val="212121"/>
          <w:sz w:val="22"/>
        </w:rPr>
        <w:t>i.e., Portosystemic encephalopathy (PSE), Portal-systemic encephalopathy, Hepatic coma, Liver-related brain dysfunction; the subtle form is called Minimal / Covert hepatic encephalopathy (MHE / CHE)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Hepatic encephalopathy (HE) is a reversible, often recurrent neuropsychiatric syndrome that develops when advanced liver dysfunction and/or portosystemic shunting allow gut-derived neurotoxins — chiefly ammonia — to reach the brain, producing a spectrum of cognitive, psychiatric and motor disturbances. It ranges from minimal (covert) HE, detectable only on psychometric testing, through overt confusion, disorientation and asterixis, to hepatic coma. In India it most often complicates cirrhosis (Type C), and each overt episode signals hepatic decompensation with a poor prognosis unless the underlying liver disease and the precipitating factor are corrected.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 is one of the commonest reasons for hospital admission in Indian patients with cirrhosis. In the nationwide multicentre PREDICT study of 1,114 cirrhotics across 20 Indian centres, minimal (covert) HE was detected in 59.7%; other Indian cohorts report a range of 30–84%. Roughly one-third to nearly half of all cirrhotic patients eventually experience an episode of overt HE. With cirrhosis and chronic liver disease now among the leading causes of death in India — driven by rising alcohol use, viral hepatitis and non-alcoholic fatty liver disease — the HE burden is large and growing.</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 is primarily a clinical diagnosis of exclusion in a patient with liver disease or portosystemic shunting, supported by grading of the mental state and by dedicated tests for the covert form: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New-onset altered mental status, cognitive slowing or neuropsychiatric change in a patient with cirrhosis, acute liver failure or a portosystemic shunt, after excluding other causes (hypoglycaemia, intracranial event, sepsis, sedative or alcohol intoxication/withdrawal, Wernicke's encephalopathy, uraemia);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by the West Haven criteria — Grade 0 (minimal), I (short attention span, altered sleep, mild inattention), II (lethargy, disorientation to time, obvious asterixis, inappropriate behaviour), III (somnolence to semi-stupor, gross disorientation), IV (coma); overt HE = Grade II–IV;</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Covert HE (minimal HE plus Grade I) requires abnormal psychometric or neurophysiological testing — the Psychometric Hepatic Encephalopathy Score (PHES, abnormal ≤ −4 to −5), the Inhibitory Control / EncephalApp Stroop test, or Critical Flicker Frequency &lt; 39 Hz;</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raised venous ammonia supports the diagnosis but is neither necessary nor sufficient; a normal ammonia level in an encephalopathic cirrhotic should prompt a search for an alternative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signs — asterixis (flapping tremor) and fetor hepaticus — together with an active search for a precipitant (infection/SBP, GI bleeding, constipation, electrolyte disturbance, dehydration, azotaemia, sedatives, lactulose non-adherence);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tests to exclude mimics and identify precipitants: capillary glucose, serum electrolytes and creatinine, a septic screen including diagnostic ascitic tap with polymorph count, and CT/MRI brain or EEG (triphasic waves) when the picture is atypical.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Hepatic encephalopathy is classified along four axes that are used together in the ISHEN/World Gastroenterology Organisation framework:</w:t>
      </w:r>
    </w:p>
    <w:p>
      <w:pPr>
        <w:spacing w:before="0" w:after="80"/>
      </w:pPr>
      <w:r>
        <w:rPr>
          <w:rFonts w:ascii="Calibri" w:hAnsi="Calibri"/>
          <w:b w:val="0"/>
          <w:i w:val="0"/>
          <w:color w:val="212121"/>
          <w:sz w:val="21"/>
        </w:rPr>
        <w:t>(1) By underlying cause — Type A (associated with Acute liver failure, e.g., fulminant viral hepatitis E/A/B or drug-induced injury, and carrying a risk of cerebral oedema), Type B (due to portosystemic Bypass/shunting without intrinsic hepatocellular disease), and Type C (associated with Cirrhosis and portal hypertension — by far the commonest in India);</w:t>
      </w:r>
    </w:p>
    <w:p>
      <w:pPr>
        <w:spacing w:before="0" w:after="80"/>
      </w:pPr>
      <w:r>
        <w:rPr>
          <w:rFonts w:ascii="Calibri" w:hAnsi="Calibri"/>
          <w:b w:val="0"/>
          <w:i w:val="0"/>
          <w:color w:val="212121"/>
          <w:sz w:val="21"/>
        </w:rPr>
        <w:t>(2) By severity — the West Haven criteria (Grade 0–IV), with the ISHEN classification grouping them into Covert HE (minimal HE and Grade I) and Overt HE (Grade II–IV);</w:t>
      </w:r>
    </w:p>
    <w:p>
      <w:pPr>
        <w:spacing w:before="0" w:after="80"/>
      </w:pPr>
      <w:r>
        <w:rPr>
          <w:rFonts w:ascii="Calibri" w:hAnsi="Calibri"/>
          <w:b w:val="0"/>
          <w:i w:val="0"/>
          <w:color w:val="212121"/>
          <w:sz w:val="21"/>
        </w:rPr>
        <w:t>(3) By time course — Episodic, Recurrent (two or more episodes within 6 months) and Persistent (a pattern of behavioural change that is always present, punctuated by relapses of overt HE);</w:t>
      </w:r>
    </w:p>
    <w:p>
      <w:pPr>
        <w:spacing w:before="0" w:after="80"/>
      </w:pPr>
      <w:r>
        <w:rPr>
          <w:rFonts w:ascii="Calibri" w:hAnsi="Calibri"/>
          <w:b w:val="0"/>
          <w:i w:val="0"/>
          <w:color w:val="212121"/>
          <w:sz w:val="21"/>
        </w:rPr>
        <w:t>(4) By precipitation — Precipitated (a specific trigger identified, e.g., infection or GI bleeding, which accounts for the majority of Type C episodes) versus Spontaneous (non-precipitated).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Cirrhosis and portal hypertension: The dominant substrate (Type C). Loss of hepatocellular mass together with portosystemic shunting lets gut-derived ammonia bypass hepatic detoxification. In India, alcohol-related, viral and NAFLD-related cirrhosis predominate.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Portosystemic shunting (Type B): Large spontaneous shunts, surgical shunts or a transjugular intrahepatic portosystemic shunt (TIPS) divert portal blood past the liver, precipitating HE even when synthetic function is relatively preserved.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Acute liver failure (Type A): Fulminant hepatitis (viral hepatitis E/A/B, or drug-induced injury including anti-tubercular drugs and paracetamol) causes rapid hepatocyte loss, hyperammonaemia and cerebral oedema with raised intracranial pressure.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Hyperammonaemia and gut nitrogen load: Ammonia generated by urease-producing colonic bacteria and from glutamine metabolism accumulates and causes astrocyte swelling (osmotic effect of glutamine) with low-grade cerebral oedema; a high-protein meal, GI bleeding or constipation increases the nitrogen load.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Precipitating factors: In an already decompensated liver, infection (especially spontaneous bacterial peritonitis), gastrointestinal bleeding, constipation, electrolyte disturbance (hypokalaemia, hyponatraemia), dehydration/over-diuresis, azotaemia, sedatives/benzodiazepines and lactulose non-adherence tip the patient into overt HE.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Sarcopenia and malnutrition: Skeletal muscle is a major site of extra-hepatic ammonia disposal; the muscle wasting that is common in Indian cirrhotics reduces this buffer and both predisposes to and worsens HE.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Alcohol: The leading driver of cirrhosis in India; heavy or binge drinking is directly neurotoxic, worsens nutrition and frequently precipitates decompensation.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(middle-aged)</w:t>
            </w:r>
          </w:p>
        </w:tc>
        <w:tc>
          <w:tcPr>
            <w:tcW w:type="dxa" w:w="4276"/>
            <w:vAlign w:val="top"/>
          </w:tcPr>
          <w:p>
            <w:pPr>
              <w:spacing w:after="60" w:line="259" w:lineRule="auto"/>
            </w:pPr>
            <w:r>
              <w:rPr>
                <w:rFonts w:ascii="Calibri" w:hAnsi="Calibri"/>
                <w:b w:val="0"/>
                <w:i w:val="0"/>
                <w:color w:val="212121"/>
                <w:sz w:val="19"/>
              </w:rPr>
              <w:t>Cumulative alcohol, viral and metabolic liver injury culminates in cirrhotic decompensation in mid-life, when the liver can no longer clear gut-derived ammonia and portosystemic shunting develops.</w:t>
            </w:r>
          </w:p>
          <w:p>
            <w:pPr>
              <w:spacing w:after="40" w:before="60" w:line="259" w:lineRule="auto"/>
            </w:pPr>
            <w:r>
              <w:rPr>
                <w:rFonts w:ascii="Calibri" w:hAnsi="Calibri"/>
                <w:b w:val="0"/>
                <w:i w:val="0"/>
                <w:color w:val="212121"/>
                <w:sz w:val="19"/>
              </w:rPr>
              <w:t>In the nationwide Indian PREDICT study the mean age of cirrhotics with minimal HE was 49.5 years.</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#cirrhosis  #ammonia  #midlife  #decompensation  #covertHE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The ageing brain is more vulnerable to ammonia; polypharmacy (sedatives, diuretics), constipation, dehydration and sarcopenia are commoner, so episodes are more frequent, of higher grade and slower to recover.</w:t>
            </w:r>
          </w:p>
          <w:p>
            <w:pPr>
              <w:spacing w:after="40" w:before="60" w:line="259" w:lineRule="auto"/>
            </w:pPr>
            <w:r>
              <w:rPr>
                <w:rFonts w:ascii="Calibri" w:hAnsi="Calibri"/>
                <w:b w:val="0"/>
                <w:i w:val="0"/>
                <w:color w:val="212121"/>
                <w:sz w:val="19"/>
              </w:rPr>
              <w:t>Older cirrhotics more often present with higher-grade overt HE and have poorer recovery.</w:t>
            </w:r>
          </w:p>
          <w:p>
            <w:pPr>
              <w:spacing w:before="60" w:after="40"/>
            </w:pPr>
            <w:r>
              <w:rPr>
                <w:rFonts w:ascii="Calibri" w:hAnsi="Calibri"/>
                <w:b w:val="0"/>
                <w:i w:val="0"/>
                <w:color w:val="5A5A5A"/>
                <w:sz w:val="18"/>
              </w:rPr>
              <w:t>#elderly  #polypharmacy  #sarcopenia  #sedatives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Alcohol-related and viral cirrhosis are far commoner in Indian men, so male patients dominate HE cohorts.</w:t>
            </w:r>
          </w:p>
          <w:p>
            <w:pPr>
              <w:spacing w:after="40" w:before="60" w:line="259" w:lineRule="auto"/>
            </w:pPr>
            <w:r>
              <w:rPr>
                <w:rFonts w:ascii="Calibri" w:hAnsi="Calibri"/>
                <w:b w:val="0"/>
                <w:i w:val="0"/>
                <w:color w:val="212121"/>
                <w:sz w:val="19"/>
              </w:rPr>
              <w:t>81% of cirrhotics in the Indian PREDICT MHE study were male.</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#male  #alcohol  #cirrhosis  #genderskew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rural patients</w:t>
            </w:r>
          </w:p>
        </w:tc>
        <w:tc>
          <w:tcPr>
            <w:tcW w:type="dxa" w:w="4276"/>
            <w:vAlign w:val="top"/>
          </w:tcPr>
          <w:p>
            <w:pPr>
              <w:spacing w:after="60" w:line="259" w:lineRule="auto"/>
            </w:pPr>
            <w:r>
              <w:rPr>
                <w:rFonts w:ascii="Calibri" w:hAnsi="Calibri"/>
                <w:b w:val="0"/>
                <w:i w:val="0"/>
                <w:color w:val="212121"/>
                <w:sz w:val="19"/>
              </w:rPr>
              <w:t>Late presentation, untreated hepatitis B/C, undiagnosed minimal HE and poor access to lactulose, rifaximin and specialist follow-up increase both the incidence and the severity of HE.</w:t>
            </w:r>
          </w:p>
          <w:p>
            <w:pPr>
              <w:spacing w:after="40" w:before="60" w:line="259" w:lineRule="auto"/>
            </w:pPr>
            <w:r>
              <w:rPr>
                <w:rFonts w:ascii="Calibri" w:hAnsi="Calibri"/>
                <w:b w:val="0"/>
                <w:i w:val="0"/>
                <w:color w:val="212121"/>
                <w:sz w:val="19"/>
              </w:rPr>
              <w:t>Only 26.9% of Indian cirrhotics in PREDICT were on any ammonia-lowering prophylaxis.</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#access  #ruralhealth  #latepresentation  #prophylaxisgap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Alcohol-belt &amp; hepatitis-endemic states</w:t>
            </w:r>
          </w:p>
        </w:tc>
        <w:tc>
          <w:tcPr>
            <w:tcW w:type="dxa" w:w="4276"/>
            <w:vAlign w:val="top"/>
          </w:tcPr>
          <w:p>
            <w:pPr>
              <w:spacing w:after="60" w:line="259" w:lineRule="auto"/>
            </w:pPr>
            <w:r>
              <w:rPr>
                <w:rFonts w:ascii="Calibri" w:hAnsi="Calibri"/>
                <w:b w:val="0"/>
                <w:i w:val="0"/>
                <w:color w:val="212121"/>
                <w:sz w:val="19"/>
              </w:rPr>
              <w:t>Regions and communities with heavy alcohol use and endemic hepatitis B/C carry the greatest cirrhosis burden and therefore the greatest HE risk.</w:t>
            </w:r>
          </w:p>
          <w:p>
            <w:pPr>
              <w:spacing w:after="40" w:before="60" w:line="259" w:lineRule="auto"/>
            </w:pPr>
            <w:r>
              <w:rPr>
                <w:rFonts w:ascii="Calibri" w:hAnsi="Calibri"/>
                <w:b w:val="0"/>
                <w:i w:val="0"/>
                <w:color w:val="212121"/>
                <w:sz w:val="19"/>
              </w:rPr>
              <w:t>Alcohol was the leading cause of cirrhosis (43.27%), followed by viral causes (21.45%), in PREDICT.</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#alcoholbelt  #hepatitisB  #hepatitisC  #regionalburden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 endemic exposure</w:t>
            </w:r>
          </w:p>
        </w:tc>
        <w:tc>
          <w:tcPr>
            <w:tcW w:type="dxa" w:w="2160"/>
            <w:vAlign w:val="top"/>
          </w:tcPr>
          <w:p>
            <w:pPr>
              <w:spacing w:after="40" w:before="0" w:line="259" w:lineRule="auto"/>
            </w:pPr>
            <w:r>
              <w:rPr>
                <w:rFonts w:ascii="Calibri" w:hAnsi="Calibri"/>
                <w:b w:val="0"/>
                <w:i w:val="0"/>
                <w:color w:val="212121"/>
                <w:sz w:val="19"/>
              </w:rPr>
              <w:t>Areas with poor sanitation &amp; hepatitis E exposure</w:t>
            </w:r>
          </w:p>
        </w:tc>
        <w:tc>
          <w:tcPr>
            <w:tcW w:type="dxa" w:w="4276"/>
            <w:vAlign w:val="top"/>
          </w:tcPr>
          <w:p>
            <w:pPr>
              <w:spacing w:after="60" w:line="259" w:lineRule="auto"/>
            </w:pPr>
            <w:r>
              <w:rPr>
                <w:rFonts w:ascii="Calibri" w:hAnsi="Calibri"/>
                <w:b w:val="0"/>
                <w:i w:val="0"/>
                <w:color w:val="212121"/>
                <w:sz w:val="19"/>
              </w:rPr>
              <w:t>Faeco-oral hepatitis E is endemic in parts of India and can cause acute liver failure (Type A HE) or acute-on-chronic decompensation, with a particularly severe course in pregnancy.</w:t>
            </w:r>
          </w:p>
          <w:p>
            <w:pPr>
              <w:spacing w:after="40" w:before="60" w:line="259" w:lineRule="auto"/>
            </w:pPr>
            <w:r>
              <w:rPr>
                <w:rFonts w:ascii="Calibri" w:hAnsi="Calibri"/>
                <w:b w:val="0"/>
                <w:i w:val="0"/>
                <w:color w:val="212121"/>
                <w:sz w:val="19"/>
              </w:rPr>
              <w:t>Hepatitis E is a recognised cause of acute liver failure and acute-on-chronic decompensation in India.</w:t>
            </w:r>
          </w:p>
          <w:p>
            <w:pPr>
              <w:spacing w:after="40" w:line="252" w:lineRule="auto"/>
            </w:pPr>
            <w:hyperlink r:id="rId10">
              <w:r>
                <w:rPr>
                  <w:rFonts w:ascii="Calibri" w:hAnsi="Calibri" w:cs="Calibri"/>
                  <w:sz w:val="18"/>
                  <w:color w:val="1155CC"/>
                  <w:u w:val="single"/>
                </w:rPr>
                <w:t xml:space="preserve">Mukherjee 2017, CLD in India multicentric (PMID 29073197)</w:t>
              </w:r>
            </w:hyperlink>
          </w:p>
          <w:p>
            <w:pPr>
              <w:spacing w:before="60" w:after="40"/>
            </w:pPr>
            <w:r>
              <w:rPr>
                <w:rFonts w:ascii="Calibri" w:hAnsi="Calibri"/>
                <w:b w:val="0"/>
                <w:i w:val="0"/>
                <w:color w:val="5A5A5A"/>
                <w:sz w:val="18"/>
              </w:rPr>
              <w:t>#hepatitisE  #ALF  #sanitation  #pregnancy  #acuteonchronic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Alcohol is the leading cause of cirrhosis in India and is directly neurotoxic; continued drinking and binges precipitate decompensation and HE and blunt recovery.</w:t>
            </w:r>
          </w:p>
          <w:p>
            <w:pPr>
              <w:spacing w:after="40" w:before="60" w:line="259" w:lineRule="auto"/>
            </w:pPr>
            <w:r>
              <w:rPr>
                <w:rFonts w:ascii="Calibri" w:hAnsi="Calibri"/>
                <w:b w:val="0"/>
                <w:i w:val="0"/>
                <w:color w:val="212121"/>
                <w:sz w:val="19"/>
              </w:rPr>
              <w:t>Alcohol accounted for 43.27% of underlying cirrhosis in the Indian PREDICT cohort.</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#alcohol  #neurotoxic  #decompensation  #abstinence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frailty</w:t>
            </w:r>
          </w:p>
        </w:tc>
        <w:tc>
          <w:tcPr>
            <w:tcW w:type="dxa" w:w="2160"/>
            <w:vAlign w:val="top"/>
          </w:tcPr>
          <w:p>
            <w:pPr>
              <w:spacing w:after="40" w:before="0" w:line="259" w:lineRule="auto"/>
            </w:pPr>
            <w:r>
              <w:rPr>
                <w:rFonts w:ascii="Calibri" w:hAnsi="Calibri"/>
                <w:b w:val="0"/>
                <w:i w:val="0"/>
                <w:color w:val="212121"/>
                <w:sz w:val="19"/>
              </w:rPr>
              <w:t>Sarcopenic, inactive cirrhotics</w:t>
            </w:r>
          </w:p>
        </w:tc>
        <w:tc>
          <w:tcPr>
            <w:tcW w:type="dxa" w:w="4276"/>
            <w:vAlign w:val="top"/>
          </w:tcPr>
          <w:p>
            <w:pPr>
              <w:spacing w:after="60" w:line="259" w:lineRule="auto"/>
            </w:pPr>
            <w:r>
              <w:rPr>
                <w:rFonts w:ascii="Calibri" w:hAnsi="Calibri"/>
                <w:b w:val="0"/>
                <w:i w:val="0"/>
                <w:color w:val="212121"/>
                <w:sz w:val="19"/>
              </w:rPr>
              <w:t>Skeletal muscle clears a large share of ammonia; physical inactivity and muscle wasting shrink this buffer, so frail sarcopenic patients develop HE more readily and recover slowly.</w:t>
            </w:r>
          </w:p>
          <w:p>
            <w:pPr>
              <w:spacing w:after="40" w:before="60" w:line="259" w:lineRule="auto"/>
            </w:pPr>
            <w:r>
              <w:rPr>
                <w:rFonts w:ascii="Calibri" w:hAnsi="Calibri"/>
                <w:b w:val="0"/>
                <w:i w:val="0"/>
                <w:color w:val="212121"/>
                <w:sz w:val="19"/>
              </w:rPr>
              <w:t>Low muscle mass (sarcopenia) is an independent predictor of HE and mortality in cirrhosis.</w:t>
            </w:r>
          </w:p>
          <w:p>
            <w:pPr>
              <w:spacing w:before="60" w:after="40"/>
            </w:pPr>
            <w:r>
              <w:rPr>
                <w:rFonts w:ascii="Calibri" w:hAnsi="Calibri"/>
                <w:b w:val="0"/>
                <w:i w:val="0"/>
                <w:color w:val="5A5A5A"/>
                <w:sz w:val="18"/>
              </w:rPr>
              <w:t>#sarcopenia  #frailty  #musclebuffer  #inactivity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adds vascular and oxidative injury to the diseased liver and is independently associated with covert HE in Indian cirrhotics.</w:t>
            </w:r>
          </w:p>
          <w:p>
            <w:pPr>
              <w:spacing w:after="40" w:before="60" w:line="259" w:lineRule="auto"/>
            </w:pPr>
            <w:r>
              <w:rPr>
                <w:rFonts w:ascii="Calibri" w:hAnsi="Calibri"/>
                <w:b w:val="0"/>
                <w:i w:val="0"/>
                <w:color w:val="212121"/>
                <w:sz w:val="19"/>
              </w:rPr>
              <w:t>Smoking was independently associated with minimal HE on multivariable analysis in PREDICT.</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#smoking  #oxidativestress  #covertHE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Bowel habit</w:t>
            </w:r>
          </w:p>
        </w:tc>
        <w:tc>
          <w:tcPr>
            <w:tcW w:type="dxa" w:w="2160"/>
            <w:vAlign w:val="top"/>
          </w:tcPr>
          <w:p>
            <w:pPr>
              <w:spacing w:after="40" w:before="0" w:line="259" w:lineRule="auto"/>
            </w:pPr>
            <w:r>
              <w:rPr>
                <w:rFonts w:ascii="Calibri" w:hAnsi="Calibri"/>
                <w:b w:val="0"/>
                <w:i w:val="0"/>
                <w:color w:val="212121"/>
                <w:sz w:val="19"/>
              </w:rPr>
              <w:t>Patients with chronic constipation</w:t>
            </w:r>
          </w:p>
        </w:tc>
        <w:tc>
          <w:tcPr>
            <w:tcW w:type="dxa" w:w="4276"/>
            <w:vAlign w:val="top"/>
          </w:tcPr>
          <w:p>
            <w:pPr>
              <w:spacing w:after="60" w:line="259" w:lineRule="auto"/>
            </w:pPr>
            <w:r>
              <w:rPr>
                <w:rFonts w:ascii="Calibri" w:hAnsi="Calibri"/>
                <w:b w:val="0"/>
                <w:i w:val="0"/>
                <w:color w:val="212121"/>
                <w:sz w:val="19"/>
              </w:rPr>
              <w:t>Slow colonic transit prolongs bacterial ammonia production and absorption; constipation is one of the commonest triggers of overt HE and a key target of lactulose therapy.</w:t>
            </w:r>
          </w:p>
          <w:p>
            <w:pPr>
              <w:spacing w:after="40" w:before="60" w:line="259" w:lineRule="auto"/>
            </w:pPr>
            <w:r>
              <w:rPr>
                <w:rFonts w:ascii="Calibri" w:hAnsi="Calibri"/>
                <w:b w:val="0"/>
                <w:i w:val="0"/>
                <w:color w:val="212121"/>
                <w:sz w:val="19"/>
              </w:rPr>
              <w:t>Constipation precipitated HE in 33.3% of admitted patients in a South Asian cohort.</w:t>
            </w:r>
          </w:p>
          <w:p>
            <w:pPr>
              <w:spacing w:after="40" w:line="252" w:lineRule="auto"/>
            </w:pPr>
            <w:hyperlink r:id="rId11">
              <w:r>
                <w:rPr>
                  <w:rFonts w:ascii="Calibri" w:hAnsi="Calibri" w:cs="Calibri"/>
                  <w:sz w:val="18"/>
                  <w:color w:val="1155CC"/>
                  <w:u w:val="single"/>
                </w:rPr>
                <w:t xml:space="preserve">Poudyal 2019, precipitants of HE (PMID 31192068)</w:t>
              </w:r>
            </w:hyperlink>
          </w:p>
          <w:p>
            <w:pPr>
              <w:spacing w:before="60" w:after="40"/>
            </w:pPr>
            <w:r>
              <w:rPr>
                <w:rFonts w:ascii="Calibri" w:hAnsi="Calibri"/>
                <w:b w:val="0"/>
                <w:i w:val="0"/>
                <w:color w:val="5A5A5A"/>
                <w:sz w:val="18"/>
              </w:rPr>
              <w:t>#constipation  #lactulose  #gutammonia  #precipitant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animal-protein / irregular meals</w:t>
            </w:r>
          </w:p>
        </w:tc>
        <w:tc>
          <w:tcPr>
            <w:tcW w:type="dxa" w:w="4276"/>
            <w:vAlign w:val="top"/>
          </w:tcPr>
          <w:p>
            <w:pPr>
              <w:spacing w:after="60" w:line="259" w:lineRule="auto"/>
            </w:pPr>
            <w:r>
              <w:rPr>
                <w:rFonts w:ascii="Calibri" w:hAnsi="Calibri"/>
                <w:b w:val="0"/>
                <w:i w:val="0"/>
                <w:color w:val="212121"/>
                <w:sz w:val="19"/>
              </w:rPr>
              <w:t>Large boluses of red or organ meat and prolonged fasting between meals raise the nitrogen load and drive muscle catabolism; vegetable and dairy protein are better tolerated.</w:t>
            </w:r>
          </w:p>
          <w:p>
            <w:pPr>
              <w:spacing w:after="40" w:before="60" w:line="259" w:lineRule="auto"/>
            </w:pPr>
            <w:r>
              <w:rPr>
                <w:rFonts w:ascii="Calibri" w:hAnsi="Calibri"/>
                <w:b w:val="0"/>
                <w:i w:val="0"/>
                <w:color w:val="212121"/>
                <w:sz w:val="19"/>
              </w:rPr>
              <w:t>Guidelines advise against protein restriction and favour vegetable/dairy protein to reduce ammoniagenesis.</w:t>
            </w:r>
          </w:p>
          <w:p>
            <w:pPr>
              <w:spacing w:after="40" w:line="252" w:lineRule="auto"/>
            </w:pPr>
            <w:hyperlink r:id="rId12">
              <w:r>
                <w:rPr>
                  <w:rFonts w:ascii="Calibri" w:hAnsi="Calibri" w:cs="Calibri"/>
                  <w:sz w:val="18"/>
                  <w:color w:val="1155CC"/>
                  <w:u w:val="single"/>
                </w:rPr>
                <w:t xml:space="preserve">Dhiman 2010, INASL MHE consensus (PMID 20594216)</w:t>
              </w:r>
            </w:hyperlink>
          </w:p>
          <w:p>
            <w:pPr>
              <w:spacing w:before="60" w:after="40"/>
            </w:pPr>
            <w:r>
              <w:rPr>
                <w:rFonts w:ascii="Calibri" w:hAnsi="Calibri"/>
                <w:b w:val="0"/>
                <w:i w:val="0"/>
                <w:color w:val="5A5A5A"/>
                <w:sz w:val="18"/>
              </w:rPr>
              <w:t>#dietaryprotein  #vegetableprotein  #nofasting  #nitrogingload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Low-fibre / undernutrition</w:t>
            </w:r>
          </w:p>
        </w:tc>
        <w:tc>
          <w:tcPr>
            <w:tcW w:type="dxa" w:w="2160"/>
            <w:vAlign w:val="top"/>
          </w:tcPr>
          <w:p>
            <w:pPr>
              <w:spacing w:after="40" w:before="0" w:line="259" w:lineRule="auto"/>
            </w:pPr>
            <w:r>
              <w:rPr>
                <w:rFonts w:ascii="Calibri" w:hAnsi="Calibri"/>
                <w:b w:val="0"/>
                <w:i w:val="0"/>
                <w:color w:val="212121"/>
                <w:sz w:val="19"/>
              </w:rPr>
              <w:t>Low-fibre diet &amp; inadequate calories</w:t>
            </w:r>
          </w:p>
        </w:tc>
        <w:tc>
          <w:tcPr>
            <w:tcW w:type="dxa" w:w="4276"/>
            <w:vAlign w:val="top"/>
          </w:tcPr>
          <w:p>
            <w:pPr>
              <w:spacing w:after="60" w:line="259" w:lineRule="auto"/>
            </w:pPr>
            <w:r>
              <w:rPr>
                <w:rFonts w:ascii="Calibri" w:hAnsi="Calibri"/>
                <w:b w:val="0"/>
                <w:i w:val="0"/>
                <w:color w:val="212121"/>
                <w:sz w:val="19"/>
              </w:rPr>
              <w:t>A low-fibre, low-calorie diet promotes constipation and worsens the sarcopenia that reduces ammonia clearance, compounding HE risk.</w:t>
            </w:r>
          </w:p>
          <w:p>
            <w:pPr>
              <w:spacing w:after="40" w:before="60" w:line="259" w:lineRule="auto"/>
            </w:pPr>
            <w:r>
              <w:rPr>
                <w:rFonts w:ascii="Calibri" w:hAnsi="Calibri"/>
                <w:b w:val="0"/>
                <w:i w:val="0"/>
                <w:color w:val="212121"/>
                <w:sz w:val="19"/>
              </w:rPr>
              <w:t>Malnutrition and sarcopenia are highly prevalent in Indian cirrhotics and worsen HE outcomes.</w:t>
            </w:r>
          </w:p>
          <w:p>
            <w:pPr>
              <w:spacing w:before="60" w:after="40"/>
            </w:pPr>
            <w:r>
              <w:rPr>
                <w:rFonts w:ascii="Calibri" w:hAnsi="Calibri"/>
                <w:b w:val="0"/>
                <w:i w:val="0"/>
                <w:color w:val="5A5A5A"/>
                <w:sz w:val="18"/>
              </w:rPr>
              <w:t>#lowfibre  #undernutrition  #sarcopenia  #calories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liver disease / shared exposure</w:t>
            </w:r>
          </w:p>
        </w:tc>
        <w:tc>
          <w:tcPr>
            <w:tcW w:type="dxa" w:w="4276"/>
            <w:vAlign w:val="top"/>
          </w:tcPr>
          <w:p>
            <w:pPr>
              <w:spacing w:after="60" w:line="259" w:lineRule="auto"/>
            </w:pPr>
            <w:r>
              <w:rPr>
                <w:rFonts w:ascii="Calibri" w:hAnsi="Calibri"/>
                <w:b w:val="0"/>
                <w:i w:val="0"/>
                <w:color w:val="212121"/>
                <w:sz w:val="19"/>
              </w:rPr>
              <w:t>Vertical transmission of hepatitis B, a shared heavy-drinking environment and inherited liver diseases (e.g., Wilson's disease) cluster in families, predisposing to cirrhosis and hence to HE.</w:t>
            </w:r>
          </w:p>
          <w:p>
            <w:pPr>
              <w:spacing w:after="40" w:before="60" w:line="259" w:lineRule="auto"/>
            </w:pPr>
            <w:r>
              <w:rPr>
                <w:rFonts w:ascii="Calibri" w:hAnsi="Calibri"/>
                <w:b w:val="0"/>
                <w:i w:val="0"/>
                <w:color w:val="212121"/>
                <w:sz w:val="19"/>
              </w:rPr>
              <w:t>Perinatal/vertical hepatitis B transmission and familial alcohol use cluster cirrhosis in families.</w:t>
            </w:r>
          </w:p>
          <w:p>
            <w:pPr>
              <w:spacing w:before="60" w:after="40"/>
            </w:pPr>
            <w:r>
              <w:rPr>
                <w:rFonts w:ascii="Calibri" w:hAnsi="Calibri"/>
                <w:b w:val="0"/>
                <w:i w:val="0"/>
                <w:color w:val="5A5A5A"/>
                <w:sz w:val="18"/>
              </w:rPr>
              <w:t>#familyhistory  #hepatitisB  #Wilsons  #inheritedliver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Ammonia-handling variation</w:t>
            </w:r>
          </w:p>
        </w:tc>
        <w:tc>
          <w:tcPr>
            <w:tcW w:type="dxa" w:w="2160"/>
            <w:vAlign w:val="top"/>
          </w:tcPr>
          <w:p>
            <w:pPr>
              <w:spacing w:after="40" w:before="0" w:line="259" w:lineRule="auto"/>
            </w:pPr>
            <w:r>
              <w:rPr>
                <w:rFonts w:ascii="Calibri" w:hAnsi="Calibri"/>
                <w:b w:val="0"/>
                <w:i w:val="0"/>
                <w:color w:val="212121"/>
                <w:sz w:val="19"/>
              </w:rPr>
              <w:t>Individual differences in ammonia metabolism</w:t>
            </w:r>
          </w:p>
        </w:tc>
        <w:tc>
          <w:tcPr>
            <w:tcW w:type="dxa" w:w="4276"/>
            <w:vAlign w:val="top"/>
          </w:tcPr>
          <w:p>
            <w:pPr>
              <w:spacing w:after="60" w:line="259" w:lineRule="auto"/>
            </w:pPr>
            <w:r>
              <w:rPr>
                <w:rFonts w:ascii="Calibri" w:hAnsi="Calibri"/>
                <w:b w:val="0"/>
                <w:i w:val="0"/>
                <w:color w:val="212121"/>
                <w:sz w:val="19"/>
              </w:rPr>
              <w:t>Emerging evidence links variation in glutaminase and urea-cycle enzyme activity to differing susceptibility to hyperammonaemia and minimal HE at similar liver-disease severity.</w:t>
            </w:r>
          </w:p>
          <w:p>
            <w:pPr>
              <w:spacing w:after="40" w:before="60" w:line="259" w:lineRule="auto"/>
            </w:pPr>
            <w:r>
              <w:rPr>
                <w:rFonts w:ascii="Calibri" w:hAnsi="Calibri"/>
                <w:b w:val="0"/>
                <w:i w:val="0"/>
                <w:color w:val="212121"/>
                <w:sz w:val="19"/>
              </w:rPr>
              <w:t>Inter-individual variation in ammonia-handling genes is an area of active research in HE susceptibility.</w:t>
            </w:r>
          </w:p>
          <w:p>
            <w:pPr>
              <w:spacing w:before="60" w:after="40"/>
            </w:pPr>
            <w:r>
              <w:rPr>
                <w:rFonts w:ascii="Calibri" w:hAnsi="Calibri"/>
                <w:b w:val="0"/>
                <w:i w:val="0"/>
                <w:color w:val="5A5A5A"/>
                <w:sz w:val="18"/>
              </w:rPr>
              <w:t>#glutaminase  #ureacycle  #ammoniahandling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Cirrhosis / decompensation</w:t>
            </w:r>
          </w:p>
        </w:tc>
        <w:tc>
          <w:tcPr>
            <w:tcW w:type="dxa" w:w="2160"/>
            <w:vAlign w:val="top"/>
          </w:tcPr>
          <w:p>
            <w:pPr>
              <w:spacing w:after="40" w:before="0" w:line="259" w:lineRule="auto"/>
            </w:pPr>
            <w:r>
              <w:rPr>
                <w:rFonts w:ascii="Calibri" w:hAnsi="Calibri"/>
                <w:b w:val="0"/>
                <w:i w:val="0"/>
                <w:color w:val="212121"/>
                <w:sz w:val="19"/>
              </w:rPr>
              <w:t>Patients with established cirrhosis</w:t>
            </w:r>
          </w:p>
        </w:tc>
        <w:tc>
          <w:tcPr>
            <w:tcW w:type="dxa" w:w="4276"/>
            <w:vAlign w:val="top"/>
          </w:tcPr>
          <w:p>
            <w:pPr>
              <w:spacing w:after="60" w:line="259" w:lineRule="auto"/>
            </w:pPr>
            <w:r>
              <w:rPr>
                <w:rFonts w:ascii="Calibri" w:hAnsi="Calibri"/>
                <w:b w:val="0"/>
                <w:i w:val="0"/>
                <w:color w:val="212121"/>
                <w:sz w:val="19"/>
              </w:rPr>
              <w:t>Cirrhosis with portal hypertension is the substrate for the great majority of HE; covert HE is already present in a large share of these patients even when they appear normal.</w:t>
            </w:r>
          </w:p>
          <w:p>
            <w:pPr>
              <w:spacing w:after="40" w:before="60" w:line="259" w:lineRule="auto"/>
            </w:pPr>
            <w:r>
              <w:rPr>
                <w:rFonts w:ascii="Calibri" w:hAnsi="Calibri"/>
                <w:b w:val="0"/>
                <w:i w:val="0"/>
                <w:color w:val="212121"/>
                <w:sz w:val="19"/>
              </w:rPr>
              <w:t>Minimal (covert) HE was present in 59.7% of 1,114 cirrhotics across 20 Indian centres (PREDICT).</w:t>
            </w:r>
          </w:p>
          <w:p>
            <w:pPr>
              <w:spacing w:after="40" w:line="252" w:lineRule="auto"/>
            </w:pPr>
            <w:hyperlink r:id="rId9">
              <w:r>
                <w:rPr>
                  <w:rFonts w:ascii="Calibri" w:hAnsi="Calibri" w:cs="Calibri"/>
                  <w:sz w:val="18"/>
                  <w:color w:val="1155CC"/>
                  <w:u w:val="single"/>
                </w:rPr>
                <w:t xml:space="preserve">Rathi 2019, PREDICT nationwide India (PMID 31516264)</w:t>
              </w:r>
            </w:hyperlink>
          </w:p>
          <w:p>
            <w:pPr>
              <w:spacing w:before="60" w:after="40"/>
            </w:pPr>
            <w:r>
              <w:rPr>
                <w:rFonts w:ascii="Calibri" w:hAnsi="Calibri"/>
                <w:b w:val="0"/>
                <w:i w:val="0"/>
                <w:color w:val="5A5A5A"/>
                <w:sz w:val="18"/>
              </w:rPr>
              <w:t>#cirrhosis  #covertHE  #portalhypertension  #decompensation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Infection (SBP)</w:t>
            </w:r>
          </w:p>
        </w:tc>
        <w:tc>
          <w:tcPr>
            <w:tcW w:type="dxa" w:w="2160"/>
            <w:vAlign w:val="top"/>
          </w:tcPr>
          <w:p>
            <w:pPr>
              <w:spacing w:after="40" w:before="0" w:line="259" w:lineRule="auto"/>
            </w:pPr>
            <w:r>
              <w:rPr>
                <w:rFonts w:ascii="Calibri" w:hAnsi="Calibri"/>
                <w:b w:val="0"/>
                <w:i w:val="0"/>
                <w:color w:val="212121"/>
                <w:sz w:val="19"/>
              </w:rPr>
              <w:t>Cirrhotics with infection / spontaneous bacterial peritonitis</w:t>
            </w:r>
          </w:p>
        </w:tc>
        <w:tc>
          <w:tcPr>
            <w:tcW w:type="dxa" w:w="4276"/>
            <w:vAlign w:val="top"/>
          </w:tcPr>
          <w:p>
            <w:pPr>
              <w:spacing w:after="60" w:line="259" w:lineRule="auto"/>
            </w:pPr>
            <w:r>
              <w:rPr>
                <w:rFonts w:ascii="Calibri" w:hAnsi="Calibri"/>
                <w:b w:val="0"/>
                <w:i w:val="0"/>
                <w:color w:val="212121"/>
                <w:sz w:val="19"/>
              </w:rPr>
              <w:t>Systemic inflammation and endotoxaemia amplify the neurotoxic effect of ammonia; infection, especially SBP, is the single commonest precipitant of overt HE.</w:t>
            </w:r>
          </w:p>
          <w:p>
            <w:pPr>
              <w:spacing w:after="40" w:before="60" w:line="259" w:lineRule="auto"/>
            </w:pPr>
            <w:r>
              <w:rPr>
                <w:rFonts w:ascii="Calibri" w:hAnsi="Calibri"/>
                <w:b w:val="0"/>
                <w:i w:val="0"/>
                <w:color w:val="212121"/>
                <w:sz w:val="19"/>
              </w:rPr>
              <w:t>Infection precipitated 49.2% of overt HE episodes, most often spontaneous bacterial peritonitis.</w:t>
            </w:r>
          </w:p>
          <w:p>
            <w:pPr>
              <w:spacing w:after="40" w:line="252" w:lineRule="auto"/>
            </w:pPr>
            <w:hyperlink r:id="rId11">
              <w:r>
                <w:rPr>
                  <w:rFonts w:ascii="Calibri" w:hAnsi="Calibri" w:cs="Calibri"/>
                  <w:sz w:val="18"/>
                  <w:color w:val="1155CC"/>
                  <w:u w:val="single"/>
                </w:rPr>
                <w:t xml:space="preserve">Poudyal 2019, precipitants of HE (PMID 31192068)</w:t>
              </w:r>
            </w:hyperlink>
          </w:p>
          <w:p>
            <w:pPr>
              <w:spacing w:before="60" w:after="40"/>
            </w:pPr>
            <w:r>
              <w:rPr>
                <w:rFonts w:ascii="Calibri" w:hAnsi="Calibri"/>
                <w:b w:val="0"/>
                <w:i w:val="0"/>
                <w:color w:val="5A5A5A"/>
                <w:sz w:val="18"/>
              </w:rPr>
              <w:t>#SBP  #infection  #inflammation  #commonestprecipitant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GI bleeding / varices</w:t>
            </w:r>
          </w:p>
        </w:tc>
        <w:tc>
          <w:tcPr>
            <w:tcW w:type="dxa" w:w="2160"/>
            <w:vAlign w:val="top"/>
          </w:tcPr>
          <w:p>
            <w:pPr>
              <w:spacing w:after="40" w:before="0" w:line="259" w:lineRule="auto"/>
            </w:pPr>
            <w:r>
              <w:rPr>
                <w:rFonts w:ascii="Calibri" w:hAnsi="Calibri"/>
                <w:b w:val="0"/>
                <w:i w:val="0"/>
                <w:color w:val="212121"/>
                <w:sz w:val="19"/>
              </w:rPr>
              <w:t>Patients with gastro-oesophageal variceal bleeding</w:t>
            </w:r>
          </w:p>
        </w:tc>
        <w:tc>
          <w:tcPr>
            <w:tcW w:type="dxa" w:w="4276"/>
            <w:vAlign w:val="top"/>
          </w:tcPr>
          <w:p>
            <w:pPr>
              <w:spacing w:after="60" w:line="259" w:lineRule="auto"/>
            </w:pPr>
            <w:r>
              <w:rPr>
                <w:rFonts w:ascii="Calibri" w:hAnsi="Calibri"/>
                <w:b w:val="0"/>
                <w:i w:val="0"/>
                <w:color w:val="212121"/>
                <w:sz w:val="19"/>
              </w:rPr>
              <w:t>Blood in the gut is a large protein/nitrogen load that colonic bacteria convert to ammonia; a variceal bleed frequently tips a cirrhotic into overt HE.</w:t>
            </w:r>
          </w:p>
          <w:p>
            <w:pPr>
              <w:spacing w:after="40" w:before="60" w:line="259" w:lineRule="auto"/>
            </w:pPr>
            <w:r>
              <w:rPr>
                <w:rFonts w:ascii="Calibri" w:hAnsi="Calibri"/>
                <w:b w:val="0"/>
                <w:i w:val="0"/>
                <w:color w:val="212121"/>
                <w:sz w:val="19"/>
              </w:rPr>
              <w:t>Gastrointestinal bleeding precipitated 16% of overt HE episodes in a South Asian series.</w:t>
            </w:r>
          </w:p>
          <w:p>
            <w:pPr>
              <w:spacing w:after="40" w:line="252" w:lineRule="auto"/>
            </w:pPr>
            <w:hyperlink r:id="rId11">
              <w:r>
                <w:rPr>
                  <w:rFonts w:ascii="Calibri" w:hAnsi="Calibri" w:cs="Calibri"/>
                  <w:sz w:val="18"/>
                  <w:color w:val="1155CC"/>
                  <w:u w:val="single"/>
                </w:rPr>
                <w:t xml:space="preserve">Poudyal 2019, precipitants of HE (PMID 31192068)</w:t>
              </w:r>
            </w:hyperlink>
          </w:p>
          <w:p>
            <w:pPr>
              <w:spacing w:before="60" w:after="40"/>
            </w:pPr>
            <w:r>
              <w:rPr>
                <w:rFonts w:ascii="Calibri" w:hAnsi="Calibri"/>
                <w:b w:val="0"/>
                <w:i w:val="0"/>
                <w:color w:val="5A5A5A"/>
                <w:sz w:val="18"/>
              </w:rPr>
              <w:t>#varices  #GIbleed  #nitrogenload  #precipitant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Portosystemic shunt / TIPS</w:t>
            </w:r>
          </w:p>
        </w:tc>
        <w:tc>
          <w:tcPr>
            <w:tcW w:type="dxa" w:w="2160"/>
            <w:vAlign w:val="top"/>
          </w:tcPr>
          <w:p>
            <w:pPr>
              <w:spacing w:after="40" w:before="0" w:line="259" w:lineRule="auto"/>
            </w:pPr>
            <w:r>
              <w:rPr>
                <w:rFonts w:ascii="Calibri" w:hAnsi="Calibri"/>
                <w:b w:val="0"/>
                <w:i w:val="0"/>
                <w:color w:val="212121"/>
                <w:sz w:val="19"/>
              </w:rPr>
              <w:t>Patients with a spontaneous shunt or TIPS</w:t>
            </w:r>
          </w:p>
        </w:tc>
        <w:tc>
          <w:tcPr>
            <w:tcW w:type="dxa" w:w="4276"/>
            <w:vAlign w:val="top"/>
          </w:tcPr>
          <w:p>
            <w:pPr>
              <w:spacing w:after="60" w:line="259" w:lineRule="auto"/>
            </w:pPr>
            <w:r>
              <w:rPr>
                <w:rFonts w:ascii="Calibri" w:hAnsi="Calibri"/>
                <w:b w:val="0"/>
                <w:i w:val="0"/>
                <w:color w:val="212121"/>
                <w:sz w:val="19"/>
              </w:rPr>
              <w:t>Large spontaneous shunts and TIPS divert portal blood past the liver; post-TIPS HE is common and shunt embolisation is sometimes needed for refractory disease.</w:t>
            </w:r>
          </w:p>
          <w:p>
            <w:pPr>
              <w:spacing w:after="40" w:before="60" w:line="259" w:lineRule="auto"/>
            </w:pPr>
            <w:r>
              <w:rPr>
                <w:rFonts w:ascii="Calibri" w:hAnsi="Calibri"/>
                <w:b w:val="0"/>
                <w:i w:val="0"/>
                <w:color w:val="212121"/>
                <w:sz w:val="19"/>
              </w:rPr>
              <w:t>HE is a recognised, common complication after TIPS and with large spontaneous portosystemic shunts.</w:t>
            </w:r>
          </w:p>
          <w:p>
            <w:pPr>
              <w:spacing w:before="60" w:after="40"/>
            </w:pPr>
            <w:r>
              <w:rPr>
                <w:rFonts w:ascii="Calibri" w:hAnsi="Calibri"/>
                <w:b w:val="0"/>
                <w:i w:val="0"/>
                <w:color w:val="5A5A5A"/>
                <w:sz w:val="18"/>
              </w:rPr>
              <w:t>#TIPS  #portosystemicshunt  #refractoryHE  #shuntembolisation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Skeletal muscle is a major site of ammonia disposal, so sarcopenia and physical frailty independently predict HE and death in cirrhosis; preserved muscle mass and regular resistance/aerobic activity are protective.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Protein restriction is harmful and outdated; adequate protein (1.2–1.5 g/kg/day), small frequent meals, a late-evening snack and vegetable/dairy protein reduce catabolism and ammoniagenesis, whereas large animal-protein meals and fasting can precipitate HE.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Reversal of the sleep–wake cycle (daytime somnolence, night-time wakefulness) is among the earliest features of HE; disturbed sleep both signals and worsens covert HE.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was independently associated with minimal HE in Indian cirrhotics (PREDICT) and adds vascular and oxidative injury that contributes to decompensation.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leading cause of cirrhosis in India and is directly neurotoxic; continued or binge drinking precipitates decompensation and HE, while abstinence improves outcomes.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 itself produces cognitive and psychiatric symptoms; coexisting depression, poor coping and non-adherence to lactulose increase recurrence, and HE can be mistaken for primary psychiatric illness.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from over-diuresis, vomiting, diarrhoea or excess lactulose is a common precipitant; adequate but not excessive hydration and avoidance of hyponatraemia are important.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coffee is associated with slower progression of chronic liver disease and possibly lower HE risk, but evidence specific to HE is weak and it is not a treatment.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 is the single commonest precipitant of overt HE; hand, food, dental and skin hygiene, prompt treatment of infection and SBP prophylaxis reduce episodes.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precipitants — infection/SBP, GI bleeding, constipation, electrolyte disturbance, dehydration, azotaemia, sedatives, high protein load and lactulose non-adherence — trigger the majority of overt episodes and are the main modifiable target.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Skeletal muscle mass / sarcopenia (handgrip or L3 muscle index)</w:t>
            </w:r>
          </w:p>
        </w:tc>
        <w:tc>
          <w:tcPr>
            <w:tcW w:type="dxa" w:w="1655"/>
            <w:vAlign w:val="top"/>
          </w:tcPr>
          <w:p>
            <w:pPr>
              <w:spacing w:after="40" w:before="0" w:line="259" w:lineRule="auto"/>
            </w:pPr>
            <w:r>
              <w:rPr>
                <w:rFonts w:ascii="Calibri" w:hAnsi="Calibri"/>
                <w:b w:val="0"/>
                <w:i w:val="0"/>
                <w:color w:val="212121"/>
                <w:sz w:val="19"/>
              </w:rPr>
              <w:t>Cirrhotics, elderly, frail</w:t>
            </w:r>
          </w:p>
        </w:tc>
        <w:tc>
          <w:tcPr>
            <w:tcW w:type="dxa" w:w="1512"/>
            <w:vAlign w:val="top"/>
          </w:tcPr>
          <w:p>
            <w:pPr>
              <w:spacing w:after="40" w:before="0" w:line="259" w:lineRule="auto"/>
            </w:pPr>
            <w:r>
              <w:rPr>
                <w:rFonts w:ascii="Calibri" w:hAnsi="Calibri"/>
                <w:b w:val="0"/>
                <w:i w:val="0"/>
                <w:color w:val="212121"/>
                <w:sz w:val="19"/>
              </w:rPr>
              <w:t>No sarcopenia; age/sex-adequate handgrip strength</w:t>
            </w:r>
          </w:p>
        </w:tc>
        <w:tc>
          <w:tcPr>
            <w:tcW w:type="dxa" w:w="1512"/>
            <w:vAlign w:val="top"/>
          </w:tcPr>
          <w:p>
            <w:pPr>
              <w:spacing w:after="40" w:before="0" w:line="259" w:lineRule="auto"/>
            </w:pPr>
            <w:r>
              <w:rPr>
                <w:rFonts w:ascii="Calibri" w:hAnsi="Calibri"/>
                <w:b w:val="0"/>
                <w:i w:val="0"/>
                <w:color w:val="212121"/>
                <w:sz w:val="19"/>
              </w:rPr>
              <w:t>Low muscle index or weak handgrip</w:t>
            </w:r>
          </w:p>
        </w:tc>
        <w:tc>
          <w:tcPr>
            <w:tcW w:type="dxa" w:w="1468"/>
            <w:vAlign w:val="top"/>
          </w:tcPr>
          <w:p>
            <w:pPr>
              <w:spacing w:after="40" w:before="0" w:line="259" w:lineRule="auto"/>
            </w:pPr>
            <w:r>
              <w:rPr>
                <w:rFonts w:ascii="Calibri" w:hAnsi="Calibri"/>
                <w:b w:val="0"/>
                <w:i w:val="0"/>
                <w:color w:val="212121"/>
                <w:sz w:val="19"/>
              </w:rPr>
              <w:t>Low muscle mass reduces ammonia clearance and predicts HE and mortality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Structured physical activity (min/week)</w:t>
            </w:r>
          </w:p>
        </w:tc>
        <w:tc>
          <w:tcPr>
            <w:tcW w:type="dxa" w:w="1655"/>
            <w:vAlign w:val="top"/>
          </w:tcPr>
          <w:p>
            <w:pPr>
              <w:spacing w:after="40" w:before="0" w:line="259" w:lineRule="auto"/>
            </w:pPr>
            <w:r>
              <w:rPr>
                <w:rFonts w:ascii="Calibri" w:hAnsi="Calibri"/>
                <w:b w:val="0"/>
                <w:i w:val="0"/>
                <w:color w:val="212121"/>
                <w:sz w:val="19"/>
              </w:rPr>
              <w:t>Stable cirrhotics as tolerated</w:t>
            </w:r>
          </w:p>
        </w:tc>
        <w:tc>
          <w:tcPr>
            <w:tcW w:type="dxa" w:w="1512"/>
            <w:vAlign w:val="top"/>
          </w:tcPr>
          <w:p>
            <w:pPr>
              <w:spacing w:after="40" w:before="0" w:line="259" w:lineRule="auto"/>
            </w:pPr>
            <w:r>
              <w:rPr>
                <w:rFonts w:ascii="Calibri" w:hAnsi="Calibri"/>
                <w:b w:val="0"/>
                <w:i w:val="0"/>
                <w:color w:val="212121"/>
                <w:sz w:val="19"/>
              </w:rPr>
              <w:t>Regular moderate activity plus resistance work 2–3 days/week</w:t>
            </w:r>
          </w:p>
        </w:tc>
        <w:tc>
          <w:tcPr>
            <w:tcW w:type="dxa" w:w="1512"/>
            <w:vAlign w:val="top"/>
          </w:tcPr>
          <w:p>
            <w:pPr>
              <w:spacing w:after="40" w:before="0" w:line="259" w:lineRule="auto"/>
            </w:pPr>
            <w:r>
              <w:rPr>
                <w:rFonts w:ascii="Calibri" w:hAnsi="Calibri"/>
                <w:b w:val="0"/>
                <w:i w:val="0"/>
                <w:color w:val="212121"/>
                <w:sz w:val="19"/>
              </w:rPr>
              <w:t>Largely inactive / bed-bound</w:t>
            </w:r>
          </w:p>
        </w:tc>
        <w:tc>
          <w:tcPr>
            <w:tcW w:type="dxa" w:w="1468"/>
            <w:vAlign w:val="top"/>
          </w:tcPr>
          <w:p>
            <w:pPr>
              <w:spacing w:after="40" w:before="0" w:line="259" w:lineRule="auto"/>
            </w:pPr>
            <w:r>
              <w:rPr>
                <w:rFonts w:ascii="Calibri" w:hAnsi="Calibri"/>
                <w:b w:val="0"/>
                <w:i w:val="0"/>
                <w:color w:val="212121"/>
                <w:sz w:val="19"/>
              </w:rPr>
              <w:t>Activity preserves the muscle ammonia buffer; avoid exhaustion and injury</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protein intake (g/kg/day)</w:t>
            </w:r>
          </w:p>
        </w:tc>
        <w:tc>
          <w:tcPr>
            <w:tcW w:type="dxa" w:w="1655"/>
            <w:vAlign w:val="top"/>
          </w:tcPr>
          <w:p>
            <w:pPr>
              <w:spacing w:after="40" w:before="0" w:line="259" w:lineRule="auto"/>
            </w:pPr>
            <w:r>
              <w:rPr>
                <w:rFonts w:ascii="Calibri" w:hAnsi="Calibri"/>
                <w:b w:val="0"/>
                <w:i w:val="0"/>
                <w:color w:val="212121"/>
                <w:sz w:val="19"/>
              </w:rPr>
              <w:t>Patients with cirrhosis / HE</w:t>
            </w:r>
          </w:p>
        </w:tc>
        <w:tc>
          <w:tcPr>
            <w:tcW w:type="dxa" w:w="1512"/>
            <w:vAlign w:val="top"/>
          </w:tcPr>
          <w:p>
            <w:pPr>
              <w:spacing w:after="40" w:before="0" w:line="259" w:lineRule="auto"/>
            </w:pPr>
            <w:r>
              <w:rPr>
                <w:rFonts w:ascii="Calibri" w:hAnsi="Calibri"/>
                <w:b w:val="0"/>
                <w:i w:val="0"/>
                <w:color w:val="212121"/>
                <w:sz w:val="19"/>
              </w:rPr>
              <w:t>1.2–1.5 g/kg/day</w:t>
            </w:r>
          </w:p>
        </w:tc>
        <w:tc>
          <w:tcPr>
            <w:tcW w:type="dxa" w:w="1512"/>
            <w:vAlign w:val="top"/>
          </w:tcPr>
          <w:p>
            <w:pPr>
              <w:spacing w:after="40" w:before="0" w:line="259" w:lineRule="auto"/>
            </w:pPr>
            <w:r>
              <w:rPr>
                <w:rFonts w:ascii="Calibri" w:hAnsi="Calibri"/>
                <w:b w:val="0"/>
                <w:i w:val="0"/>
                <w:color w:val="212121"/>
                <w:sz w:val="19"/>
              </w:rPr>
              <w:t>&lt; 1.0 g/kg/day, or large animal-protein boluses</w:t>
            </w:r>
          </w:p>
        </w:tc>
        <w:tc>
          <w:tcPr>
            <w:tcW w:type="dxa" w:w="1468"/>
            <w:vAlign w:val="top"/>
          </w:tcPr>
          <w:p>
            <w:pPr>
              <w:spacing w:after="60" w:line="259" w:lineRule="auto"/>
            </w:pPr>
            <w:r>
              <w:rPr>
                <w:rFonts w:ascii="Calibri" w:hAnsi="Calibri"/>
                <w:b w:val="0"/>
                <w:i w:val="0"/>
                <w:color w:val="212121"/>
                <w:sz w:val="19"/>
              </w:rPr>
              <w:t>Do NOT protein-restrict; prefer vegetable and dairy protein</w:t>
            </w:r>
          </w:p>
          <w:p>
            <w:pPr>
              <w:spacing w:after="40" w:line="252" w:lineRule="auto"/>
            </w:pPr>
            <w:hyperlink r:id="rId12">
              <w:r>
                <w:rPr>
                  <w:rFonts w:ascii="Calibri" w:hAnsi="Calibri" w:cs="Calibri"/>
                  <w:sz w:val="18"/>
                  <w:color w:val="1155CC"/>
                  <w:u w:val="single"/>
                </w:rPr>
                <w:t xml:space="preserve">https://pubmed.ncbi.nlm.nih.gov/20594216/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Meal pattern / late-evening snack</w:t>
            </w:r>
          </w:p>
        </w:tc>
        <w:tc>
          <w:tcPr>
            <w:tcW w:type="dxa" w:w="1655"/>
            <w:vAlign w:val="top"/>
          </w:tcPr>
          <w:p>
            <w:pPr>
              <w:spacing w:after="40" w:before="0" w:line="259" w:lineRule="auto"/>
            </w:pPr>
            <w:r>
              <w:rPr>
                <w:rFonts w:ascii="Calibri" w:hAnsi="Calibri"/>
                <w:b w:val="0"/>
                <w:i w:val="0"/>
                <w:color w:val="212121"/>
                <w:sz w:val="19"/>
              </w:rPr>
              <w:t>All cirrhotics</w:t>
            </w:r>
          </w:p>
        </w:tc>
        <w:tc>
          <w:tcPr>
            <w:tcW w:type="dxa" w:w="1512"/>
            <w:vAlign w:val="top"/>
          </w:tcPr>
          <w:p>
            <w:pPr>
              <w:spacing w:after="40" w:before="0" w:line="259" w:lineRule="auto"/>
            </w:pPr>
            <w:r>
              <w:rPr>
                <w:rFonts w:ascii="Calibri" w:hAnsi="Calibri"/>
                <w:b w:val="0"/>
                <w:i w:val="0"/>
                <w:color w:val="212121"/>
                <w:sz w:val="19"/>
              </w:rPr>
              <w:t>4–6 small meals with a bedtime carbohydrate snack</w:t>
            </w:r>
          </w:p>
        </w:tc>
        <w:tc>
          <w:tcPr>
            <w:tcW w:type="dxa" w:w="1512"/>
            <w:vAlign w:val="top"/>
          </w:tcPr>
          <w:p>
            <w:pPr>
              <w:spacing w:after="40" w:before="0" w:line="259" w:lineRule="auto"/>
            </w:pPr>
            <w:r>
              <w:rPr>
                <w:rFonts w:ascii="Calibri" w:hAnsi="Calibri"/>
                <w:b w:val="0"/>
                <w:i w:val="0"/>
                <w:color w:val="212121"/>
                <w:sz w:val="19"/>
              </w:rPr>
              <w:t>Prolonged daytime fasting or skipped bedtime snack</w:t>
            </w:r>
          </w:p>
        </w:tc>
        <w:tc>
          <w:tcPr>
            <w:tcW w:type="dxa" w:w="1468"/>
            <w:vAlign w:val="top"/>
          </w:tcPr>
          <w:p>
            <w:pPr>
              <w:spacing w:after="40" w:before="0" w:line="259" w:lineRule="auto"/>
            </w:pPr>
            <w:r>
              <w:rPr>
                <w:rFonts w:ascii="Calibri" w:hAnsi="Calibri"/>
                <w:b w:val="0"/>
                <w:i w:val="0"/>
                <w:color w:val="212121"/>
                <w:sz w:val="19"/>
              </w:rPr>
              <w:t>Shortening the fasting window reduces muscle breakdown and overnight ammoniagenesis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Bowel movements per day (lactulose target)</w:t>
            </w:r>
          </w:p>
        </w:tc>
        <w:tc>
          <w:tcPr>
            <w:tcW w:type="dxa" w:w="1655"/>
            <w:vAlign w:val="top"/>
          </w:tcPr>
          <w:p>
            <w:pPr>
              <w:spacing w:after="40" w:before="0" w:line="259" w:lineRule="auto"/>
            </w:pPr>
            <w:r>
              <w:rPr>
                <w:rFonts w:ascii="Calibri" w:hAnsi="Calibri"/>
                <w:b w:val="0"/>
                <w:i w:val="0"/>
                <w:color w:val="212121"/>
                <w:sz w:val="19"/>
              </w:rPr>
              <w:t>Patients on lactulose</w:t>
            </w:r>
          </w:p>
        </w:tc>
        <w:tc>
          <w:tcPr>
            <w:tcW w:type="dxa" w:w="1512"/>
            <w:vAlign w:val="top"/>
          </w:tcPr>
          <w:p>
            <w:pPr>
              <w:spacing w:after="40" w:before="0" w:line="259" w:lineRule="auto"/>
            </w:pPr>
            <w:r>
              <w:rPr>
                <w:rFonts w:ascii="Calibri" w:hAnsi="Calibri"/>
                <w:b w:val="0"/>
                <w:i w:val="0"/>
                <w:color w:val="212121"/>
                <w:sz w:val="19"/>
              </w:rPr>
              <w:t>2–3 soft stools/day</w:t>
            </w:r>
          </w:p>
        </w:tc>
        <w:tc>
          <w:tcPr>
            <w:tcW w:type="dxa" w:w="1512"/>
            <w:vAlign w:val="top"/>
          </w:tcPr>
          <w:p>
            <w:pPr>
              <w:spacing w:after="40" w:before="0" w:line="259" w:lineRule="auto"/>
            </w:pPr>
            <w:r>
              <w:rPr>
                <w:rFonts w:ascii="Calibri" w:hAnsi="Calibri"/>
                <w:b w:val="0"/>
                <w:i w:val="0"/>
                <w:color w:val="212121"/>
                <w:sz w:val="19"/>
              </w:rPr>
              <w:t>&lt; 2 stools/day / constipation</w:t>
            </w:r>
          </w:p>
        </w:tc>
        <w:tc>
          <w:tcPr>
            <w:tcW w:type="dxa" w:w="1468"/>
            <w:vAlign w:val="top"/>
          </w:tcPr>
          <w:p>
            <w:pPr>
              <w:spacing w:after="60" w:line="259" w:lineRule="auto"/>
            </w:pPr>
            <w:r>
              <w:rPr>
                <w:rFonts w:ascii="Calibri" w:hAnsi="Calibri"/>
                <w:b w:val="0"/>
                <w:i w:val="0"/>
                <w:color w:val="212121"/>
                <w:sz w:val="19"/>
              </w:rPr>
              <w:t>Constipation precipitated 33.3% of HE episodes; titrate lactulose to stool frequency</w:t>
            </w:r>
          </w:p>
          <w:p>
            <w:pPr>
              <w:spacing w:after="40" w:line="252" w:lineRule="auto"/>
            </w:pPr>
            <w:hyperlink r:id="rId11">
              <w:r>
                <w:rPr>
                  <w:rFonts w:ascii="Calibri" w:hAnsi="Calibri" w:cs="Calibri"/>
                  <w:sz w:val="18"/>
                  <w:color w:val="1155CC"/>
                  <w:u w:val="single"/>
                </w:rPr>
                <w:t xml:space="preserve">https://pubmed.ncbi.nlm.nih.gov/31192068/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Venous ammonia</w:t>
            </w:r>
          </w:p>
        </w:tc>
        <w:tc>
          <w:tcPr>
            <w:tcW w:type="dxa" w:w="1655"/>
            <w:vAlign w:val="top"/>
          </w:tcPr>
          <w:p>
            <w:pPr>
              <w:spacing w:after="40" w:before="0" w:line="259" w:lineRule="auto"/>
            </w:pPr>
            <w:r>
              <w:rPr>
                <w:rFonts w:ascii="Calibri" w:hAnsi="Calibri"/>
                <w:b w:val="0"/>
                <w:i w:val="0"/>
                <w:color w:val="212121"/>
                <w:sz w:val="19"/>
              </w:rPr>
              <w:t>Encephalopathic cirrhotics</w:t>
            </w:r>
          </w:p>
        </w:tc>
        <w:tc>
          <w:tcPr>
            <w:tcW w:type="dxa" w:w="1512"/>
            <w:vAlign w:val="top"/>
          </w:tcPr>
          <w:p>
            <w:pPr>
              <w:spacing w:after="40" w:before="0" w:line="259" w:lineRule="auto"/>
            </w:pPr>
            <w:r>
              <w:rPr>
                <w:rFonts w:ascii="Calibri" w:hAnsi="Calibri"/>
                <w:b w:val="0"/>
                <w:i w:val="0"/>
                <w:color w:val="212121"/>
                <w:sz w:val="19"/>
              </w:rPr>
              <w:t>Within laboratory reference range</w:t>
            </w:r>
          </w:p>
        </w:tc>
        <w:tc>
          <w:tcPr>
            <w:tcW w:type="dxa" w:w="1512"/>
            <w:vAlign w:val="top"/>
          </w:tcPr>
          <w:p>
            <w:pPr>
              <w:spacing w:after="40" w:before="0" w:line="259" w:lineRule="auto"/>
            </w:pPr>
            <w:r>
              <w:rPr>
                <w:rFonts w:ascii="Calibri" w:hAnsi="Calibri"/>
                <w:b w:val="0"/>
                <w:i w:val="0"/>
                <w:color w:val="212121"/>
                <w:sz w:val="19"/>
              </w:rPr>
              <w:t>Elevated</w:t>
            </w:r>
          </w:p>
        </w:tc>
        <w:tc>
          <w:tcPr>
            <w:tcW w:type="dxa" w:w="1468"/>
            <w:vAlign w:val="top"/>
          </w:tcPr>
          <w:p>
            <w:pPr>
              <w:spacing w:after="40" w:before="0" w:line="259" w:lineRule="auto"/>
            </w:pPr>
            <w:r>
              <w:rPr>
                <w:rFonts w:ascii="Calibri" w:hAnsi="Calibri"/>
                <w:b w:val="0"/>
                <w:i w:val="0"/>
                <w:color w:val="212121"/>
                <w:sz w:val="19"/>
              </w:rPr>
              <w:t>Supportive only — a normal value argues against HE; do not titrate therapy to ammonia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sodium</w:t>
            </w:r>
          </w:p>
        </w:tc>
        <w:tc>
          <w:tcPr>
            <w:tcW w:type="dxa" w:w="1655"/>
            <w:vAlign w:val="top"/>
          </w:tcPr>
          <w:p>
            <w:pPr>
              <w:spacing w:after="40" w:before="0" w:line="259" w:lineRule="auto"/>
            </w:pPr>
            <w:r>
              <w:rPr>
                <w:rFonts w:ascii="Calibri" w:hAnsi="Calibri"/>
                <w:b w:val="0"/>
                <w:i w:val="0"/>
                <w:color w:val="212121"/>
                <w:sz w:val="19"/>
              </w:rPr>
              <w:t>Cirrhotics on diuretics</w:t>
            </w:r>
          </w:p>
        </w:tc>
        <w:tc>
          <w:tcPr>
            <w:tcW w:type="dxa" w:w="1512"/>
            <w:vAlign w:val="top"/>
          </w:tcPr>
          <w:p>
            <w:pPr>
              <w:spacing w:after="40" w:before="0" w:line="259" w:lineRule="auto"/>
            </w:pPr>
            <w:r>
              <w:rPr>
                <w:rFonts w:ascii="Calibri" w:hAnsi="Calibri"/>
                <w:b w:val="0"/>
                <w:i w:val="0"/>
                <w:color w:val="212121"/>
                <w:sz w:val="19"/>
              </w:rPr>
              <w:t>135–145 mmol/L</w:t>
            </w:r>
          </w:p>
        </w:tc>
        <w:tc>
          <w:tcPr>
            <w:tcW w:type="dxa" w:w="1512"/>
            <w:vAlign w:val="top"/>
          </w:tcPr>
          <w:p>
            <w:pPr>
              <w:spacing w:after="40" w:before="0" w:line="259" w:lineRule="auto"/>
            </w:pPr>
            <w:r>
              <w:rPr>
                <w:rFonts w:ascii="Calibri" w:hAnsi="Calibri"/>
                <w:b w:val="0"/>
                <w:i w:val="0"/>
                <w:color w:val="212121"/>
                <w:sz w:val="19"/>
              </w:rPr>
              <w:t>&lt; 130 mmol/L</w:t>
            </w:r>
          </w:p>
        </w:tc>
        <w:tc>
          <w:tcPr>
            <w:tcW w:type="dxa" w:w="1468"/>
            <w:vAlign w:val="top"/>
          </w:tcPr>
          <w:p>
            <w:pPr>
              <w:spacing w:after="40" w:before="0" w:line="259" w:lineRule="auto"/>
            </w:pPr>
            <w:r>
              <w:rPr>
                <w:rFonts w:ascii="Calibri" w:hAnsi="Calibri"/>
                <w:b w:val="0"/>
                <w:i w:val="0"/>
                <w:color w:val="212121"/>
                <w:sz w:val="19"/>
              </w:rPr>
              <w:t>Hyponatraemia precipitates and worsens HE and limits safe diuresis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potassium</w:t>
            </w:r>
          </w:p>
        </w:tc>
        <w:tc>
          <w:tcPr>
            <w:tcW w:type="dxa" w:w="1655"/>
            <w:vAlign w:val="top"/>
          </w:tcPr>
          <w:p>
            <w:pPr>
              <w:spacing w:after="40" w:before="0" w:line="259" w:lineRule="auto"/>
            </w:pPr>
            <w:r>
              <w:rPr>
                <w:rFonts w:ascii="Calibri" w:hAnsi="Calibri"/>
                <w:b w:val="0"/>
                <w:i w:val="0"/>
                <w:color w:val="212121"/>
                <w:sz w:val="19"/>
              </w:rPr>
              <w:t>Cirrhotics on diuretics</w:t>
            </w:r>
          </w:p>
        </w:tc>
        <w:tc>
          <w:tcPr>
            <w:tcW w:type="dxa" w:w="1512"/>
            <w:vAlign w:val="top"/>
          </w:tcPr>
          <w:p>
            <w:pPr>
              <w:spacing w:after="40" w:before="0" w:line="259" w:lineRule="auto"/>
            </w:pPr>
            <w:r>
              <w:rPr>
                <w:rFonts w:ascii="Calibri" w:hAnsi="Calibri"/>
                <w:b w:val="0"/>
                <w:i w:val="0"/>
                <w:color w:val="212121"/>
                <w:sz w:val="19"/>
              </w:rPr>
              <w:t>3.5–5.0 mmol/L</w:t>
            </w:r>
          </w:p>
        </w:tc>
        <w:tc>
          <w:tcPr>
            <w:tcW w:type="dxa" w:w="1512"/>
            <w:vAlign w:val="top"/>
          </w:tcPr>
          <w:p>
            <w:pPr>
              <w:spacing w:after="40" w:before="0" w:line="259" w:lineRule="auto"/>
            </w:pPr>
            <w:r>
              <w:rPr>
                <w:rFonts w:ascii="Calibri" w:hAnsi="Calibri"/>
                <w:b w:val="0"/>
                <w:i w:val="0"/>
                <w:color w:val="212121"/>
                <w:sz w:val="19"/>
              </w:rPr>
              <w:t>&lt; 3.5 mmol/L</w:t>
            </w:r>
          </w:p>
        </w:tc>
        <w:tc>
          <w:tcPr>
            <w:tcW w:type="dxa" w:w="1468"/>
            <w:vAlign w:val="top"/>
          </w:tcPr>
          <w:p>
            <w:pPr>
              <w:spacing w:after="40" w:before="0" w:line="259" w:lineRule="auto"/>
            </w:pPr>
            <w:r>
              <w:rPr>
                <w:rFonts w:ascii="Calibri" w:hAnsi="Calibri"/>
                <w:b w:val="0"/>
                <w:i w:val="0"/>
                <w:color w:val="212121"/>
                <w:sz w:val="19"/>
              </w:rPr>
              <w:t>Hypokalaemia increases renal ammoniagenesis and can trigger HE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Alcohol-related cirrhosis</w:t>
            </w:r>
          </w:p>
        </w:tc>
        <w:tc>
          <w:tcPr>
            <w:tcW w:type="dxa" w:w="1512"/>
            <w:vAlign w:val="top"/>
          </w:tcPr>
          <w:p>
            <w:pPr>
              <w:spacing w:after="40" w:before="0" w:line="259" w:lineRule="auto"/>
            </w:pPr>
            <w:r>
              <w:rPr>
                <w:rFonts w:ascii="Calibri" w:hAnsi="Calibri"/>
                <w:b w:val="0"/>
                <w:i w:val="0"/>
                <w:color w:val="212121"/>
                <w:sz w:val="19"/>
              </w:rPr>
              <w:t>Complete abstinence</w:t>
            </w:r>
          </w:p>
        </w:tc>
        <w:tc>
          <w:tcPr>
            <w:tcW w:type="dxa" w:w="1512"/>
            <w:vAlign w:val="top"/>
          </w:tcPr>
          <w:p>
            <w:pPr>
              <w:spacing w:after="40" w:before="0" w:line="259" w:lineRule="auto"/>
            </w:pPr>
            <w:r>
              <w:rPr>
                <w:rFonts w:ascii="Calibri" w:hAnsi="Calibri"/>
                <w:b w:val="0"/>
                <w:i w:val="0"/>
                <w:color w:val="212121"/>
                <w:sz w:val="19"/>
              </w:rPr>
              <w:t>Any intake</w:t>
            </w:r>
          </w:p>
        </w:tc>
        <w:tc>
          <w:tcPr>
            <w:tcW w:type="dxa" w:w="1468"/>
            <w:vAlign w:val="top"/>
          </w:tcPr>
          <w:p>
            <w:pPr>
              <w:spacing w:after="60" w:line="259" w:lineRule="auto"/>
            </w:pPr>
            <w:r>
              <w:rPr>
                <w:rFonts w:ascii="Calibri" w:hAnsi="Calibri"/>
                <w:b w:val="0"/>
                <w:i w:val="0"/>
                <w:color w:val="212121"/>
                <w:sz w:val="19"/>
              </w:rPr>
              <w:t>Alcohol is the leading cause of Indian cirrhosis and precipitates HE</w:t>
            </w:r>
          </w:p>
          <w:p>
            <w:pPr>
              <w:spacing w:after="40" w:line="252" w:lineRule="auto"/>
            </w:pPr>
            <w:hyperlink r:id="rId9">
              <w:r>
                <w:rPr>
                  <w:rFonts w:ascii="Calibri" w:hAnsi="Calibri" w:cs="Calibri"/>
                  <w:sz w:val="18"/>
                  <w:color w:val="1155CC"/>
                  <w:u w:val="single"/>
                </w:rPr>
                <w:t xml:space="preserve">https://pubmed.ncbi.nlm.nih.gov/31516264/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pattern &amp; duration</w:t>
            </w:r>
          </w:p>
        </w:tc>
        <w:tc>
          <w:tcPr>
            <w:tcW w:type="dxa" w:w="1655"/>
            <w:vAlign w:val="top"/>
          </w:tcPr>
          <w:p>
            <w:pPr>
              <w:spacing w:after="40" w:before="0" w:line="259" w:lineRule="auto"/>
            </w:pPr>
            <w:r>
              <w:rPr>
                <w:rFonts w:ascii="Calibri" w:hAnsi="Calibri"/>
                <w:b w:val="0"/>
                <w:i w:val="0"/>
                <w:color w:val="212121"/>
                <w:sz w:val="19"/>
              </w:rPr>
              <w:t>Cirrhotics, covert HE</w:t>
            </w:r>
          </w:p>
        </w:tc>
        <w:tc>
          <w:tcPr>
            <w:tcW w:type="dxa" w:w="1512"/>
            <w:vAlign w:val="top"/>
          </w:tcPr>
          <w:p>
            <w:pPr>
              <w:spacing w:after="40" w:before="0" w:line="259" w:lineRule="auto"/>
            </w:pPr>
            <w:r>
              <w:rPr>
                <w:rFonts w:ascii="Calibri" w:hAnsi="Calibri"/>
                <w:b w:val="0"/>
                <w:i w:val="0"/>
                <w:color w:val="212121"/>
                <w:sz w:val="19"/>
              </w:rPr>
              <w:t>7–8 h with a normal day–night rhythm</w:t>
            </w:r>
          </w:p>
        </w:tc>
        <w:tc>
          <w:tcPr>
            <w:tcW w:type="dxa" w:w="1512"/>
            <w:vAlign w:val="top"/>
          </w:tcPr>
          <w:p>
            <w:pPr>
              <w:spacing w:after="40" w:before="0" w:line="259" w:lineRule="auto"/>
            </w:pPr>
            <w:r>
              <w:rPr>
                <w:rFonts w:ascii="Calibri" w:hAnsi="Calibri"/>
                <w:b w:val="0"/>
                <w:i w:val="0"/>
                <w:color w:val="212121"/>
                <w:sz w:val="19"/>
              </w:rPr>
              <w:t>Day–night reversal, daytime somnolence</w:t>
            </w:r>
          </w:p>
        </w:tc>
        <w:tc>
          <w:tcPr>
            <w:tcW w:type="dxa" w:w="1468"/>
            <w:vAlign w:val="top"/>
          </w:tcPr>
          <w:p>
            <w:pPr>
              <w:spacing w:after="40" w:before="0" w:line="259" w:lineRule="auto"/>
            </w:pPr>
            <w:r>
              <w:rPr>
                <w:rFonts w:ascii="Calibri" w:hAnsi="Calibri"/>
                <w:b w:val="0"/>
                <w:i w:val="0"/>
                <w:color w:val="212121"/>
                <w:sz w:val="19"/>
              </w:rPr>
              <w:t>Sleep–wake reversal is an early clinical sign of HE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Psychometric/neurophysiological test (PHES, CFF)</w:t>
            </w:r>
          </w:p>
        </w:tc>
        <w:tc>
          <w:tcPr>
            <w:tcW w:type="dxa" w:w="1655"/>
            <w:vAlign w:val="top"/>
          </w:tcPr>
          <w:p>
            <w:pPr>
              <w:spacing w:after="40" w:before="0" w:line="259" w:lineRule="auto"/>
            </w:pPr>
            <w:r>
              <w:rPr>
                <w:rFonts w:ascii="Calibri" w:hAnsi="Calibri"/>
                <w:b w:val="0"/>
                <w:i w:val="0"/>
                <w:color w:val="212121"/>
                <w:sz w:val="19"/>
              </w:rPr>
              <w:t>Cirrhotics screened for covert HE</w:t>
            </w:r>
          </w:p>
        </w:tc>
        <w:tc>
          <w:tcPr>
            <w:tcW w:type="dxa" w:w="1512"/>
            <w:vAlign w:val="top"/>
          </w:tcPr>
          <w:p>
            <w:pPr>
              <w:spacing w:after="40" w:before="0" w:line="259" w:lineRule="auto"/>
            </w:pPr>
            <w:r>
              <w:rPr>
                <w:rFonts w:ascii="Calibri" w:hAnsi="Calibri"/>
                <w:b w:val="0"/>
                <w:i w:val="0"/>
                <w:color w:val="212121"/>
                <w:sz w:val="19"/>
              </w:rPr>
              <w:t>PHES &gt; −4; Critical Flicker Frequency ≥ 39 Hz</w:t>
            </w:r>
          </w:p>
        </w:tc>
        <w:tc>
          <w:tcPr>
            <w:tcW w:type="dxa" w:w="1512"/>
            <w:vAlign w:val="top"/>
          </w:tcPr>
          <w:p>
            <w:pPr>
              <w:spacing w:after="40" w:before="0" w:line="259" w:lineRule="auto"/>
            </w:pPr>
            <w:r>
              <w:rPr>
                <w:rFonts w:ascii="Calibri" w:hAnsi="Calibri"/>
                <w:b w:val="0"/>
                <w:i w:val="0"/>
                <w:color w:val="212121"/>
                <w:sz w:val="19"/>
              </w:rPr>
              <w:t>PHES ≤ −5; CFF &lt; 39 Hz</w:t>
            </w:r>
          </w:p>
        </w:tc>
        <w:tc>
          <w:tcPr>
            <w:tcW w:type="dxa" w:w="1468"/>
            <w:vAlign w:val="top"/>
          </w:tcPr>
          <w:p>
            <w:pPr>
              <w:spacing w:after="60" w:line="259" w:lineRule="auto"/>
            </w:pPr>
            <w:r>
              <w:rPr>
                <w:rFonts w:ascii="Calibri" w:hAnsi="Calibri"/>
                <w:b w:val="0"/>
                <w:i w:val="0"/>
                <w:color w:val="212121"/>
                <w:sz w:val="19"/>
              </w:rPr>
              <w:t>Detects minimal/covert HE that is invisible on routine examination</w:t>
            </w:r>
          </w:p>
          <w:p>
            <w:pPr>
              <w:spacing w:after="40" w:line="252" w:lineRule="auto"/>
            </w:pPr>
            <w:hyperlink r:id="rId13">
              <w:r>
                <w:rPr>
                  <w:rFonts w:ascii="Calibri" w:hAnsi="Calibri" w:cs="Calibri"/>
                  <w:sz w:val="18"/>
                  <w:color w:val="1155CC"/>
                  <w:u w:val="single"/>
                </w:rPr>
                <w:t xml:space="preserve">https://pubmed.ncbi.nlm.nih.gov/31915599/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Venous ammonia</w:t>
            </w:r>
          </w:p>
        </w:tc>
        <w:tc>
          <w:tcPr>
            <w:tcW w:type="dxa" w:w="892"/>
            <w:vAlign w:val="top"/>
          </w:tcPr>
          <w:p>
            <w:pPr>
              <w:spacing w:after="40" w:before="0" w:line="259" w:lineRule="auto"/>
            </w:pPr>
            <w:r>
              <w:rPr>
                <w:rFonts w:ascii="Calibri" w:hAnsi="Calibri"/>
                <w:b w:val="0"/>
                <w:i w:val="0"/>
                <w:color w:val="212121"/>
                <w:sz w:val="16"/>
              </w:rPr>
              <w:t>Blood ammonia assay</w:t>
            </w:r>
          </w:p>
        </w:tc>
        <w:tc>
          <w:tcPr>
            <w:tcW w:type="dxa" w:w="950"/>
            <w:vAlign w:val="top"/>
          </w:tcPr>
          <w:p>
            <w:pPr>
              <w:spacing w:after="40" w:before="0" w:line="259" w:lineRule="auto"/>
            </w:pPr>
            <w:r>
              <w:rPr>
                <w:rFonts w:ascii="Calibri" w:hAnsi="Calibri"/>
                <w:b w:val="0"/>
                <w:i w:val="0"/>
                <w:color w:val="212121"/>
                <w:sz w:val="16"/>
              </w:rPr>
              <w:t>~11–50 µmol/L (lab-dependent)</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Supports HE but is neither necessary nor sufficient; a normal level argues against HE</w:t>
            </w:r>
          </w:p>
        </w:tc>
        <w:tc>
          <w:tcPr>
            <w:tcW w:type="dxa" w:w="1036"/>
            <w:vAlign w:val="top"/>
          </w:tcPr>
          <w:p>
            <w:pPr>
              <w:spacing w:after="40" w:before="0" w:line="259" w:lineRule="auto"/>
            </w:pPr>
            <w:r>
              <w:rPr>
                <w:rFonts w:ascii="Calibri" w:hAnsi="Calibri"/>
                <w:b w:val="0"/>
                <w:i w:val="0"/>
                <w:color w:val="212121"/>
                <w:sz w:val="16"/>
              </w:rPr>
              <w:t>Cirrhotics with altered sensorium, suspected HE</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Free-flowing sample, kept on ice and analysed promptly; do not titrate therapy to 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(bilirubin, AST/ALT, albumin)</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High bilirubin, low albumin, deranged transaminases</w:t>
            </w:r>
          </w:p>
        </w:tc>
        <w:tc>
          <w:tcPr>
            <w:tcW w:type="dxa" w:w="1036"/>
            <w:vAlign w:val="top"/>
          </w:tcPr>
          <w:p>
            <w:pPr>
              <w:spacing w:after="40" w:before="0" w:line="259" w:lineRule="auto"/>
            </w:pPr>
            <w:r>
              <w:rPr>
                <w:rFonts w:ascii="Calibri" w:hAnsi="Calibri"/>
                <w:b w:val="0"/>
                <w:i w:val="0"/>
                <w:color w:val="212121"/>
                <w:sz w:val="16"/>
              </w:rPr>
              <w:t>Reflect hepatocellular dysfunction and decompensation</w:t>
            </w:r>
          </w:p>
        </w:tc>
        <w:tc>
          <w:tcPr>
            <w:tcW w:type="dxa" w:w="1036"/>
            <w:vAlign w:val="top"/>
          </w:tcPr>
          <w:p>
            <w:pPr>
              <w:spacing w:after="40" w:before="0" w:line="259" w:lineRule="auto"/>
            </w:pPr>
            <w:r>
              <w:rPr>
                <w:rFonts w:ascii="Calibri" w:hAnsi="Calibri"/>
                <w:b w:val="0"/>
                <w:i w:val="0"/>
                <w:color w:val="212121"/>
                <w:sz w:val="16"/>
              </w:rPr>
              <w:t>All patients with suspected HE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Feed into Child–Pugh and MELD scoring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Prothrombin time / INR</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~0.8–1.1</w:t>
            </w:r>
          </w:p>
        </w:tc>
        <w:tc>
          <w:tcPr>
            <w:tcW w:type="dxa" w:w="950"/>
            <w:vAlign w:val="top"/>
          </w:tcPr>
          <w:p>
            <w:pPr>
              <w:spacing w:after="40" w:before="0" w:line="259" w:lineRule="auto"/>
            </w:pPr>
            <w:r>
              <w:rPr>
                <w:rFonts w:ascii="Calibri" w:hAnsi="Calibri"/>
                <w:b w:val="0"/>
                <w:i w:val="0"/>
                <w:color w:val="212121"/>
                <w:sz w:val="16"/>
              </w:rPr>
              <w:t>Prolonged / INR ≥ 1.5</w:t>
            </w:r>
          </w:p>
        </w:tc>
        <w:tc>
          <w:tcPr>
            <w:tcW w:type="dxa" w:w="1036"/>
            <w:vAlign w:val="top"/>
          </w:tcPr>
          <w:p>
            <w:pPr>
              <w:spacing w:after="40" w:before="0" w:line="259" w:lineRule="auto"/>
            </w:pPr>
            <w:r>
              <w:rPr>
                <w:rFonts w:ascii="Calibri" w:hAnsi="Calibri"/>
                <w:b w:val="0"/>
                <w:i w:val="0"/>
                <w:color w:val="212121"/>
                <w:sz w:val="16"/>
              </w:rPr>
              <w:t>Marks synthetic failure; INR ≥ 1.5 with encephalopathy defines acute liver failure</w:t>
            </w:r>
          </w:p>
        </w:tc>
        <w:tc>
          <w:tcPr>
            <w:tcW w:type="dxa" w:w="1036"/>
            <w:vAlign w:val="top"/>
          </w:tcPr>
          <w:p>
            <w:pPr>
              <w:spacing w:after="40" w:before="0" w:line="259" w:lineRule="auto"/>
            </w:pPr>
            <w:r>
              <w:rPr>
                <w:rFonts w:ascii="Calibri" w:hAnsi="Calibri"/>
                <w:b w:val="0"/>
                <w:i w:val="0"/>
                <w:color w:val="212121"/>
                <w:sz w:val="16"/>
              </w:rPr>
              <w:t>Suspected acute liver failure, decompensated cirrhosis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Diagnostic/Prognostic</w:t>
            </w:r>
          </w:p>
        </w:tc>
        <w:tc>
          <w:tcPr>
            <w:tcW w:type="dxa" w:w="720"/>
            <w:vAlign w:val="top"/>
          </w:tcPr>
          <w:p>
            <w:pPr>
              <w:spacing w:after="40" w:before="0" w:line="259" w:lineRule="auto"/>
            </w:pPr>
            <w:r>
              <w:rPr>
                <w:rFonts w:ascii="Calibri" w:hAnsi="Calibri"/>
                <w:b w:val="0"/>
                <w:i w:val="0"/>
                <w:color w:val="212121"/>
                <w:sz w:val="16"/>
              </w:rPr>
              <w:t>Key MELD component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(Na, K)</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Na 135–145; K 3.5–5.0 mmol/L</w:t>
            </w:r>
          </w:p>
        </w:tc>
        <w:tc>
          <w:tcPr>
            <w:tcW w:type="dxa" w:w="950"/>
            <w:vAlign w:val="top"/>
          </w:tcPr>
          <w:p>
            <w:pPr>
              <w:spacing w:after="40" w:before="0" w:line="259" w:lineRule="auto"/>
            </w:pPr>
            <w:r>
              <w:rPr>
                <w:rFonts w:ascii="Calibri" w:hAnsi="Calibri"/>
                <w:b w:val="0"/>
                <w:i w:val="0"/>
                <w:color w:val="212121"/>
                <w:sz w:val="16"/>
              </w:rPr>
              <w:t>Hyponatraemia &lt; 130; hypokalaemia &lt; 3.5</w:t>
            </w:r>
          </w:p>
        </w:tc>
        <w:tc>
          <w:tcPr>
            <w:tcW w:type="dxa" w:w="1036"/>
            <w:vAlign w:val="top"/>
          </w:tcPr>
          <w:p>
            <w:pPr>
              <w:spacing w:after="40" w:before="0" w:line="259" w:lineRule="auto"/>
            </w:pPr>
            <w:r>
              <w:rPr>
                <w:rFonts w:ascii="Calibri" w:hAnsi="Calibri"/>
                <w:b w:val="0"/>
                <w:i w:val="0"/>
                <w:color w:val="212121"/>
                <w:sz w:val="16"/>
              </w:rPr>
              <w:t>Common, correctable precipitants of HE</w:t>
            </w:r>
          </w:p>
        </w:tc>
        <w:tc>
          <w:tcPr>
            <w:tcW w:type="dxa" w:w="1036"/>
            <w:vAlign w:val="top"/>
          </w:tcPr>
          <w:p>
            <w:pPr>
              <w:spacing w:after="40" w:before="0" w:line="259" w:lineRule="auto"/>
            </w:pPr>
            <w:r>
              <w:rPr>
                <w:rFonts w:ascii="Calibri" w:hAnsi="Calibri"/>
                <w:b w:val="0"/>
                <w:i w:val="0"/>
                <w:color w:val="212121"/>
                <w:sz w:val="16"/>
              </w:rPr>
              <w:t>Cirrhotics on diuretics/lactulose</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Precipitant screen</w:t>
            </w:r>
          </w:p>
        </w:tc>
        <w:tc>
          <w:tcPr>
            <w:tcW w:type="dxa" w:w="720"/>
            <w:vAlign w:val="top"/>
          </w:tcPr>
          <w:p>
            <w:pPr>
              <w:spacing w:after="40" w:before="0" w:line="259" w:lineRule="auto"/>
            </w:pPr>
            <w:r>
              <w:rPr>
                <w:rFonts w:ascii="Calibri" w:hAnsi="Calibri"/>
                <w:b w:val="0"/>
                <w:i w:val="0"/>
                <w:color w:val="212121"/>
                <w:sz w:val="16"/>
              </w:rPr>
              <w:t>Correcting these often reverses an episode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(urea, creatinine)</w:t>
            </w:r>
          </w:p>
        </w:tc>
        <w:tc>
          <w:tcPr>
            <w:tcW w:type="dxa" w:w="892"/>
            <w:vAlign w:val="top"/>
          </w:tcPr>
          <w:p>
            <w:pPr>
              <w:spacing w:after="40" w:before="0" w:line="259" w:lineRule="auto"/>
            </w:pPr>
            <w:r>
              <w:rPr>
                <w:rFonts w:ascii="Calibri" w:hAnsi="Calibri"/>
                <w:b w:val="0"/>
                <w:i w:val="0"/>
                <w:color w:val="212121"/>
                <w:sz w:val="16"/>
              </w:rPr>
              <w:t>Renal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Rising urea/creatinine (azotaemia)</w:t>
            </w:r>
          </w:p>
        </w:tc>
        <w:tc>
          <w:tcPr>
            <w:tcW w:type="dxa" w:w="1036"/>
            <w:vAlign w:val="top"/>
          </w:tcPr>
          <w:p>
            <w:pPr>
              <w:spacing w:after="40" w:before="0" w:line="259" w:lineRule="auto"/>
            </w:pPr>
            <w:r>
              <w:rPr>
                <w:rFonts w:ascii="Calibri" w:hAnsi="Calibri"/>
                <w:b w:val="0"/>
                <w:i w:val="0"/>
                <w:color w:val="212121"/>
                <w:sz w:val="16"/>
              </w:rPr>
              <w:t>Azotaemia and hepatorenal syndrome precipitate HE; high urea also suggests GI bleeding</w:t>
            </w:r>
          </w:p>
        </w:tc>
        <w:tc>
          <w:tcPr>
            <w:tcW w:type="dxa" w:w="1036"/>
            <w:vAlign w:val="top"/>
          </w:tcPr>
          <w:p>
            <w:pPr>
              <w:spacing w:after="40" w:before="0" w:line="259" w:lineRule="auto"/>
            </w:pPr>
            <w:r>
              <w:rPr>
                <w:rFonts w:ascii="Calibri" w:hAnsi="Calibri"/>
                <w:b w:val="0"/>
                <w:i w:val="0"/>
                <w:color w:val="212121"/>
                <w:sz w:val="16"/>
              </w:rPr>
              <w:t>Cirrhotics with sepsis, over-diuresis or bleeding</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Precipitant screen</w:t>
            </w:r>
          </w:p>
        </w:tc>
        <w:tc>
          <w:tcPr>
            <w:tcW w:type="dxa" w:w="720"/>
            <w:vAlign w:val="top"/>
          </w:tcPr>
          <w:p>
            <w:pPr>
              <w:spacing w:after="40" w:before="0" w:line="259" w:lineRule="auto"/>
            </w:pPr>
            <w:r>
              <w:rPr>
                <w:rFonts w:ascii="Calibri" w:hAnsi="Calibri"/>
                <w:b w:val="0"/>
                <w:i w:val="0"/>
                <w:color w:val="212121"/>
                <w:sz w:val="16"/>
              </w:rPr>
              <w:t>Guides fluid and diuretic adjustment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(bleed), leucocytosis (infection), thrombocytopenia (hypersplenism)</w:t>
            </w:r>
          </w:p>
        </w:tc>
        <w:tc>
          <w:tcPr>
            <w:tcW w:type="dxa" w:w="1036"/>
            <w:vAlign w:val="top"/>
          </w:tcPr>
          <w:p>
            <w:pPr>
              <w:spacing w:after="40" w:before="0" w:line="259" w:lineRule="auto"/>
            </w:pPr>
            <w:r>
              <w:rPr>
                <w:rFonts w:ascii="Calibri" w:hAnsi="Calibri"/>
                <w:b w:val="0"/>
                <w:i w:val="0"/>
                <w:color w:val="212121"/>
                <w:sz w:val="16"/>
              </w:rPr>
              <w:t>Screens for the commonest precipitants — infection and GI bleeding</w:t>
            </w:r>
          </w:p>
        </w:tc>
        <w:tc>
          <w:tcPr>
            <w:tcW w:type="dxa" w:w="1036"/>
            <w:vAlign w:val="top"/>
          </w:tcPr>
          <w:p>
            <w:pPr>
              <w:spacing w:after="40" w:before="0" w:line="259" w:lineRule="auto"/>
            </w:pPr>
            <w:r>
              <w:rPr>
                <w:rFonts w:ascii="Calibri" w:hAnsi="Calibri"/>
                <w:b w:val="0"/>
                <w:i w:val="0"/>
                <w:color w:val="212121"/>
                <w:sz w:val="16"/>
              </w:rPr>
              <w:t>All patients with overt HE</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Precipitant screen</w:t>
            </w:r>
          </w:p>
        </w:tc>
        <w:tc>
          <w:tcPr>
            <w:tcW w:type="dxa" w:w="720"/>
            <w:vAlign w:val="top"/>
          </w:tcPr>
          <w:p>
            <w:pPr>
              <w:spacing w:after="40" w:before="0" w:line="259" w:lineRule="auto"/>
            </w:pPr>
            <w:r>
              <w:rPr>
                <w:rFonts w:ascii="Calibri" w:hAnsi="Calibri"/>
                <w:b w:val="0"/>
                <w:i w:val="0"/>
                <w:color w:val="212121"/>
                <w:sz w:val="16"/>
              </w:rPr>
              <w:t>Leucocytosis prompts an active septic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Ascitic fluid</w:t>
            </w:r>
          </w:p>
        </w:tc>
        <w:tc>
          <w:tcPr>
            <w:tcW w:type="dxa" w:w="1036"/>
            <w:vAlign w:val="top"/>
          </w:tcPr>
          <w:p>
            <w:pPr>
              <w:spacing w:after="40" w:before="0" w:line="259" w:lineRule="auto"/>
            </w:pPr>
            <w:r>
              <w:rPr>
                <w:rFonts w:ascii="Calibri" w:hAnsi="Calibri"/>
                <w:b w:val="0"/>
                <w:i w:val="0"/>
                <w:color w:val="212121"/>
                <w:sz w:val="16"/>
              </w:rPr>
              <w:t>Ascitic polymorph (PMN) count &amp; culture</w:t>
            </w:r>
          </w:p>
        </w:tc>
        <w:tc>
          <w:tcPr>
            <w:tcW w:type="dxa" w:w="892"/>
            <w:vAlign w:val="top"/>
          </w:tcPr>
          <w:p>
            <w:pPr>
              <w:spacing w:after="40" w:before="0" w:line="259" w:lineRule="auto"/>
            </w:pPr>
            <w:r>
              <w:rPr>
                <w:rFonts w:ascii="Calibri" w:hAnsi="Calibri"/>
                <w:b w:val="0"/>
                <w:i w:val="0"/>
                <w:color w:val="212121"/>
                <w:sz w:val="16"/>
              </w:rPr>
              <w:t>Diagnostic ascitic tap</w:t>
            </w:r>
          </w:p>
        </w:tc>
        <w:tc>
          <w:tcPr>
            <w:tcW w:type="dxa" w:w="950"/>
            <w:vAlign w:val="top"/>
          </w:tcPr>
          <w:p>
            <w:pPr>
              <w:spacing w:after="40" w:before="0" w:line="259" w:lineRule="auto"/>
            </w:pPr>
            <w:r>
              <w:rPr>
                <w:rFonts w:ascii="Calibri" w:hAnsi="Calibri"/>
                <w:b w:val="0"/>
                <w:i w:val="0"/>
                <w:color w:val="212121"/>
                <w:sz w:val="16"/>
              </w:rPr>
              <w:t>PMN &lt; 250/mm³</w:t>
            </w:r>
          </w:p>
        </w:tc>
        <w:tc>
          <w:tcPr>
            <w:tcW w:type="dxa" w:w="950"/>
            <w:vAlign w:val="top"/>
          </w:tcPr>
          <w:p>
            <w:pPr>
              <w:spacing w:after="40" w:before="0" w:line="259" w:lineRule="auto"/>
            </w:pPr>
            <w:r>
              <w:rPr>
                <w:rFonts w:ascii="Calibri" w:hAnsi="Calibri"/>
                <w:b w:val="0"/>
                <w:i w:val="0"/>
                <w:color w:val="212121"/>
                <w:sz w:val="16"/>
              </w:rPr>
              <w:t>PMN ≥ 250/mm³ (spontaneous bacterial peritonitis)</w:t>
            </w:r>
          </w:p>
        </w:tc>
        <w:tc>
          <w:tcPr>
            <w:tcW w:type="dxa" w:w="1036"/>
            <w:vAlign w:val="top"/>
          </w:tcPr>
          <w:p>
            <w:pPr>
              <w:spacing w:after="40" w:before="0" w:line="259" w:lineRule="auto"/>
            </w:pPr>
            <w:r>
              <w:rPr>
                <w:rFonts w:ascii="Calibri" w:hAnsi="Calibri"/>
                <w:b w:val="0"/>
                <w:i w:val="0"/>
                <w:color w:val="212121"/>
                <w:sz w:val="16"/>
              </w:rPr>
              <w:t>Diagnoses SBP, the commonest precipitant of overt HE</w:t>
            </w:r>
          </w:p>
        </w:tc>
        <w:tc>
          <w:tcPr>
            <w:tcW w:type="dxa" w:w="1036"/>
            <w:vAlign w:val="top"/>
          </w:tcPr>
          <w:p>
            <w:pPr>
              <w:spacing w:after="40" w:before="0" w:line="259" w:lineRule="auto"/>
            </w:pPr>
            <w:r>
              <w:rPr>
                <w:rFonts w:ascii="Calibri" w:hAnsi="Calibri"/>
                <w:b w:val="0"/>
                <w:i w:val="0"/>
                <w:color w:val="212121"/>
                <w:sz w:val="16"/>
              </w:rPr>
              <w:t>Any cirrhotic with ascites and new HE</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 (precipitant)</w:t>
            </w:r>
          </w:p>
        </w:tc>
        <w:tc>
          <w:tcPr>
            <w:tcW w:type="dxa" w:w="720"/>
            <w:vAlign w:val="top"/>
          </w:tcPr>
          <w:p>
            <w:pPr>
              <w:spacing w:after="40" w:before="0" w:line="259" w:lineRule="auto"/>
            </w:pPr>
            <w:r>
              <w:rPr>
                <w:rFonts w:ascii="Calibri" w:hAnsi="Calibri"/>
                <w:b w:val="0"/>
                <w:i w:val="0"/>
                <w:color w:val="212121"/>
                <w:sz w:val="16"/>
              </w:rPr>
              <w:t>Perform in every ascitic patient presenting with HE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Capillary / plasma glucose</w:t>
            </w:r>
          </w:p>
        </w:tc>
        <w:tc>
          <w:tcPr>
            <w:tcW w:type="dxa" w:w="892"/>
            <w:vAlign w:val="top"/>
          </w:tcPr>
          <w:p>
            <w:pPr>
              <w:spacing w:after="40" w:before="0" w:line="259" w:lineRule="auto"/>
            </w:pPr>
            <w:r>
              <w:rPr>
                <w:rFonts w:ascii="Calibri" w:hAnsi="Calibri"/>
                <w:b w:val="0"/>
                <w:i w:val="0"/>
                <w:color w:val="212121"/>
                <w:sz w:val="16"/>
              </w:rPr>
              <w:t>Glucose test</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Hypoglycaemia (or hyperglycaemia)</w:t>
            </w:r>
          </w:p>
        </w:tc>
        <w:tc>
          <w:tcPr>
            <w:tcW w:type="dxa" w:w="1036"/>
            <w:vAlign w:val="top"/>
          </w:tcPr>
          <w:p>
            <w:pPr>
              <w:spacing w:after="40" w:before="0" w:line="259" w:lineRule="auto"/>
            </w:pPr>
            <w:r>
              <w:rPr>
                <w:rFonts w:ascii="Calibri" w:hAnsi="Calibri"/>
                <w:b w:val="0"/>
                <w:i w:val="0"/>
                <w:color w:val="212121"/>
                <w:sz w:val="16"/>
              </w:rPr>
              <w:t>Excludes hypoglycaemia, a key mimic, and detects the hypoglycaemia of acute liver failure</w:t>
            </w:r>
          </w:p>
        </w:tc>
        <w:tc>
          <w:tcPr>
            <w:tcW w:type="dxa" w:w="1036"/>
            <w:vAlign w:val="top"/>
          </w:tcPr>
          <w:p>
            <w:pPr>
              <w:spacing w:after="40" w:before="0" w:line="259" w:lineRule="auto"/>
            </w:pPr>
            <w:r>
              <w:rPr>
                <w:rFonts w:ascii="Calibri" w:hAnsi="Calibri"/>
                <w:b w:val="0"/>
                <w:i w:val="0"/>
                <w:color w:val="212121"/>
                <w:sz w:val="16"/>
              </w:rPr>
              <w:t>Any patient with altered sensorium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(mimic)</w:t>
            </w:r>
          </w:p>
        </w:tc>
        <w:tc>
          <w:tcPr>
            <w:tcW w:type="dxa" w:w="720"/>
            <w:vAlign w:val="top"/>
          </w:tcPr>
          <w:p>
            <w:pPr>
              <w:spacing w:after="40" w:before="0" w:line="259" w:lineRule="auto"/>
            </w:pPr>
            <w:r>
              <w:rPr>
                <w:rFonts w:ascii="Calibri" w:hAnsi="Calibri"/>
                <w:b w:val="0"/>
                <w:i w:val="0"/>
                <w:color w:val="212121"/>
                <w:sz w:val="16"/>
              </w:rPr>
              <w:t>Always check glucose before attributing coma to HE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Mental-state grading</w:t>
            </w:r>
          </w:p>
        </w:tc>
        <w:tc>
          <w:tcPr>
            <w:tcW w:type="dxa" w:w="979"/>
            <w:vAlign w:val="top"/>
          </w:tcPr>
          <w:p>
            <w:pPr>
              <w:spacing w:after="40" w:before="0" w:line="259" w:lineRule="auto"/>
            </w:pPr>
            <w:r>
              <w:rPr>
                <w:rFonts w:ascii="Calibri" w:hAnsi="Calibri"/>
                <w:b w:val="0"/>
                <w:i w:val="0"/>
                <w:color w:val="212121"/>
                <w:sz w:val="16"/>
              </w:rPr>
              <w:t>West Haven grade, sleep–wake pattern, attention</w:t>
            </w:r>
          </w:p>
        </w:tc>
        <w:tc>
          <w:tcPr>
            <w:tcW w:type="dxa" w:w="950"/>
            <w:vAlign w:val="top"/>
          </w:tcPr>
          <w:p>
            <w:pPr>
              <w:spacing w:after="40" w:before="0" w:line="259" w:lineRule="auto"/>
            </w:pPr>
            <w:r>
              <w:rPr>
                <w:rFonts w:ascii="Calibri" w:hAnsi="Calibri"/>
                <w:b w:val="0"/>
                <w:i w:val="0"/>
                <w:color w:val="212121"/>
                <w:sz w:val="16"/>
              </w:rPr>
              <w:t>Alert, oriented, normal sleep</w:t>
            </w:r>
          </w:p>
        </w:tc>
        <w:tc>
          <w:tcPr>
            <w:tcW w:type="dxa" w:w="950"/>
            <w:vAlign w:val="top"/>
          </w:tcPr>
          <w:p>
            <w:pPr>
              <w:spacing w:after="40" w:before="0" w:line="259" w:lineRule="auto"/>
            </w:pPr>
            <w:r>
              <w:rPr>
                <w:rFonts w:ascii="Calibri" w:hAnsi="Calibri"/>
                <w:b w:val="0"/>
                <w:i w:val="0"/>
                <w:color w:val="212121"/>
                <w:sz w:val="16"/>
              </w:rPr>
              <w:t>Inattention, disorientation, sleep reversal, drowsiness</w:t>
            </w:r>
          </w:p>
        </w:tc>
        <w:tc>
          <w:tcPr>
            <w:tcW w:type="dxa" w:w="1036"/>
            <w:vAlign w:val="top"/>
          </w:tcPr>
          <w:p>
            <w:pPr>
              <w:spacing w:after="40" w:before="0" w:line="259" w:lineRule="auto"/>
            </w:pPr>
            <w:r>
              <w:rPr>
                <w:rFonts w:ascii="Calibri" w:hAnsi="Calibri"/>
                <w:b w:val="0"/>
                <w:i w:val="0"/>
                <w:color w:val="212121"/>
                <w:sz w:val="16"/>
              </w:rPr>
              <w:t>Establishes presence and grade of overt HE</w:t>
            </w:r>
          </w:p>
        </w:tc>
        <w:tc>
          <w:tcPr>
            <w:tcW w:type="dxa" w:w="1036"/>
            <w:vAlign w:val="top"/>
          </w:tcPr>
          <w:p>
            <w:pPr>
              <w:spacing w:after="40" w:before="0" w:line="259" w:lineRule="auto"/>
            </w:pPr>
            <w:r>
              <w:rPr>
                <w:rFonts w:ascii="Calibri" w:hAnsi="Calibri"/>
                <w:b w:val="0"/>
                <w:i w:val="0"/>
                <w:color w:val="212121"/>
                <w:sz w:val="16"/>
              </w:rPr>
              <w:t>Cirrhotics with behavioural change</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Diagnostic (grading)</w:t>
            </w:r>
          </w:p>
        </w:tc>
        <w:tc>
          <w:tcPr>
            <w:tcW w:type="dxa" w:w="720"/>
            <w:vAlign w:val="top"/>
          </w:tcPr>
          <w:p>
            <w:pPr>
              <w:spacing w:after="40" w:before="0" w:line="259" w:lineRule="auto"/>
            </w:pPr>
            <w:r>
              <w:rPr>
                <w:rFonts w:ascii="Calibri" w:hAnsi="Calibri"/>
                <w:b w:val="0"/>
                <w:i w:val="0"/>
                <w:color w:val="212121"/>
                <w:sz w:val="16"/>
              </w:rPr>
              <w:t>Collateral history from family is essential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Precipitant screen</w:t>
            </w:r>
          </w:p>
        </w:tc>
        <w:tc>
          <w:tcPr>
            <w:tcW w:type="dxa" w:w="979"/>
            <w:vAlign w:val="top"/>
          </w:tcPr>
          <w:p>
            <w:pPr>
              <w:spacing w:after="40" w:before="0" w:line="259" w:lineRule="auto"/>
            </w:pPr>
            <w:r>
              <w:rPr>
                <w:rFonts w:ascii="Calibri" w:hAnsi="Calibri"/>
                <w:b w:val="0"/>
                <w:i w:val="0"/>
                <w:color w:val="212121"/>
                <w:sz w:val="16"/>
              </w:rPr>
              <w:t>Infection, GI bleed, constipation, diuretics/dehydration, sedatives, protein load, lactulose adherence</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One or more precipitants present</w:t>
            </w:r>
          </w:p>
        </w:tc>
        <w:tc>
          <w:tcPr>
            <w:tcW w:type="dxa" w:w="1036"/>
            <w:vAlign w:val="top"/>
          </w:tcPr>
          <w:p>
            <w:pPr>
              <w:spacing w:after="40" w:before="0" w:line="259" w:lineRule="auto"/>
            </w:pPr>
            <w:r>
              <w:rPr>
                <w:rFonts w:ascii="Calibri" w:hAnsi="Calibri"/>
                <w:b w:val="0"/>
                <w:i w:val="0"/>
                <w:color w:val="212121"/>
                <w:sz w:val="16"/>
              </w:rPr>
              <w:t>Identifying and treating the trigger reverses most episodes</w:t>
            </w:r>
          </w:p>
        </w:tc>
        <w:tc>
          <w:tcPr>
            <w:tcW w:type="dxa" w:w="1036"/>
            <w:vAlign w:val="top"/>
          </w:tcPr>
          <w:p>
            <w:pPr>
              <w:spacing w:after="40" w:before="0" w:line="259" w:lineRule="auto"/>
            </w:pPr>
            <w:r>
              <w:rPr>
                <w:rFonts w:ascii="Calibri" w:hAnsi="Calibri"/>
                <w:b w:val="0"/>
                <w:i w:val="0"/>
                <w:color w:val="212121"/>
                <w:sz w:val="16"/>
              </w:rPr>
              <w:t>All patients with overt HE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Most Type C episodes are precipitated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Asterixis</w:t>
            </w:r>
          </w:p>
        </w:tc>
        <w:tc>
          <w:tcPr>
            <w:tcW w:type="dxa" w:w="979"/>
            <w:vAlign w:val="top"/>
          </w:tcPr>
          <w:p>
            <w:pPr>
              <w:spacing w:after="40" w:before="0" w:line="259" w:lineRule="auto"/>
            </w:pPr>
            <w:r>
              <w:rPr>
                <w:rFonts w:ascii="Calibri" w:hAnsi="Calibri"/>
                <w:b w:val="0"/>
                <w:i w:val="0"/>
                <w:color w:val="212121"/>
                <w:sz w:val="16"/>
              </w:rPr>
              <w:t>Flapping tremor on wrist dorsiflexion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(bilateral flap)</w:t>
            </w:r>
          </w:p>
        </w:tc>
        <w:tc>
          <w:tcPr>
            <w:tcW w:type="dxa" w:w="1036"/>
            <w:vAlign w:val="top"/>
          </w:tcPr>
          <w:p>
            <w:pPr>
              <w:spacing w:after="40" w:before="0" w:line="259" w:lineRule="auto"/>
            </w:pPr>
            <w:r>
              <w:rPr>
                <w:rFonts w:ascii="Calibri" w:hAnsi="Calibri"/>
                <w:b w:val="0"/>
                <w:i w:val="0"/>
                <w:color w:val="212121"/>
                <w:sz w:val="16"/>
              </w:rPr>
              <w:t>Characteristic of Grade II+ overt HE, though not specific</w:t>
            </w:r>
          </w:p>
        </w:tc>
        <w:tc>
          <w:tcPr>
            <w:tcW w:type="dxa" w:w="1036"/>
            <w:vAlign w:val="top"/>
          </w:tcPr>
          <w:p>
            <w:pPr>
              <w:spacing w:after="40" w:before="0" w:line="259" w:lineRule="auto"/>
            </w:pPr>
            <w:r>
              <w:rPr>
                <w:rFonts w:ascii="Calibri" w:hAnsi="Calibri"/>
                <w:b w:val="0"/>
                <w:i w:val="0"/>
                <w:color w:val="212121"/>
                <w:sz w:val="16"/>
              </w:rPr>
              <w:t>Suspected overt HE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Bedside sign</w:t>
            </w:r>
          </w:p>
        </w:tc>
        <w:tc>
          <w:tcPr>
            <w:tcW w:type="dxa" w:w="720"/>
            <w:vAlign w:val="top"/>
          </w:tcPr>
          <w:p>
            <w:pPr>
              <w:spacing w:after="40" w:before="0" w:line="259" w:lineRule="auto"/>
            </w:pPr>
            <w:r>
              <w:rPr>
                <w:rFonts w:ascii="Calibri" w:hAnsi="Calibri"/>
                <w:b w:val="0"/>
                <w:i w:val="0"/>
                <w:color w:val="212121"/>
                <w:sz w:val="16"/>
              </w:rPr>
              <w:t>Also seen in uraemia and CO2 retention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Fetor hepaticus &amp; chronic liver disease stigmata</w:t>
            </w:r>
          </w:p>
        </w:tc>
        <w:tc>
          <w:tcPr>
            <w:tcW w:type="dxa" w:w="979"/>
            <w:vAlign w:val="top"/>
          </w:tcPr>
          <w:p>
            <w:pPr>
              <w:spacing w:after="40" w:before="0" w:line="259" w:lineRule="auto"/>
            </w:pPr>
            <w:r>
              <w:rPr>
                <w:rFonts w:ascii="Calibri" w:hAnsi="Calibri"/>
                <w:b w:val="0"/>
                <w:i w:val="0"/>
                <w:color w:val="212121"/>
                <w:sz w:val="16"/>
              </w:rPr>
              <w:t>Sweet breath, jaundice, ascites, spider naevi, palmar erythema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Confirm underlying liver failure and portal hypertension</w:t>
            </w:r>
          </w:p>
        </w:tc>
        <w:tc>
          <w:tcPr>
            <w:tcW w:type="dxa" w:w="1036"/>
            <w:vAlign w:val="top"/>
          </w:tcPr>
          <w:p>
            <w:pPr>
              <w:spacing w:after="40" w:before="0" w:line="259" w:lineRule="auto"/>
            </w:pPr>
            <w:r>
              <w:rPr>
                <w:rFonts w:ascii="Calibri" w:hAnsi="Calibri"/>
                <w:b w:val="0"/>
                <w:i w:val="0"/>
                <w:color w:val="212121"/>
                <w:sz w:val="16"/>
              </w:rPr>
              <w:t>Patients with suspected HE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Point to the underlying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psychometry</w:t>
            </w:r>
          </w:p>
        </w:tc>
        <w:tc>
          <w:tcPr>
            <w:tcW w:type="dxa" w:w="950"/>
            <w:vAlign w:val="top"/>
          </w:tcPr>
          <w:p>
            <w:pPr>
              <w:spacing w:after="40" w:before="0" w:line="259" w:lineRule="auto"/>
            </w:pPr>
            <w:r>
              <w:rPr>
                <w:rFonts w:ascii="Calibri" w:hAnsi="Calibri"/>
                <w:b w:val="0"/>
                <w:i w:val="0"/>
                <w:color w:val="212121"/>
                <w:sz w:val="16"/>
              </w:rPr>
              <w:t>Covert-HE testing</w:t>
            </w:r>
          </w:p>
        </w:tc>
        <w:tc>
          <w:tcPr>
            <w:tcW w:type="dxa" w:w="979"/>
            <w:vAlign w:val="top"/>
          </w:tcPr>
          <w:p>
            <w:pPr>
              <w:spacing w:after="40" w:before="0" w:line="259" w:lineRule="auto"/>
            </w:pPr>
            <w:r>
              <w:rPr>
                <w:rFonts w:ascii="Calibri" w:hAnsi="Calibri"/>
                <w:b w:val="0"/>
                <w:i w:val="0"/>
                <w:color w:val="212121"/>
                <w:sz w:val="16"/>
              </w:rPr>
              <w:t>PHES, Number Connection Test, animal naming, EncephalApp Stroop, Critical Flicker Frequency</w:t>
            </w:r>
          </w:p>
        </w:tc>
        <w:tc>
          <w:tcPr>
            <w:tcW w:type="dxa" w:w="950"/>
            <w:vAlign w:val="top"/>
          </w:tcPr>
          <w:p>
            <w:pPr>
              <w:spacing w:after="40" w:before="0" w:line="259" w:lineRule="auto"/>
            </w:pPr>
            <w:r>
              <w:rPr>
                <w:rFonts w:ascii="Calibri" w:hAnsi="Calibri"/>
                <w:b w:val="0"/>
                <w:i w:val="0"/>
                <w:color w:val="212121"/>
                <w:sz w:val="16"/>
              </w:rPr>
              <w:t>Normal for age/education</w:t>
            </w:r>
          </w:p>
        </w:tc>
        <w:tc>
          <w:tcPr>
            <w:tcW w:type="dxa" w:w="950"/>
            <w:vAlign w:val="top"/>
          </w:tcPr>
          <w:p>
            <w:pPr>
              <w:spacing w:after="40" w:before="0" w:line="259" w:lineRule="auto"/>
            </w:pPr>
            <w:r>
              <w:rPr>
                <w:rFonts w:ascii="Calibri" w:hAnsi="Calibri"/>
                <w:b w:val="0"/>
                <w:i w:val="0"/>
                <w:color w:val="212121"/>
                <w:sz w:val="16"/>
              </w:rPr>
              <w:t>PHES ≤ −4/−5; slow NCT; CFF &lt; 39 Hz</w:t>
            </w:r>
          </w:p>
        </w:tc>
        <w:tc>
          <w:tcPr>
            <w:tcW w:type="dxa" w:w="1036"/>
            <w:vAlign w:val="top"/>
          </w:tcPr>
          <w:p>
            <w:pPr>
              <w:spacing w:after="40" w:before="0" w:line="259" w:lineRule="auto"/>
            </w:pPr>
            <w:r>
              <w:rPr>
                <w:rFonts w:ascii="Calibri" w:hAnsi="Calibri"/>
                <w:b w:val="0"/>
                <w:i w:val="0"/>
                <w:color w:val="212121"/>
                <w:sz w:val="16"/>
              </w:rPr>
              <w:t>Only way to detect minimal/covert HE, which impairs driving and work</w:t>
            </w:r>
          </w:p>
        </w:tc>
        <w:tc>
          <w:tcPr>
            <w:tcW w:type="dxa" w:w="1036"/>
            <w:vAlign w:val="top"/>
          </w:tcPr>
          <w:p>
            <w:pPr>
              <w:spacing w:after="40" w:before="0" w:line="259" w:lineRule="auto"/>
            </w:pPr>
            <w:r>
              <w:rPr>
                <w:rFonts w:ascii="Calibri" w:hAnsi="Calibri"/>
                <w:b w:val="0"/>
                <w:i w:val="0"/>
                <w:color w:val="212121"/>
                <w:sz w:val="16"/>
              </w:rPr>
              <w:t>Cirrhotics who appear normal</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 (covert HE)</w:t>
            </w:r>
          </w:p>
        </w:tc>
        <w:tc>
          <w:tcPr>
            <w:tcW w:type="dxa" w:w="720"/>
            <w:vAlign w:val="top"/>
          </w:tcPr>
          <w:p>
            <w:pPr>
              <w:spacing w:after="40" w:before="0" w:line="259" w:lineRule="auto"/>
            </w:pPr>
            <w:r>
              <w:rPr>
                <w:rFonts w:ascii="Calibri" w:hAnsi="Calibri"/>
                <w:b w:val="0"/>
                <w:i w:val="0"/>
                <w:color w:val="212121"/>
                <w:sz w:val="16"/>
              </w:rPr>
              <w:t>Endorsed for Indian patients using PHES and the Inhibitory Control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Liver-disease &amp; alcohol history</w:t>
            </w:r>
          </w:p>
        </w:tc>
        <w:tc>
          <w:tcPr>
            <w:tcW w:type="dxa" w:w="979"/>
            <w:vAlign w:val="top"/>
          </w:tcPr>
          <w:p>
            <w:pPr>
              <w:spacing w:after="40" w:before="0" w:line="259" w:lineRule="auto"/>
            </w:pPr>
            <w:r>
              <w:rPr>
                <w:rFonts w:ascii="Calibri" w:hAnsi="Calibri"/>
                <w:b w:val="0"/>
                <w:i w:val="0"/>
                <w:color w:val="212121"/>
                <w:sz w:val="16"/>
              </w:rPr>
              <w:t>Alcohol quantity/duration, known cirrhosis or hepatitis B/C, prior HE, TIPS/shunt</w:t>
            </w:r>
          </w:p>
        </w:tc>
        <w:tc>
          <w:tcPr>
            <w:tcW w:type="dxa" w:w="950"/>
            <w:vAlign w:val="top"/>
          </w:tcPr>
          <w:p>
            <w:pPr>
              <w:spacing w:after="40" w:before="0" w:line="259" w:lineRule="auto"/>
            </w:pPr>
            <w:r>
              <w:rPr>
                <w:rFonts w:ascii="Calibri" w:hAnsi="Calibri"/>
                <w:b w:val="0"/>
                <w:i w:val="0"/>
                <w:color w:val="212121"/>
                <w:sz w:val="16"/>
              </w:rPr>
              <w:t>No liver disease</w:t>
            </w:r>
          </w:p>
        </w:tc>
        <w:tc>
          <w:tcPr>
            <w:tcW w:type="dxa" w:w="950"/>
            <w:vAlign w:val="top"/>
          </w:tcPr>
          <w:p>
            <w:pPr>
              <w:spacing w:after="40" w:before="0" w:line="259" w:lineRule="auto"/>
            </w:pPr>
            <w:r>
              <w:rPr>
                <w:rFonts w:ascii="Calibri" w:hAnsi="Calibri"/>
                <w:b w:val="0"/>
                <w:i w:val="0"/>
                <w:color w:val="212121"/>
                <w:sz w:val="16"/>
              </w:rPr>
              <w:t>Established chronic liver disease or shunt</w:t>
            </w:r>
          </w:p>
        </w:tc>
        <w:tc>
          <w:tcPr>
            <w:tcW w:type="dxa" w:w="1036"/>
            <w:vAlign w:val="top"/>
          </w:tcPr>
          <w:p>
            <w:pPr>
              <w:spacing w:after="40" w:before="0" w:line="259" w:lineRule="auto"/>
            </w:pPr>
            <w:r>
              <w:rPr>
                <w:rFonts w:ascii="Calibri" w:hAnsi="Calibri"/>
                <w:b w:val="0"/>
                <w:i w:val="0"/>
                <w:color w:val="212121"/>
                <w:sz w:val="16"/>
              </w:rPr>
              <w:t>Defines the substrate and recurrence risk</w:t>
            </w:r>
          </w:p>
        </w:tc>
        <w:tc>
          <w:tcPr>
            <w:tcW w:type="dxa" w:w="1036"/>
            <w:vAlign w:val="top"/>
          </w:tcPr>
          <w:p>
            <w:pPr>
              <w:spacing w:after="40" w:before="0" w:line="259" w:lineRule="auto"/>
            </w:pPr>
            <w:r>
              <w:rPr>
                <w:rFonts w:ascii="Calibri" w:hAnsi="Calibri"/>
                <w:b w:val="0"/>
                <w:i w:val="0"/>
                <w:color w:val="212121"/>
                <w:sz w:val="16"/>
              </w:rPr>
              <w:t>All patients being assessed for HE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Prior overt HE strongly predicts recurrence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Altered mental status / confusion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Ranges from mild inattention to gross disorientation as HE deepens.</w:t>
            </w:r>
          </w:p>
        </w:tc>
      </w:tr>
      <w:tr>
        <w:trPr>
          <w:cantSplit/>
        </w:trPr>
        <w:tc>
          <w:tcPr>
            <w:tcW w:type="dxa" w:w="2304"/>
            <w:vAlign w:val="top"/>
          </w:tcPr>
          <w:p>
            <w:pPr>
              <w:spacing w:after="40" w:before="0" w:line="259" w:lineRule="auto"/>
            </w:pPr>
            <w:r>
              <w:rPr>
                <w:rFonts w:ascii="Calibri" w:hAnsi="Calibri"/>
                <w:b/>
                <w:i w:val="0"/>
                <w:color w:val="212121"/>
                <w:sz w:val="19"/>
              </w:rPr>
              <w:t>Day–night sleep reversal / insomnia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Daytime somnolence with night-time wakefulness; often the earliest change.</w:t>
            </w:r>
          </w:p>
        </w:tc>
      </w:tr>
      <w:tr>
        <w:trPr>
          <w:cantSplit/>
        </w:trPr>
        <w:tc>
          <w:tcPr>
            <w:tcW w:type="dxa" w:w="2304"/>
            <w:vAlign w:val="top"/>
          </w:tcPr>
          <w:p>
            <w:pPr>
              <w:spacing w:after="40" w:before="0" w:line="259" w:lineRule="auto"/>
            </w:pPr>
            <w:r>
              <w:rPr>
                <w:rFonts w:ascii="Calibri" w:hAnsi="Calibri"/>
                <w:b/>
                <w:i w:val="0"/>
                <w:color w:val="212121"/>
                <w:sz w:val="19"/>
              </w:rPr>
              <w:t>Forgetfulness &amp; poor concentration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covert/minimal HE; may be noticed only by family or on testing.</w:t>
            </w:r>
          </w:p>
        </w:tc>
      </w:tr>
      <w:tr>
        <w:trPr>
          <w:cantSplit/>
        </w:trPr>
        <w:tc>
          <w:tcPr>
            <w:tcW w:type="dxa" w:w="2304"/>
            <w:vAlign w:val="top"/>
          </w:tcPr>
          <w:p>
            <w:pPr>
              <w:spacing w:after="40" w:before="0" w:line="259" w:lineRule="auto"/>
            </w:pPr>
            <w:r>
              <w:rPr>
                <w:rFonts w:ascii="Calibri" w:hAnsi="Calibri"/>
                <w:b/>
                <w:i w:val="0"/>
                <w:color w:val="212121"/>
                <w:sz w:val="19"/>
              </w:rPr>
              <w:t>Personality change, irritability, apathy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Altered mood and behaviour reported by relatives.</w:t>
            </w:r>
          </w:p>
        </w:tc>
      </w:tr>
      <w:tr>
        <w:trPr>
          <w:cantSplit/>
        </w:trPr>
        <w:tc>
          <w:tcPr>
            <w:tcW w:type="dxa" w:w="2304"/>
            <w:vAlign w:val="top"/>
          </w:tcPr>
          <w:p>
            <w:pPr>
              <w:spacing w:after="40" w:before="0" w:line="259" w:lineRule="auto"/>
            </w:pPr>
            <w:r>
              <w:rPr>
                <w:rFonts w:ascii="Calibri" w:hAnsi="Calibri"/>
                <w:b/>
                <w:i w:val="0"/>
                <w:color w:val="212121"/>
                <w:sz w:val="19"/>
              </w:rPr>
              <w:t>Slowed thinking &amp; slurred/slow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Bradyphrenia and dysarthria appear as grade rises.</w:t>
            </w:r>
          </w:p>
        </w:tc>
      </w:tr>
      <w:tr>
        <w:trPr>
          <w:cantSplit/>
        </w:trPr>
        <w:tc>
          <w:tcPr>
            <w:tcW w:type="dxa" w:w="2304"/>
            <w:vAlign w:val="top"/>
          </w:tcPr>
          <w:p>
            <w:pPr>
              <w:spacing w:after="40" w:before="0" w:line="259" w:lineRule="auto"/>
            </w:pPr>
            <w:r>
              <w:rPr>
                <w:rFonts w:ascii="Calibri" w:hAnsi="Calibri"/>
                <w:b/>
                <w:i w:val="0"/>
                <w:color w:val="212121"/>
                <w:sz w:val="19"/>
              </w:rPr>
              <w:t>Excessive daytime drowsiness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Progresses through somnolence to stupor in higher grades.</w:t>
            </w:r>
          </w:p>
        </w:tc>
      </w:tr>
      <w:tr>
        <w:trPr>
          <w:cantSplit/>
        </w:trPr>
        <w:tc>
          <w:tcPr>
            <w:tcW w:type="dxa" w:w="2304"/>
            <w:vAlign w:val="top"/>
          </w:tcPr>
          <w:p>
            <w:pPr>
              <w:spacing w:after="40" w:before="0" w:line="259" w:lineRule="auto"/>
            </w:pPr>
            <w:r>
              <w:rPr>
                <w:rFonts w:ascii="Calibri" w:hAnsi="Calibri"/>
                <w:b/>
                <w:i w:val="0"/>
                <w:color w:val="212121"/>
                <w:sz w:val="19"/>
              </w:rPr>
              <w:t>Disorientation to time and place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overt HE (Grade II–III).</w:t>
            </w:r>
          </w:p>
        </w:tc>
      </w:tr>
      <w:tr>
        <w:trPr>
          <w:cantSplit/>
        </w:trPr>
        <w:tc>
          <w:tcPr>
            <w:tcW w:type="dxa" w:w="2304"/>
            <w:vAlign w:val="top"/>
          </w:tcPr>
          <w:p>
            <w:pPr>
              <w:spacing w:after="40" w:before="0" w:line="259" w:lineRule="auto"/>
            </w:pPr>
            <w:r>
              <w:rPr>
                <w:rFonts w:ascii="Calibri" w:hAnsi="Calibri"/>
                <w:b/>
                <w:i w:val="0"/>
                <w:color w:val="212121"/>
                <w:sz w:val="19"/>
              </w:rPr>
              <w:t>Impaired driving, work errors, poor attention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Covert HE slows reaction time and reduces fitness to drive despite a normal appearance.</w:t>
            </w:r>
          </w:p>
        </w:tc>
      </w:tr>
      <w:tr>
        <w:trPr>
          <w:cantSplit/>
        </w:trPr>
        <w:tc>
          <w:tcPr>
            <w:tcW w:type="dxa" w:w="2304"/>
            <w:vAlign w:val="top"/>
          </w:tcPr>
          <w:p>
            <w:pPr>
              <w:spacing w:after="40" w:before="0" w:line="259" w:lineRule="auto"/>
            </w:pPr>
            <w:r>
              <w:rPr>
                <w:rFonts w:ascii="Calibri" w:hAnsi="Calibri"/>
                <w:b/>
                <w:i w:val="0"/>
                <w:color w:val="212121"/>
                <w:sz w:val="19"/>
              </w:rPr>
              <w:t>Poor handwriting / difficulty with fine tasks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constructional apraxia and impaired coordination.</w:t>
            </w:r>
          </w:p>
        </w:tc>
      </w:tr>
      <w:tr>
        <w:trPr>
          <w:cantSplit/>
        </w:trPr>
        <w:tc>
          <w:tcPr>
            <w:tcW w:type="dxa" w:w="2304"/>
            <w:vAlign w:val="top"/>
          </w:tcPr>
          <w:p>
            <w:pPr>
              <w:spacing w:after="40" w:before="0" w:line="259" w:lineRule="auto"/>
            </w:pPr>
            <w:r>
              <w:rPr>
                <w:rFonts w:ascii="Calibri" w:hAnsi="Calibri"/>
                <w:b/>
                <w:i w:val="0"/>
                <w:color w:val="212121"/>
                <w:sz w:val="19"/>
              </w:rPr>
              <w:t>Agitation, aggression or inappropriate behaviour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Can closely mimic a primary psychiatric illness.</w:t>
            </w:r>
          </w:p>
        </w:tc>
      </w:tr>
      <w:tr>
        <w:trPr>
          <w:cantSplit/>
        </w:trPr>
        <w:tc>
          <w:tcPr>
            <w:tcW w:type="dxa" w:w="2304"/>
            <w:vAlign w:val="top"/>
          </w:tcPr>
          <w:p>
            <w:pPr>
              <w:spacing w:after="40" w:before="0" w:line="259" w:lineRule="auto"/>
            </w:pPr>
            <w:r>
              <w:rPr>
                <w:rFonts w:ascii="Calibri" w:hAnsi="Calibri"/>
                <w:b/>
                <w:i w:val="0"/>
                <w:color w:val="212121"/>
                <w:sz w:val="19"/>
              </w:rPr>
              <w:t>Reduced consciousness progressing to coma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Grade IV HE — a medical emergency requiring airway protection.</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More often with acute liver failure and cerebral oedema.</w:t>
            </w:r>
          </w:p>
        </w:tc>
      </w:tr>
      <w:tr>
        <w:trPr>
          <w:cantSplit/>
        </w:trPr>
        <w:tc>
          <w:tcPr>
            <w:tcW w:type="dxa" w:w="2304"/>
            <w:vAlign w:val="top"/>
          </w:tcPr>
          <w:p>
            <w:pPr>
              <w:spacing w:after="40" w:before="0" w:line="259" w:lineRule="auto"/>
            </w:pPr>
            <w:r>
              <w:rPr>
                <w:rFonts w:ascii="Calibri" w:hAnsi="Calibri"/>
                <w:b/>
                <w:i w:val="0"/>
                <w:color w:val="212121"/>
                <w:sz w:val="19"/>
              </w:rPr>
              <w:t>Muscle twitching / myoclonus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severe hyperammonaemia and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Bilateral flap on sustained wrist dorsiflexion; characteristic of Grade II+ but not specific.</w:t>
            </w:r>
          </w:p>
        </w:tc>
      </w:tr>
      <w:tr>
        <w:trPr>
          <w:cantSplit/>
        </w:trPr>
        <w:tc>
          <w:tcPr>
            <w:tcW w:type="dxa" w:w="3456"/>
            <w:vAlign w:val="top"/>
          </w:tcPr>
          <w:p>
            <w:pPr>
              <w:spacing w:after="40" w:before="0" w:line="259" w:lineRule="auto"/>
            </w:pPr>
            <w:r>
              <w:rPr>
                <w:rFonts w:ascii="Calibri" w:hAnsi="Calibri"/>
                <w:b/>
                <w:i w:val="0"/>
                <w:color w:val="212121"/>
                <w:sz w:val="19"/>
              </w:rPr>
              <w:t>Fetor hepaticus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Sweet, musty breath from exhaled mercaptans.</w:t>
            </w:r>
          </w:p>
        </w:tc>
      </w:tr>
      <w:tr>
        <w:trPr>
          <w:cantSplit/>
        </w:trPr>
        <w:tc>
          <w:tcPr>
            <w:tcW w:type="dxa" w:w="3456"/>
            <w:vAlign w:val="top"/>
          </w:tcPr>
          <w:p>
            <w:pPr>
              <w:spacing w:after="40" w:before="0" w:line="259" w:lineRule="auto"/>
            </w:pPr>
            <w:r>
              <w:rPr>
                <w:rFonts w:ascii="Calibri" w:hAnsi="Calibri"/>
                <w:b/>
                <w:i w:val="0"/>
                <w:color w:val="212121"/>
                <w:sz w:val="19"/>
              </w:rPr>
              <w:t>Disorientation / altered sensorium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Graded with the West Haven criteria on mental-state examination.</w:t>
            </w:r>
          </w:p>
        </w:tc>
      </w:tr>
      <w:tr>
        <w:trPr>
          <w:cantSplit/>
        </w:trPr>
        <w:tc>
          <w:tcPr>
            <w:tcW w:type="dxa" w:w="3456"/>
            <w:vAlign w:val="top"/>
          </w:tcPr>
          <w:p>
            <w:pPr>
              <w:spacing w:after="40" w:before="0" w:line="259" w:lineRule="auto"/>
            </w:pPr>
            <w:r>
              <w:rPr>
                <w:rFonts w:ascii="Calibri" w:hAnsi="Calibri"/>
                <w:b/>
                <w:i w:val="0"/>
                <w:color w:val="212121"/>
                <w:sz w:val="19"/>
              </w:rPr>
              <w:t>Impaired psychometric tests (PHES, Number Connection)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Often the only abnormality in minimal/covert HE.</w:t>
            </w:r>
          </w:p>
        </w:tc>
      </w:tr>
      <w:tr>
        <w:trPr>
          <w:cantSplit/>
        </w:trPr>
        <w:tc>
          <w:tcPr>
            <w:tcW w:type="dxa" w:w="3456"/>
            <w:vAlign w:val="top"/>
          </w:tcPr>
          <w:p>
            <w:pPr>
              <w:spacing w:after="40" w:before="0" w:line="259" w:lineRule="auto"/>
            </w:pPr>
            <w:r>
              <w:rPr>
                <w:rFonts w:ascii="Calibri" w:hAnsi="Calibri"/>
                <w:b/>
                <w:i w:val="0"/>
                <w:color w:val="212121"/>
                <w:sz w:val="19"/>
              </w:rPr>
              <w:t>Reduced Critical Flicker Frequency (&lt; 39 Hz)</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Neurophysiological marker of covert HE.</w:t>
            </w:r>
          </w:p>
        </w:tc>
      </w:tr>
      <w:tr>
        <w:trPr>
          <w:cantSplit/>
        </w:trPr>
        <w:tc>
          <w:tcPr>
            <w:tcW w:type="dxa" w:w="3456"/>
            <w:vAlign w:val="top"/>
          </w:tcPr>
          <w:p>
            <w:pPr>
              <w:spacing w:after="40" w:before="0" w:line="259" w:lineRule="auto"/>
            </w:pPr>
            <w:r>
              <w:rPr>
                <w:rFonts w:ascii="Calibri" w:hAnsi="Calibri"/>
                <w:b/>
                <w:i w:val="0"/>
                <w:color w:val="212121"/>
                <w:sz w:val="19"/>
              </w:rPr>
              <w:t>Jaundice / icterus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the underlying hepatic failure.</w:t>
            </w:r>
          </w:p>
        </w:tc>
      </w:tr>
      <w:tr>
        <w:trPr>
          <w:cantSplit/>
        </w:trPr>
        <w:tc>
          <w:tcPr>
            <w:tcW w:type="dxa" w:w="3456"/>
            <w:vAlign w:val="top"/>
          </w:tcPr>
          <w:p>
            <w:pPr>
              <w:spacing w:after="40" w:before="0" w:line="259" w:lineRule="auto"/>
            </w:pPr>
            <w:r>
              <w:rPr>
                <w:rFonts w:ascii="Calibri" w:hAnsi="Calibri"/>
                <w:b/>
                <w:i w:val="0"/>
                <w:color w:val="212121"/>
                <w:sz w:val="19"/>
              </w:rPr>
              <w:t>Ascites, spider naevi, palmar erythema, caput medusae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Stigmata of cirrhosis and portal hypertension.</w:t>
            </w:r>
          </w:p>
        </w:tc>
      </w:tr>
      <w:tr>
        <w:trPr>
          <w:cantSplit/>
        </w:trPr>
        <w:tc>
          <w:tcPr>
            <w:tcW w:type="dxa" w:w="3456"/>
            <w:vAlign w:val="top"/>
          </w:tcPr>
          <w:p>
            <w:pPr>
              <w:spacing w:after="40" w:before="0" w:line="259" w:lineRule="auto"/>
            </w:pPr>
            <w:r>
              <w:rPr>
                <w:rFonts w:ascii="Calibri" w:hAnsi="Calibri"/>
                <w:b/>
                <w:i w:val="0"/>
                <w:color w:val="212121"/>
                <w:sz w:val="19"/>
              </w:rPr>
              <w:t>Hyperreflexia &amp; increased muscle tone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Upper-motor-neuron signs seen in higher grades.</w:t>
            </w:r>
          </w:p>
        </w:tc>
      </w:tr>
      <w:tr>
        <w:trPr>
          <w:cantSplit/>
        </w:trPr>
        <w:tc>
          <w:tcPr>
            <w:tcW w:type="dxa" w:w="3456"/>
            <w:vAlign w:val="top"/>
          </w:tcPr>
          <w:p>
            <w:pPr>
              <w:spacing w:after="40" w:before="0" w:line="259" w:lineRule="auto"/>
            </w:pPr>
            <w:r>
              <w:rPr>
                <w:rFonts w:ascii="Calibri" w:hAnsi="Calibri"/>
                <w:b/>
                <w:i w:val="0"/>
                <w:color w:val="212121"/>
                <w:sz w:val="19"/>
              </w:rPr>
              <w:t>Extensor plantar responses (Babinski)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Appear in advanced overt HE.</w:t>
            </w:r>
          </w:p>
        </w:tc>
      </w:tr>
      <w:tr>
        <w:trPr>
          <w:cantSplit/>
        </w:trPr>
        <w:tc>
          <w:tcPr>
            <w:tcW w:type="dxa" w:w="3456"/>
            <w:vAlign w:val="top"/>
          </w:tcPr>
          <w:p>
            <w:pPr>
              <w:spacing w:after="40" w:before="0" w:line="259" w:lineRule="auto"/>
            </w:pPr>
            <w:r>
              <w:rPr>
                <w:rFonts w:ascii="Calibri" w:hAnsi="Calibri"/>
                <w:b/>
                <w:i w:val="0"/>
                <w:color w:val="212121"/>
                <w:sz w:val="19"/>
              </w:rPr>
              <w:t>Decerebrate / decorticate posturing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Grade IV coma, often with cerebral oedema.</w:t>
            </w:r>
          </w:p>
        </w:tc>
      </w:tr>
      <w:tr>
        <w:trPr>
          <w:cantSplit/>
        </w:trPr>
        <w:tc>
          <w:tcPr>
            <w:tcW w:type="dxa" w:w="3456"/>
            <w:vAlign w:val="top"/>
          </w:tcPr>
          <w:p>
            <w:pPr>
              <w:spacing w:after="40" w:before="0" w:line="259" w:lineRule="auto"/>
            </w:pPr>
            <w:r>
              <w:rPr>
                <w:rFonts w:ascii="Calibri" w:hAnsi="Calibri"/>
                <w:b/>
                <w:i w:val="0"/>
                <w:color w:val="212121"/>
                <w:sz w:val="19"/>
              </w:rPr>
              <w:t>Sluggish pupils / abnormal oculocephalic reflexes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Deep coma and raised intracranial pressure, chiefly in acute liver failure.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hepatic coma (West Haven Grade 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oedema and raised intracranial pressure (especially Type A / acute liver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from a depressed level of consciousness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road-traffic accidents and injuries from impaired attention (including in minimal HE)</w:t>
            </w:r>
          </w:p>
        </w:tc>
        <w:tc>
          <w:tcPr>
            <w:tcW w:type="dxa" w:w="2980"/>
            <w:vAlign w:val="top"/>
          </w:tcPr>
          <w:p>
            <w:pPr>
              <w:spacing w:after="40" w:before="0" w:line="259" w:lineRule="auto"/>
            </w:pPr>
            <w:r>
              <w:rPr>
                <w:rFonts w:ascii="Calibri" w:hAnsi="Calibri"/>
                <w:b w:val="0"/>
                <w:i w:val="0"/>
                <w:color w:val="212121"/>
                <w:sz w:val="19"/>
              </w:rPr>
              <w:t>Direct neurological consequences of hyperammonaemia and altered sensorium.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persistent HE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hospital admissions and high healthcare cost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worsening sarcopenia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quality of life, impaired work capacity and loss of driving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peri-procedural risk, including after TIPS</w:t>
            </w:r>
          </w:p>
        </w:tc>
        <w:tc>
          <w:tcPr>
            <w:tcW w:type="dxa" w:w="2980"/>
            <w:vAlign w:val="top"/>
          </w:tcPr>
          <w:p>
            <w:pPr>
              <w:spacing w:after="40" w:before="0" w:line="259" w:lineRule="auto"/>
            </w:pPr>
            <w:r>
              <w:rPr>
                <w:rFonts w:ascii="Calibri" w:hAnsi="Calibri"/>
                <w:b w:val="0"/>
                <w:i w:val="0"/>
                <w:color w:val="212121"/>
                <w:sz w:val="19"/>
              </w:rPr>
              <w:t>Consequences of repeated decompensation and the chronic disease burden.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cognitive impairment / hepatocerebral degeneration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and dependence for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Marker of end-stage liver disease requiring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short- and medium-term mortality</w:t>
            </w:r>
          </w:p>
        </w:tc>
        <w:tc>
          <w:tcPr>
            <w:tcW w:type="dxa" w:w="2980"/>
            <w:vAlign w:val="top"/>
          </w:tcPr>
          <w:p>
            <w:pPr>
              <w:spacing w:after="40" w:before="0" w:line="259" w:lineRule="auto"/>
            </w:pPr>
            <w:r>
              <w:rPr>
                <w:rFonts w:ascii="Calibri" w:hAnsi="Calibri"/>
                <w:b w:val="0"/>
                <w:i w:val="0"/>
                <w:color w:val="212121"/>
                <w:sz w:val="19"/>
              </w:rPr>
              <w:t>Irreversible, disabling and life-limiting outcomes of advanced liver failure.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Liver cirrhosis &amp; portal 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underlying substrate for the great majority of HE (Type C); covert HE is present in roughly 60% of Indian cirrhotics even when they appear well (PREDICT, 2019).</w:t>
            </w:r>
          </w:p>
          <w:p>
            <w:pPr>
              <w:spacing w:after="40" w:before="0" w:line="259" w:lineRule="auto"/>
            </w:pPr>
            <w:r>
              <w:rPr>
                <w:rFonts w:ascii="Calibri" w:hAnsi="Calibri"/>
                <w:b/>
                <w:i w:val="0"/>
                <w:color w:val="212121"/>
                <w:sz w:val="19"/>
              </w:rPr>
              <w:t>~60% have covert HE</w:t>
            </w:r>
          </w:p>
        </w:tc>
      </w:tr>
      <w:tr>
        <w:trPr>
          <w:cantSplit/>
        </w:trPr>
        <w:tc>
          <w:tcPr>
            <w:tcW w:type="dxa" w:w="2232"/>
            <w:vAlign w:val="top"/>
          </w:tcPr>
          <w:p>
            <w:pPr>
              <w:spacing w:after="40" w:before="0" w:line="259" w:lineRule="auto"/>
            </w:pPr>
            <w:r>
              <w:rPr>
                <w:rFonts w:ascii="Calibri" w:hAnsi="Calibri"/>
                <w:b/>
                <w:i w:val="0"/>
                <w:color w:val="212121"/>
                <w:sz w:val="19"/>
              </w:rPr>
              <w:t>Spontaneous bacterial peritonitis &amp; other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inflammation amplifies ammonia neurotoxicity; infection is the commonest precipitant and each aggravates the other (Poudyal, 2019).</w:t>
            </w:r>
          </w:p>
          <w:p>
            <w:pPr>
              <w:spacing w:after="40" w:before="0" w:line="259" w:lineRule="auto"/>
            </w:pPr>
            <w:r>
              <w:rPr>
                <w:rFonts w:ascii="Calibri" w:hAnsi="Calibri"/>
                <w:b/>
                <w:i w:val="0"/>
                <w:color w:val="212121"/>
                <w:sz w:val="19"/>
              </w:rPr>
              <w:t>~49% of overt episodes</w:t>
            </w:r>
          </w:p>
        </w:tc>
      </w:tr>
      <w:tr>
        <w:trPr>
          <w:cantSplit/>
        </w:trPr>
        <w:tc>
          <w:tcPr>
            <w:tcW w:type="dxa" w:w="2232"/>
            <w:vAlign w:val="top"/>
          </w:tcPr>
          <w:p>
            <w:pPr>
              <w:spacing w:after="40" w:before="0" w:line="259" w:lineRule="auto"/>
            </w:pPr>
            <w:r>
              <w:rPr>
                <w:rFonts w:ascii="Calibri" w:hAnsi="Calibri"/>
                <w:b/>
                <w:i w:val="0"/>
                <w:color w:val="212121"/>
                <w:sz w:val="19"/>
              </w:rPr>
              <w:t>Electrolyte disturbance (hyponatraemia, hypokalaemia)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Hyponatraemia and hypokalaemia precipitate and deepen HE and increase renal ammoniagenesis (Poudyal, 2019).</w:t>
            </w:r>
          </w:p>
          <w:p>
            <w:pPr>
              <w:spacing w:after="40" w:before="0" w:line="259" w:lineRule="auto"/>
            </w:pPr>
            <w:r>
              <w:rPr>
                <w:rFonts w:ascii="Calibri" w:hAnsi="Calibri"/>
                <w:b/>
                <w:i w:val="0"/>
                <w:color w:val="212121"/>
                <w:sz w:val="19"/>
              </w:rPr>
              <w:t>~41% of episodes</w:t>
            </w:r>
          </w:p>
        </w:tc>
      </w:tr>
      <w:tr>
        <w:trPr>
          <w:cantSplit/>
        </w:trPr>
        <w:tc>
          <w:tcPr>
            <w:tcW w:type="dxa" w:w="2232"/>
            <w:vAlign w:val="top"/>
          </w:tcPr>
          <w:p>
            <w:pPr>
              <w:spacing w:after="40" w:before="0" w:line="259" w:lineRule="auto"/>
            </w:pPr>
            <w:r>
              <w:rPr>
                <w:rFonts w:ascii="Calibri" w:hAnsi="Calibri"/>
                <w:b/>
                <w:i w:val="0"/>
                <w:color w:val="212121"/>
                <w:sz w:val="19"/>
              </w:rPr>
              <w:t>Constipation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colonic transit increases bacterial ammonia production and absorption; a leading, readily reversible trigger (Poudyal, 2019).</w:t>
            </w:r>
          </w:p>
          <w:p>
            <w:pPr>
              <w:spacing w:after="40" w:before="0" w:line="259" w:lineRule="auto"/>
            </w:pPr>
            <w:r>
              <w:rPr>
                <w:rFonts w:ascii="Calibri" w:hAnsi="Calibri"/>
                <w:b/>
                <w:i w:val="0"/>
                <w:color w:val="212121"/>
                <w:sz w:val="19"/>
              </w:rPr>
              <w:t>~33% of episodes</w:t>
            </w:r>
          </w:p>
        </w:tc>
      </w:tr>
      <w:tr>
        <w:trPr>
          <w:cantSplit/>
        </w:trPr>
        <w:tc>
          <w:tcPr>
            <w:tcW w:type="dxa" w:w="2232"/>
            <w:vAlign w:val="top"/>
          </w:tcPr>
          <w:p>
            <w:pPr>
              <w:spacing w:after="40" w:before="0" w:line="259" w:lineRule="auto"/>
            </w:pPr>
            <w:r>
              <w:rPr>
                <w:rFonts w:ascii="Calibri" w:hAnsi="Calibri"/>
                <w:b/>
                <w:i w:val="0"/>
                <w:color w:val="212121"/>
                <w:sz w:val="19"/>
              </w:rPr>
              <w:t>Gastro-oesophageal variceal bleeding</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Intraluminal blood is a large nitrogen load converted to ammonia by gut bacteria (Poudyal, 2019).</w:t>
            </w:r>
          </w:p>
          <w:p>
            <w:pPr>
              <w:spacing w:after="40" w:before="0" w:line="259" w:lineRule="auto"/>
            </w:pPr>
            <w:r>
              <w:rPr>
                <w:rFonts w:ascii="Calibri" w:hAnsi="Calibri"/>
                <w:b/>
                <w:i w:val="0"/>
                <w:color w:val="212121"/>
                <w:sz w:val="19"/>
              </w:rPr>
              <w:t>~16% of episodes</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Leading cause of cirrhosis in India (43.27% in PREDICT); directly neurotoxic and a frequent precipitant through bingeing, withdrawal and poor nutrition.</w:t>
            </w:r>
          </w:p>
          <w:p>
            <w:pPr>
              <w:spacing w:after="40" w:before="0" w:line="259" w:lineRule="auto"/>
            </w:pPr>
            <w:r>
              <w:rPr>
                <w:rFonts w:ascii="Calibri" w:hAnsi="Calibri"/>
                <w:b/>
                <w:i w:val="0"/>
                <w:color w:val="212121"/>
                <w:sz w:val="19"/>
              </w:rPr>
              <w:t>~43% of underlying cirrhosis</w:t>
            </w:r>
          </w:p>
        </w:tc>
      </w:tr>
      <w:tr>
        <w:trPr>
          <w:cantSplit/>
        </w:trPr>
        <w:tc>
          <w:tcPr>
            <w:tcW w:type="dxa" w:w="2232"/>
            <w:vAlign w:val="top"/>
          </w:tcPr>
          <w:p>
            <w:pPr>
              <w:spacing w:after="40" w:before="0" w:line="259" w:lineRule="auto"/>
            </w:pPr>
            <w:r>
              <w:rPr>
                <w:rFonts w:ascii="Calibri" w:hAnsi="Calibri"/>
                <w:b/>
                <w:i w:val="0"/>
                <w:color w:val="212121"/>
                <w:sz w:val="19"/>
              </w:rPr>
              <w:t>Sarcopenia &amp; malnutrition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Muscle is a key extra-hepatic site of ammonia disposal; wasting both predisposes to and results from HE, creating a vicious cycle.</w:t>
            </w:r>
          </w:p>
        </w:tc>
      </w:tr>
      <w:tr>
        <w:trPr>
          <w:cantSplit/>
        </w:trPr>
        <w:tc>
          <w:tcPr>
            <w:tcW w:type="dxa" w:w="2232"/>
            <w:vAlign w:val="top"/>
          </w:tcPr>
          <w:p>
            <w:pPr>
              <w:spacing w:after="40" w:before="0" w:line="259" w:lineRule="auto"/>
            </w:pPr>
            <w:r>
              <w:rPr>
                <w:rFonts w:ascii="Calibri" w:hAnsi="Calibri"/>
                <w:b/>
                <w:i w:val="0"/>
                <w:color w:val="212121"/>
                <w:sz w:val="19"/>
              </w:rPr>
              <w:t>Hepatorenal syndrome / acute kidney injury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Azotaemia raises the nitrogen load and precipitates HE; both mark advanced decompensation.</w:t>
            </w:r>
          </w:p>
        </w:tc>
      </w:tr>
      <w:tr>
        <w:trPr>
          <w:cantSplit/>
        </w:trPr>
        <w:tc>
          <w:tcPr>
            <w:tcW w:type="dxa" w:w="2232"/>
            <w:vAlign w:val="top"/>
          </w:tcPr>
          <w:p>
            <w:pPr>
              <w:spacing w:after="40" w:before="0" w:line="259" w:lineRule="auto"/>
            </w:pPr>
            <w:r>
              <w:rPr>
                <w:rFonts w:ascii="Calibri" w:hAnsi="Calibri"/>
                <w:b/>
                <w:i w:val="0"/>
                <w:color w:val="212121"/>
                <w:sz w:val="19"/>
              </w:rPr>
              <w:t>Type 2 / hepatogenous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cirrhosis; insulin resistance and hyperglycaemia worsen cognition and outcomes and complicate nutrition.</w:t>
            </w:r>
          </w:p>
        </w:tc>
      </w:tr>
      <w:tr>
        <w:trPr>
          <w:cantSplit/>
        </w:trPr>
        <w:tc>
          <w:tcPr>
            <w:tcW w:type="dxa" w:w="2232"/>
            <w:vAlign w:val="top"/>
          </w:tcPr>
          <w:p>
            <w:pPr>
              <w:spacing w:after="40" w:before="0" w:line="259" w:lineRule="auto"/>
            </w:pPr>
            <w:r>
              <w:rPr>
                <w:rFonts w:ascii="Calibri" w:hAnsi="Calibri"/>
                <w:b/>
                <w:i w:val="0"/>
                <w:color w:val="212121"/>
                <w:sz w:val="19"/>
              </w:rPr>
              <w:t>Hepatocellular carcinoma / portal vein thrombosis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Advanced disease and portal vein thrombosis increase shunting and can precipitate or worsen HE.</w:t>
            </w:r>
          </w:p>
        </w:tc>
      </w:tr>
      <w:tr>
        <w:trPr>
          <w:cantSplit/>
        </w:trPr>
        <w:tc>
          <w:tcPr>
            <w:tcW w:type="dxa" w:w="2232"/>
            <w:vAlign w:val="top"/>
          </w:tcPr>
          <w:p>
            <w:pPr>
              <w:spacing w:after="40" w:before="0" w:line="259" w:lineRule="auto"/>
            </w:pPr>
            <w:r>
              <w:rPr>
                <w:rFonts w:ascii="Calibri" w:hAnsi="Calibri"/>
                <w:b/>
                <w:i w:val="0"/>
                <w:color w:val="212121"/>
                <w:sz w:val="19"/>
              </w:rPr>
              <w:t>Portosystemic shunt / post-TIPS state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TIPS and large spontaneous shunts divert portal blood past the liver; TIPS-related HE affects a substantial minority.</w:t>
            </w:r>
          </w:p>
        </w:tc>
      </w:tr>
      <w:tr>
        <w:trPr>
          <w:cantSplit/>
        </w:trPr>
        <w:tc>
          <w:tcPr>
            <w:tcW w:type="dxa" w:w="2232"/>
            <w:vAlign w:val="top"/>
          </w:tcPr>
          <w:p>
            <w:pPr>
              <w:spacing w:after="40" w:before="0" w:line="259" w:lineRule="auto"/>
            </w:pPr>
            <w:r>
              <w:rPr>
                <w:rFonts w:ascii="Calibri" w:hAnsi="Calibri"/>
                <w:b/>
                <w:i w:val="0"/>
                <w:color w:val="212121"/>
                <w:sz w:val="19"/>
              </w:rPr>
              <w:t>Depression &amp; psychiatric/cognitive overlap</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 symptoms overlap with psychiatric illness, complicating diagnosis; depression reduces lactulose adherence and quality of life.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HE is a reversible brain effect of liver disease driven mainly by ammonia, and that most attacks are set off by a treatable cause (infection, constipation, bleeding, dehydration or a missed dose of lactulose).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lactulose exactly as prescribed and titrate it to 2–3 soft stools a day; do not stop it just because stools are loose — stopping is a common cause of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warning signs — disturbed sleep–wake pattern, forgetfulness, irritability, poor attention — and seek care early, since minimal HE can impair driving and work even when the patient feels normal.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needing urgent review: black tarry stools or vomiting blood, fever or abdominal pain, increasing drowsiness or confusion, and reduced urine output.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pills, sedatives, opioids and unprescribed medicines, and review all drugs with a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Vaccinate the family against hepatitis B, treat hepatitis B/C, and keep regular liver-clinic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and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an HE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portosystemic shunts/TIPS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low-access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and build skeletal muscle, which clears ammonia — combine light-to-moderate aerobic activity (walking) with resistance/strength work 2–3 days/week as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bed rest and mobilise early after an episode to prevent deconditioning and further muscle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activity with adequate protein and calories so exercise builds rather than breaks down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Individualise intensity to liver reserve and avoid exhaustion, dehydration and injury (falls and bleeding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bedtime carbohydrate snack after active days to prevent overnight muscle breakdown.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Sarcopenic / frail cirrhotics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cirrhosis with prior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hospitalisation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restrict protein; aim for 1.2–1.5 g/kg/day to prevent muscle breakdown and excess ammonia generation.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vegetable and dairy protein (pulses, curd, milk, paneer) over large amounts of red or organ meat — they are better tolerated and less ammoniagenic.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meals (4–6/day) with a late-evening carbohydrate snack to shorten the fasting window.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calories (about 30–35 kcal/kg/day) and enough fibre to prevent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branched-chain amino acid supplements when protein is not tolerated, under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salt and water carefully — restrict added salt for ascites but avoid dehydration and low sodium.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overt or minimal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sarcopenic cirrhotics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an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ascites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bowels regular with fibre, fluids and prescribed lactulose to avoid constipation — a frequent trigger of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single high-protein meals and prolonged fasting.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and very salty foods and prefer balanced home-cooked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overall nutrition to preserve muscle mass as an ammonia buffer.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cirrhotics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reversal of the sleep–wake cycle (daytime sleepiness, night-time wakefulness) as an early sign of HE and report it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good sleep hygiene, and treat the liver cause rather than reaching for sleeping pills.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benzodiazepines and sedative hypnotics for insomnia — they can precipitate or deepen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or anxiety that disturb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covert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monitoring at home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independently linked to minimal HE in Indian cirrhotics and adds vascular and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medically supervised cessation 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burdens the liver and lungs.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Cirrhotics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minimal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alcohol-and-tobacco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complete, lifelong abstinence — alcohol is the leading cause of cirrhosis and HE in India and even small amounts can precipitate decompensation.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de-addiction support, counselling and medically supervised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withdrawal and correct nutritional deficiencies, especially thiamine, to prevent Wernicke's encephalopathy, which mimics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support to sustain abstinence.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or relapsing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an alcohol-precipitated episode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reduce adherence to lactulose and worsen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with reminders, caregiver involvement and simplified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HE-related cognitive/behavioural change from primary psychiatric illness before starting sedating psychotropics.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patients and families on driving safety and daily-activity risks in minimal HE.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 cirrhotics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covert HE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516264/" TargetMode="External"/><Relationship Id="rId10" Type="http://schemas.openxmlformats.org/officeDocument/2006/relationships/hyperlink" Target="https://pubmed.ncbi.nlm.nih.gov/29073197/" TargetMode="External"/><Relationship Id="rId11" Type="http://schemas.openxmlformats.org/officeDocument/2006/relationships/hyperlink" Target="https://pubmed.ncbi.nlm.nih.gov/31192068/" TargetMode="External"/><Relationship Id="rId12" Type="http://schemas.openxmlformats.org/officeDocument/2006/relationships/hyperlink" Target="https://pubmed.ncbi.nlm.nih.gov/20594216/" TargetMode="External"/><Relationship Id="rId13" Type="http://schemas.openxmlformats.org/officeDocument/2006/relationships/hyperlink" Target="https://pubmed.ncbi.nlm.nih.gov/319155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