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Choledocholithiasis / Cholangitis</w:t>
      </w:r>
    </w:p>
    <w:p>
      <w:pPr>
        <w:spacing w:before="0" w:after="160"/>
      </w:pPr>
      <w:r>
        <w:rPr>
          <w:rFonts w:ascii="Calibri" w:hAnsi="Calibri"/>
          <w:b/>
          <w:i w:val="0"/>
          <w:color w:val="212121"/>
          <w:sz w:val="22"/>
        </w:rPr>
        <w:t xml:space="preserve">AKA </w:t>
      </w:r>
      <w:r>
        <w:rPr>
          <w:rFonts w:ascii="Calibri" w:hAnsi="Calibri"/>
          <w:b w:val="0"/>
          <w:i w:val="0"/>
          <w:color w:val="212121"/>
          <w:sz w:val="22"/>
        </w:rPr>
        <w:t>i.e., Common bile duct (CBD) stones, Bile duct stones, Choledochal calculi, Acute (ascending) cholangitis, Biliary sepsis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Choledocholithiasis is the presence of gallstones within the common bile duct (CBD). Most are secondary stones that migrate from the gallbladder (usually cholesterol or mixed), while a minority are primary brown-pigment (calcium bilirubinate) stones that form within the ducts because of biliary stasis, bacterial deconjugation of bilirubin and infection. When an obstructing duct stone raises intraluminal pressure and permits bacterial infection of static bile, the result is acute (ascending) cholangitis - a potentially life-threatening biliary infection classically presenting with Charcot's triad of fever, jaundice and right upper quadrant pain. Cholangitis is the infective emergency of biliary obstruction and demands prompt antibiotics and urgent biliary drainage.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Gallstone disease affects roughly 4-11% of Indian adults with a striking north-south gradient: prevalence is 2-4 fold higher in the north (about 7.4% in Punjabi and Gujarati communities, and up to ~10.8% in Punjab and ~10.7% in Assam in recent community surveys) than in the south (~1.8%). Common bile duct stones complicate an estimated 1-15% of patients who have gallbladder stones. India sits at the epicentre of the Indo-Gangetic 'gallbladder-disease belt', where high gallstone prevalence, chronic biliary infection (including Salmonella typhi carriage) and one of the world's highest rates of gallbladder cancer converge. Northern cholesterol/mixed stones and chronic bacterial colonisation make CBD-stone-related cholangitis a common biliary emergency across the Gangetic plain; even with modern drainage, acute cholangitis still carries a 5-10% mortality.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has two arms - confirming a common bile duct stone and, when infection supervenes, diagnosing acute cholangitis using the Tokyo Guidelines 2018 (TG18). The following are used: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Cholestatic liver-function pattern: raised total (conjugated) bilirubin - a level above 3-4 mg/dL strongly predicts a CBD stone - with elevated alkaline phosphatase (ALP), GGT and transaminases; near-normal liver tests make choledocholithiasis unlikely;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Transabdominal ultrasound (first-line): reliably shows CBD dilatation (&gt;6-7 mm) with about 90% accuracy but is insensitive for the stone itself (sensitivity ~15-40%);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Magnetic resonance cholangiopancreatography (MRCP): the non-invasive reference standard, with ~92% sensitivity and ~100% specificity for CBD stones;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Endoscopic ultrasound (EUS): sensitivity and specificity of 85-100%, especially useful for small (&lt;6 mm) distal stones and where MRCP is equivocal;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Endoscopic retrograde cholangiopancreatography (ERCP): the most sensitive test and simultaneously therapeutic (sphincterotomy with stone extraction), reserved for high-probability or therapeutic cases because of a ~3-10% post-ERCP pancreatitis risk;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cholangitis (TG18): Part A - systemic inflammation (fever/chills &gt;38 degrees C; WBC &lt;4,000 or &gt;10,000/mm3 and/or CRP &gt;=1 mg/dL); Part B - cholestasis (jaundice, total bilirubin &gt;=2 mg/dL; ALP/GGT/AST/ALT &gt;1.5x upper limit of normal); Part C - imaging (biliary dilatation; evidence of a cause such as a stone, stricture or stent). 'Suspected' = one item in A plus one item in B or C; 'Definite' = at least one item in each of A, B and C.</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Choledocholithiasis and its infective complication are classified by stone origin, by cholangitis severity, and by the distinct recurrent-pyogenic syndrome:</w:t>
      </w:r>
    </w:p>
    <w:p>
      <w:pPr>
        <w:spacing w:before="0" w:after="80"/>
      </w:pPr>
      <w:r>
        <w:rPr>
          <w:rFonts w:ascii="Calibri" w:hAnsi="Calibri"/>
          <w:b w:val="0"/>
          <w:i w:val="0"/>
          <w:color w:val="212121"/>
          <w:sz w:val="21"/>
        </w:rPr>
        <w:t>(1) Secondary (migratory) CBD stones - the commonest form; cholesterol or mixed stones that pass from the gallbladder through the cystic duct into the CBD. These predominate in North India, where gallbladder stones are largely cholesterol;</w:t>
      </w:r>
    </w:p>
    <w:p>
      <w:pPr>
        <w:spacing w:before="0" w:after="80"/>
      </w:pPr>
      <w:r>
        <w:rPr>
          <w:rFonts w:ascii="Calibri" w:hAnsi="Calibri"/>
          <w:b w:val="0"/>
          <w:i w:val="0"/>
          <w:color w:val="212121"/>
          <w:sz w:val="21"/>
        </w:rPr>
        <w:t>(2) Primary CBD stones - brown-pigment (calcium bilirubinate) stones that form de novo within the bile ducts in the setting of biliary stasis, bacterial beta-glucuronidase-mediated deconjugation of bilirubin, infection or parasites; more frequent in Asian and South Indian populations and in dilated or strictured ducts;</w:t>
      </w:r>
    </w:p>
    <w:p>
      <w:pPr>
        <w:spacing w:before="0" w:after="80"/>
      </w:pPr>
      <w:r>
        <w:rPr>
          <w:rFonts w:ascii="Calibri" w:hAnsi="Calibri"/>
          <w:b w:val="0"/>
          <w:i w:val="0"/>
          <w:color w:val="212121"/>
          <w:sz w:val="21"/>
        </w:rPr>
        <w:t>(3) Acute cholangitis severity (Tokyo Guidelines 2018): Grade I (mild) - responds to initial medical management with no organ dysfunction; Grade II (moderate) - any two of WBC &gt;12,000 or &lt;4,000/mm3, fever &gt;=39 degrees C, age &gt;=75 years, total bilirubin &gt;=5 mg/dL, or albumin &lt;0.7x the lower normal limit; Grade III (severe) - cholangitis with dysfunction of at least one organ system (cardiovascular: hypotension needing dopamine &gt;=5 microg/kg/min or any norepinephrine; neurological: impaired consciousness; respiratory: PaO2/FiO2 &lt;300; renal: oliguria or creatinine &gt;2.0 mg/dL; hepatic: PT-INR &gt;1.5; haematological: platelets &lt;100,000/mm3);</w:t>
      </w:r>
    </w:p>
    <w:p>
      <w:pPr>
        <w:spacing w:before="0" w:after="80"/>
      </w:pPr>
      <w:r>
        <w:rPr>
          <w:rFonts w:ascii="Calibri" w:hAnsi="Calibri"/>
          <w:b w:val="0"/>
          <w:i w:val="0"/>
          <w:color w:val="212121"/>
          <w:sz w:val="21"/>
        </w:rPr>
        <w:t>(4) Recurrent pyogenic cholangitis (Oriental cholangiohepatitis / hepatolithiasis) - a distinct syndrome of repeated bacterial cholangitis with intrahepatic brown-pigment stones and strictures, endemic to South and Southeast Asia and linked to biliary parasites (Clonorchis sinensis, Ascaris lumbricoides); it carries a long-term risk of secondary biliary cirrhosis and cholangiocarcinoma.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Secondary gallstone migration: Passage of gallbladder stones (mostly cholesterol or mixed) into the CBD is the dominant cause; risk parallels the overall gallstone burden captured by the classic 'fat, female, forty, fertile' profile.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Biliary stasis and obstruction: Papillary stenosis, benign strictures, periampullary diverticula, dilated ducts and prior biliary surgery promote stone formation, impaction and infection.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Bacterial infection / bactibilia: Enteric organisms (Escherichia coli, Klebsiella) deconjugate bilirubin via beta-glucuronidase, precipitating calcium-bilirubinate (brown-pigment) stones; obstruction plus infection produces cholangitis.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Parasitic infestation: Ascaris lumbricoides and liver flukes (Clonorchis sinensis) act as a nidus for stones and drive recurrent pyogenic cholangitis in endemic Asian regions.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Haemolysis and pigment overload: Chronic haemolytic states (thalassaemia, sickle-cell disease, hereditary spherocytosis) raise unconjugated bilirubin and black/brown pigment-stone formation.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Metabolic and host factors: Female sex, multiparity, obesity, rapid weight loss, diabetes and dyslipidaemia increase cholesterol supersaturation of bile and stone formation.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Chronic Salmonella typhi carriage: Endemic in India; persistent gallbladder colonisation is associated with biliary stones, chronic cholangitis and gallbladder cancer.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Gallstone formation and CBD-stone migration accumulate through the fourth to sixth decades; acute cholangitis most often presents in adults as stone burden and age-related duct changes increase.</w:t>
            </w:r>
          </w:p>
          <w:p>
            <w:pPr>
              <w:spacing w:after="40" w:before="60" w:line="259" w:lineRule="auto"/>
            </w:pPr>
            <w:r>
              <w:rPr>
                <w:rFonts w:ascii="Calibri" w:hAnsi="Calibri"/>
                <w:b w:val="0"/>
                <w:i w:val="0"/>
                <w:color w:val="212121"/>
                <w:sz w:val="19"/>
              </w:rPr>
              <w:t>The median age at presentation of acute cholangitis is between 50 and 60 years.</w:t>
            </w:r>
          </w:p>
          <w:p>
            <w:pPr>
              <w:spacing w:after="40" w:line="252" w:lineRule="auto"/>
            </w:pPr>
            <w:hyperlink r:id="rId9">
              <w:r>
                <w:rPr>
                  <w:rFonts w:ascii="Calibri" w:hAnsi="Calibri" w:cs="Calibri"/>
                  <w:sz w:val="18"/>
                  <w:color w:val="1155CC"/>
                  <w:u w:val="single"/>
                </w:rPr>
                <w:t xml:space="preserve">emedicine.medscape.com - acute cholangitis</w:t>
              </w:r>
            </w:hyperlink>
          </w:p>
          <w:p>
            <w:pPr>
              <w:spacing w:before="60" w:after="40"/>
            </w:pPr>
            <w:r>
              <w:rPr>
                <w:rFonts w:ascii="Calibri" w:hAnsi="Calibri"/>
                <w:b w:val="0"/>
                <w:i w:val="0"/>
                <w:color w:val="5A5A5A"/>
                <w:sz w:val="18"/>
              </w:rPr>
              <w:t>#choledocholithiasis  #CBDstones  #midlife  #biliary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carry larger stone burdens, form primary stones in dilated ducts, and tolerate biliary sepsis poorly; advanced age itself marks more severe disease and higher mortality.</w:t>
            </w:r>
          </w:p>
          <w:p>
            <w:pPr>
              <w:spacing w:after="40" w:before="60" w:line="259" w:lineRule="auto"/>
            </w:pPr>
            <w:r>
              <w:rPr>
                <w:rFonts w:ascii="Calibri" w:hAnsi="Calibri"/>
                <w:b w:val="0"/>
                <w:i w:val="0"/>
                <w:color w:val="212121"/>
                <w:sz w:val="19"/>
              </w:rPr>
              <w:t>Age &gt;=75 years is a defining criterion for Grade II (moderate) acute cholangitis in the Tokyo Guidelines 2018.</w:t>
            </w:r>
          </w:p>
          <w:p>
            <w:pPr>
              <w:spacing w:after="40" w:line="252" w:lineRule="auto"/>
            </w:pPr>
            <w:hyperlink r:id="rId10">
              <w:r>
                <w:rPr>
                  <w:rFonts w:ascii="Calibri" w:hAnsi="Calibri" w:cs="Calibri"/>
                  <w:sz w:val="18"/>
                  <w:color w:val="1155CC"/>
                  <w:u w:val="single"/>
                </w:rPr>
                <w:t xml:space="preserve">mdcalc.com - Tokyo Guidelines 2018 acute cholangitis</w:t>
              </w:r>
            </w:hyperlink>
          </w:p>
          <w:p>
            <w:pPr>
              <w:spacing w:before="60" w:after="40"/>
            </w:pPr>
            <w:r>
              <w:rPr>
                <w:rFonts w:ascii="Calibri" w:hAnsi="Calibri"/>
                <w:b w:val="0"/>
                <w:i w:val="0"/>
                <w:color w:val="5A5A5A"/>
                <w:sz w:val="18"/>
              </w:rPr>
              <w:t>#elderly  #severecholangitis  #frailty  #TG18</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Oestrogen and progesterone raise biliary cholesterol saturation and reduce gallbladder motility; multiparity, obesity and weight cycling compound risk (the classic 'fat, female, forty, fertile' profile). Once cholangitis supervenes, the sex difference narrows.</w:t>
            </w:r>
          </w:p>
          <w:p>
            <w:pPr>
              <w:spacing w:after="40" w:before="60" w:line="259" w:lineRule="auto"/>
            </w:pPr>
            <w:r>
              <w:rPr>
                <w:rFonts w:ascii="Calibri" w:hAnsi="Calibri"/>
                <w:b w:val="0"/>
                <w:i w:val="0"/>
                <w:color w:val="212121"/>
                <w:sz w:val="19"/>
              </w:rPr>
              <w:t>In Indian gallbladder-disease series the female-to-male ratio ranges from about 3:1 to 4.5:1, yet the male-to-female ratio becomes roughly equal once acute cholangitis develops.</w:t>
            </w:r>
          </w:p>
          <w:p>
            <w:pPr>
              <w:spacing w:after="40" w:line="252" w:lineRule="auto"/>
            </w:pPr>
            <w:hyperlink r:id="rId11">
              <w:r>
                <w:rPr>
                  <w:rFonts w:ascii="Calibri" w:hAnsi="Calibri" w:cs="Calibri"/>
                  <w:sz w:val="18"/>
                  <w:color w:val="1155CC"/>
                  <w:u w:val="single"/>
                </w:rPr>
                <w:t xml:space="preserve">cco.amegroups.org - epidemiology of gallbladder cancer in India</w:t>
              </w:r>
            </w:hyperlink>
          </w:p>
          <w:p>
            <w:pPr>
              <w:spacing w:before="60" w:after="40"/>
            </w:pPr>
            <w:r>
              <w:rPr>
                <w:rFonts w:ascii="Calibri" w:hAnsi="Calibri"/>
                <w:b w:val="0"/>
                <w:i w:val="0"/>
                <w:color w:val="5A5A5A"/>
                <w:sz w:val="18"/>
              </w:rPr>
              <w:t>#female  #estrogen  #multiparity  #fatfemaleforty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rural Gangetic populations</w:t>
            </w:r>
          </w:p>
        </w:tc>
        <w:tc>
          <w:tcPr>
            <w:tcW w:type="dxa" w:w="4276"/>
            <w:vAlign w:val="top"/>
          </w:tcPr>
          <w:p>
            <w:pPr>
              <w:spacing w:after="60" w:line="259" w:lineRule="auto"/>
            </w:pPr>
            <w:r>
              <w:rPr>
                <w:rFonts w:ascii="Calibri" w:hAnsi="Calibri"/>
                <w:b w:val="0"/>
                <w:i w:val="0"/>
                <w:color w:val="212121"/>
                <w:sz w:val="19"/>
              </w:rPr>
              <w:t>Limited access to elective cholecystectomy, delayed presentation, chronic enteric infection and undernutrition allow neglected gallstones to progress to CBD stones, cholangitis and gallbladder cancer.</w:t>
            </w:r>
          </w:p>
          <w:p>
            <w:pPr>
              <w:spacing w:after="40" w:before="60" w:line="259" w:lineRule="auto"/>
            </w:pPr>
            <w:r>
              <w:rPr>
                <w:rFonts w:ascii="Calibri" w:hAnsi="Calibri"/>
                <w:b w:val="0"/>
                <w:i w:val="0"/>
                <w:color w:val="212121"/>
                <w:sz w:val="19"/>
              </w:rPr>
              <w:t>India carries a disproportionate share of the global gallbladder-disease burden, concentrated in the socioeconomically vulnerable Indo-Gangetic belt.</w:t>
            </w:r>
          </w:p>
          <w:p>
            <w:pPr>
              <w:spacing w:after="40" w:line="252" w:lineRule="auto"/>
            </w:pPr>
            <w:hyperlink r:id="rId11">
              <w:r>
                <w:rPr>
                  <w:rFonts w:ascii="Calibri" w:hAnsi="Calibri" w:cs="Calibri"/>
                  <w:sz w:val="18"/>
                  <w:color w:val="1155CC"/>
                  <w:u w:val="single"/>
                </w:rPr>
                <w:t xml:space="preserve">cco.amegroups.org - epidemiology of gallbladder cancer in India</w:t>
              </w:r>
            </w:hyperlink>
          </w:p>
          <w:p>
            <w:pPr>
              <w:spacing w:before="60" w:after="40"/>
            </w:pPr>
            <w:r>
              <w:rPr>
                <w:rFonts w:ascii="Calibri" w:hAnsi="Calibri"/>
                <w:b w:val="0"/>
                <w:i w:val="0"/>
                <w:color w:val="5A5A5A"/>
                <w:sz w:val="18"/>
              </w:rPr>
              <w:t>#socioeconomic  #ruralindia  #delayedcare  #gangeticbelt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North Indian (Indo-Gangetic - Punjabi, Gujarati)</w:t>
            </w:r>
          </w:p>
        </w:tc>
        <w:tc>
          <w:tcPr>
            <w:tcW w:type="dxa" w:w="4276"/>
            <w:vAlign w:val="top"/>
          </w:tcPr>
          <w:p>
            <w:pPr>
              <w:spacing w:after="60" w:line="259" w:lineRule="auto"/>
            </w:pPr>
            <w:r>
              <w:rPr>
                <w:rFonts w:ascii="Calibri" w:hAnsi="Calibri"/>
                <w:b w:val="0"/>
                <w:i w:val="0"/>
                <w:color w:val="212121"/>
                <w:sz w:val="19"/>
              </w:rPr>
              <w:t>Northern populations have 2-4 fold higher gallstone prevalence, predominantly cholesterol stones from high-fat diets and genetic predisposition, feeding a high burden of CBD stones, cholangitis and gallbladder cancer along the Ganges basin.</w:t>
            </w:r>
          </w:p>
          <w:p>
            <w:pPr>
              <w:spacing w:after="40" w:before="60" w:line="259" w:lineRule="auto"/>
            </w:pPr>
            <w:r>
              <w:rPr>
                <w:rFonts w:ascii="Calibri" w:hAnsi="Calibri"/>
                <w:b w:val="0"/>
                <w:i w:val="0"/>
                <w:color w:val="212121"/>
                <w:sz w:val="19"/>
              </w:rPr>
              <w:t>Gallstone prevalence is ~7.4% in Punjabi and Gujarati communities versus ~1.8% in South Indians; recent surveys report up to 10.8% in Punjab, and northern stones are predominantly cholesterol.</w:t>
            </w:r>
          </w:p>
          <w:p>
            <w:pPr>
              <w:spacing w:after="40" w:line="252" w:lineRule="auto"/>
            </w:pPr>
            <w:hyperlink r:id="rId12">
              <w:r>
                <w:rPr>
                  <w:rFonts w:ascii="Calibri" w:hAnsi="Calibri" w:cs="Calibri"/>
                  <w:sz w:val="18"/>
                  <w:color w:val="1155CC"/>
                  <w:u w:val="single"/>
                </w:rPr>
                <w:t xml:space="preserve">wjgnet.com - prevalence and type of biliary stones in India</w:t>
              </w:r>
            </w:hyperlink>
          </w:p>
          <w:p>
            <w:pPr>
              <w:spacing w:before="60" w:after="40"/>
            </w:pPr>
            <w:r>
              <w:rPr>
                <w:rFonts w:ascii="Calibri" w:hAnsi="Calibri"/>
                <w:b w:val="0"/>
                <w:i w:val="0"/>
                <w:color w:val="5A5A5A"/>
                <w:sz w:val="18"/>
              </w:rPr>
              <w:t>#northindia  #gangeticbelt  #cholesterolstones  #GBCbelt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Indian (Dravidian)</w:t>
            </w:r>
          </w:p>
        </w:tc>
        <w:tc>
          <w:tcPr>
            <w:tcW w:type="dxa" w:w="4276"/>
            <w:vAlign w:val="top"/>
          </w:tcPr>
          <w:p>
            <w:pPr>
              <w:spacing w:after="60" w:line="259" w:lineRule="auto"/>
            </w:pPr>
            <w:r>
              <w:rPr>
                <w:rFonts w:ascii="Calibri" w:hAnsi="Calibri"/>
                <w:b w:val="0"/>
                <w:i w:val="0"/>
                <w:color w:val="212121"/>
                <w:sz w:val="19"/>
              </w:rPr>
              <w:t>South Indians have lower overall gallstone prevalence but a higher proportion of pigment and primary CBD stones linked to chronic biliary infection, with distinct dietary risk factors.</w:t>
            </w:r>
          </w:p>
          <w:p>
            <w:pPr>
              <w:spacing w:after="40" w:before="60" w:line="259" w:lineRule="auto"/>
            </w:pPr>
            <w:r>
              <w:rPr>
                <w:rFonts w:ascii="Calibri" w:hAnsi="Calibri"/>
                <w:b w:val="0"/>
                <w:i w:val="0"/>
                <w:color w:val="212121"/>
                <w:sz w:val="19"/>
              </w:rPr>
              <w:t>Gallstone prevalence is ~1.8% in South Indians, and their gallbladder and CBD stones are predominantly pigment/bilirubinate (about 90% of CBD stones) versus cholesterol in the north.</w:t>
            </w:r>
          </w:p>
          <w:p>
            <w:pPr>
              <w:spacing w:after="40" w:line="252" w:lineRule="auto"/>
            </w:pPr>
            <w:hyperlink r:id="rId12">
              <w:r>
                <w:rPr>
                  <w:rFonts w:ascii="Calibri" w:hAnsi="Calibri" w:cs="Calibri"/>
                  <w:sz w:val="18"/>
                  <w:color w:val="1155CC"/>
                  <w:u w:val="single"/>
                </w:rPr>
                <w:t xml:space="preserve">wjgnet.com - prevalence and type of biliary stones in India</w:t>
              </w:r>
            </w:hyperlink>
          </w:p>
          <w:p>
            <w:pPr>
              <w:spacing w:before="60" w:after="40"/>
            </w:pPr>
            <w:r>
              <w:rPr>
                <w:rFonts w:ascii="Calibri" w:hAnsi="Calibri"/>
                <w:b w:val="0"/>
                <w:i w:val="0"/>
                <w:color w:val="5A5A5A"/>
                <w:sz w:val="18"/>
              </w:rPr>
              <w:t>#southindia  #pigmentstones  #dravidian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Northeast India (Assam / Brahmaputra basin)</w:t>
            </w:r>
          </w:p>
        </w:tc>
        <w:tc>
          <w:tcPr>
            <w:tcW w:type="dxa" w:w="4276"/>
            <w:vAlign w:val="top"/>
          </w:tcPr>
          <w:p>
            <w:pPr>
              <w:spacing w:after="60" w:line="259" w:lineRule="auto"/>
            </w:pPr>
            <w:r>
              <w:rPr>
                <w:rFonts w:ascii="Calibri" w:hAnsi="Calibri"/>
                <w:b w:val="0"/>
                <w:i w:val="0"/>
                <w:color w:val="212121"/>
                <w:sz w:val="19"/>
              </w:rPr>
              <w:t>The Brahmaputra river belt shares the high gallstone and gallbladder-cancer prevalence of the Gangetic plain, with a strong female predominance.</w:t>
            </w:r>
          </w:p>
          <w:p>
            <w:pPr>
              <w:spacing w:after="40" w:before="60" w:line="259" w:lineRule="auto"/>
            </w:pPr>
            <w:r>
              <w:rPr>
                <w:rFonts w:ascii="Calibri" w:hAnsi="Calibri"/>
                <w:b w:val="0"/>
                <w:i w:val="0"/>
                <w:color w:val="212121"/>
                <w:sz w:val="19"/>
              </w:rPr>
              <w:t>Community surveys report gallstone prevalence of ~10.7% in Kamrup (Assam), and Northeast Indian women have among the highest gallbladder-cancer rates (~17/100,000).</w:t>
            </w:r>
          </w:p>
          <w:p>
            <w:pPr>
              <w:spacing w:after="40" w:line="252" w:lineRule="auto"/>
            </w:pPr>
            <w:hyperlink r:id="rId11">
              <w:r>
                <w:rPr>
                  <w:rFonts w:ascii="Calibri" w:hAnsi="Calibri" w:cs="Calibri"/>
                  <w:sz w:val="18"/>
                  <w:color w:val="1155CC"/>
                  <w:u w:val="single"/>
                </w:rPr>
                <w:t xml:space="preserve">cco.amegroups.org - epidemiology of gallbladder cancer in India</w:t>
              </w:r>
            </w:hyperlink>
          </w:p>
          <w:p>
            <w:pPr>
              <w:spacing w:before="60" w:after="40"/>
            </w:pPr>
            <w:r>
              <w:rPr>
                <w:rFonts w:ascii="Calibri" w:hAnsi="Calibri"/>
                <w:b w:val="0"/>
                <w:i w:val="0"/>
                <w:color w:val="5A5A5A"/>
                <w:sz w:val="18"/>
              </w:rPr>
              <w:t>#northeastindia  #assam  #brahmaputra  #GBC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Central obesity, metabolic syndrome</w:t>
            </w:r>
          </w:p>
        </w:tc>
        <w:tc>
          <w:tcPr>
            <w:tcW w:type="dxa" w:w="4276"/>
            <w:vAlign w:val="top"/>
          </w:tcPr>
          <w:p>
            <w:pPr>
              <w:spacing w:after="60" w:line="259" w:lineRule="auto"/>
            </w:pPr>
            <w:r>
              <w:rPr>
                <w:rFonts w:ascii="Calibri" w:hAnsi="Calibri"/>
                <w:b w:val="0"/>
                <w:i w:val="0"/>
                <w:color w:val="212121"/>
                <w:sz w:val="19"/>
              </w:rPr>
              <w:t>Obesity increases hepatic cholesterol secretion and bile cholesterol saturation while reducing gallbladder emptying - the strongest metabolic driver of the cholesterol gallstones that seed the common bile duct.</w:t>
            </w:r>
          </w:p>
          <w:p>
            <w:pPr>
              <w:spacing w:after="40" w:before="60" w:line="259" w:lineRule="auto"/>
            </w:pPr>
            <w:r>
              <w:rPr>
                <w:rFonts w:ascii="Calibri" w:hAnsi="Calibri"/>
                <w:b w:val="0"/>
                <w:i w:val="0"/>
                <w:color w:val="212121"/>
                <w:sz w:val="19"/>
              </w:rPr>
              <w:t>Obesity and metabolic syndrome are established, well-recognised risk factors for cholesterol gallstone disease.</w:t>
            </w:r>
          </w:p>
          <w:p>
            <w:pPr>
              <w:spacing w:before="60" w:after="40"/>
            </w:pPr>
            <w:r>
              <w:rPr>
                <w:rFonts w:ascii="Calibri" w:hAnsi="Calibri"/>
                <w:b w:val="0"/>
                <w:i w:val="0"/>
                <w:color w:val="5A5A5A"/>
                <w:sz w:val="18"/>
              </w:rPr>
              <w:t>#obesity  #metabolicsyndrome  #cholesterolsaturation  #biliarystasis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Rapid weight loss</w:t>
            </w:r>
          </w:p>
        </w:tc>
        <w:tc>
          <w:tcPr>
            <w:tcW w:type="dxa" w:w="2160"/>
            <w:vAlign w:val="top"/>
          </w:tcPr>
          <w:p>
            <w:pPr>
              <w:spacing w:after="40" w:before="0" w:line="259" w:lineRule="auto"/>
            </w:pPr>
            <w:r>
              <w:rPr>
                <w:rFonts w:ascii="Calibri" w:hAnsi="Calibri"/>
                <w:b w:val="0"/>
                <w:i w:val="0"/>
                <w:color w:val="212121"/>
                <w:sz w:val="19"/>
              </w:rPr>
              <w:t>Crash dieting, bariatric surgery, prolonged fasting</w:t>
            </w:r>
          </w:p>
        </w:tc>
        <w:tc>
          <w:tcPr>
            <w:tcW w:type="dxa" w:w="4276"/>
            <w:vAlign w:val="top"/>
          </w:tcPr>
          <w:p>
            <w:pPr>
              <w:spacing w:after="60" w:line="259" w:lineRule="auto"/>
            </w:pPr>
            <w:r>
              <w:rPr>
                <w:rFonts w:ascii="Calibri" w:hAnsi="Calibri"/>
                <w:b w:val="0"/>
                <w:i w:val="0"/>
                <w:color w:val="212121"/>
                <w:sz w:val="19"/>
              </w:rPr>
              <w:t>Rapid weight loss mobilises cholesterol into bile and causes gallbladder stasis, precipitating stone formation within weeks to months.</w:t>
            </w:r>
          </w:p>
          <w:p>
            <w:pPr>
              <w:spacing w:after="40" w:before="60" w:line="259" w:lineRule="auto"/>
            </w:pPr>
            <w:r>
              <w:rPr>
                <w:rFonts w:ascii="Calibri" w:hAnsi="Calibri"/>
                <w:b w:val="0"/>
                <w:i w:val="0"/>
                <w:color w:val="212121"/>
                <w:sz w:val="19"/>
              </w:rPr>
              <w:t>Rapid weight loss (more than ~1.5 kg/week) and very-low-calorie diets markedly increase new gallstone formation.</w:t>
            </w:r>
          </w:p>
          <w:p>
            <w:pPr>
              <w:spacing w:before="60" w:after="40"/>
            </w:pPr>
            <w:r>
              <w:rPr>
                <w:rFonts w:ascii="Calibri" w:hAnsi="Calibri"/>
                <w:b w:val="0"/>
                <w:i w:val="0"/>
                <w:color w:val="5A5A5A"/>
                <w:sz w:val="18"/>
              </w:rPr>
              <w:t>#rapidweightloss  #crashdiet  #bariatric  #fasting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Physical inactivity slows gallbladder emptying and worsens the metabolic profile, promoting cholesterol stone formation.</w:t>
            </w:r>
          </w:p>
          <w:p>
            <w:pPr>
              <w:spacing w:after="40" w:before="60" w:line="259" w:lineRule="auto"/>
            </w:pPr>
            <w:r>
              <w:rPr>
                <w:rFonts w:ascii="Calibri" w:hAnsi="Calibri"/>
                <w:b w:val="0"/>
                <w:i w:val="0"/>
                <w:color w:val="212121"/>
                <w:sz w:val="19"/>
              </w:rPr>
              <w:t>Regular physical activity is associated with a lower risk of symptomatic gallstone disease.</w:t>
            </w:r>
          </w:p>
          <w:p>
            <w:pPr>
              <w:spacing w:before="60" w:after="40"/>
            </w:pPr>
            <w:r>
              <w:rPr>
                <w:rFonts w:ascii="Calibri" w:hAnsi="Calibri"/>
                <w:b w:val="0"/>
                <w:i w:val="0"/>
                <w:color w:val="5A5A5A"/>
                <w:sz w:val="18"/>
              </w:rPr>
              <w:t>#sedentary  #gallbladderstasis  #inactivity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Fried, spicy, high-oil North Indian diet</w:t>
            </w:r>
          </w:p>
        </w:tc>
        <w:tc>
          <w:tcPr>
            <w:tcW w:type="dxa" w:w="4276"/>
            <w:vAlign w:val="top"/>
          </w:tcPr>
          <w:p>
            <w:pPr>
              <w:spacing w:after="60" w:line="259" w:lineRule="auto"/>
            </w:pPr>
            <w:r>
              <w:rPr>
                <w:rFonts w:ascii="Calibri" w:hAnsi="Calibri"/>
                <w:b w:val="0"/>
                <w:i w:val="0"/>
                <w:color w:val="212121"/>
                <w:sz w:val="19"/>
              </w:rPr>
              <w:t>Frequent fried food, high spice and high cooking-oil intake are associated with combined gallbladder and CBD stones in Indian case-control data.</w:t>
            </w:r>
          </w:p>
          <w:p>
            <w:pPr>
              <w:spacing w:after="40" w:before="60" w:line="259" w:lineRule="auto"/>
            </w:pPr>
            <w:r>
              <w:rPr>
                <w:rFonts w:ascii="Calibri" w:hAnsi="Calibri"/>
                <w:b w:val="0"/>
                <w:i w:val="0"/>
                <w:color w:val="212121"/>
                <w:sz w:val="19"/>
              </w:rPr>
              <w:t>Frequent fried food (OR 2.7) and frequent spice intake (OR 2.8), with higher monthly oil consumption, were significantly associated with combined CBD and gallbladder stones in a South Indian study.</w:t>
            </w:r>
          </w:p>
          <w:p>
            <w:pPr>
              <w:spacing w:after="40" w:line="252" w:lineRule="auto"/>
            </w:pPr>
            <w:hyperlink r:id="rId13">
              <w:r>
                <w:rPr>
                  <w:rFonts w:ascii="Calibri" w:hAnsi="Calibri" w:cs="Calibri"/>
                  <w:sz w:val="18"/>
                  <w:color w:val="1155CC"/>
                  <w:u w:val="single"/>
                </w:rPr>
                <w:t xml:space="preserve">link.springer.com - risk factors for choledocholithiasis, South India</w:t>
              </w:r>
            </w:hyperlink>
          </w:p>
          <w:p>
            <w:pPr>
              <w:spacing w:before="60" w:after="40"/>
            </w:pPr>
            <w:r>
              <w:rPr>
                <w:rFonts w:ascii="Calibri" w:hAnsi="Calibri"/>
                <w:b w:val="0"/>
                <w:i w:val="0"/>
                <w:color w:val="5A5A5A"/>
                <w:sz w:val="18"/>
              </w:rPr>
              <w:t>#friedfood  #spices  #highoil  #CBDstones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fibre intake</w:t>
            </w:r>
          </w:p>
        </w:tc>
        <w:tc>
          <w:tcPr>
            <w:tcW w:type="dxa" w:w="2160"/>
            <w:vAlign w:val="top"/>
          </w:tcPr>
          <w:p>
            <w:pPr>
              <w:spacing w:after="40" w:before="0" w:line="259" w:lineRule="auto"/>
            </w:pPr>
            <w:r>
              <w:rPr>
                <w:rFonts w:ascii="Calibri" w:hAnsi="Calibri"/>
                <w:b w:val="0"/>
                <w:i w:val="0"/>
                <w:color w:val="212121"/>
                <w:sz w:val="19"/>
              </w:rPr>
              <w:t>Low green-vegetable / low-fibre diets</w:t>
            </w:r>
          </w:p>
        </w:tc>
        <w:tc>
          <w:tcPr>
            <w:tcW w:type="dxa" w:w="4276"/>
            <w:vAlign w:val="top"/>
          </w:tcPr>
          <w:p>
            <w:pPr>
              <w:spacing w:after="60" w:line="259" w:lineRule="auto"/>
            </w:pPr>
            <w:r>
              <w:rPr>
                <w:rFonts w:ascii="Calibri" w:hAnsi="Calibri"/>
                <w:b w:val="0"/>
                <w:i w:val="0"/>
                <w:color w:val="212121"/>
                <w:sz w:val="19"/>
              </w:rPr>
              <w:t>Diets low in green vegetables and fibre lose a protective effect against biliary stones; fibre binds bile acids and speeds intestinal transit.</w:t>
            </w:r>
          </w:p>
          <w:p>
            <w:pPr>
              <w:spacing w:after="40" w:before="60" w:line="259" w:lineRule="auto"/>
            </w:pPr>
            <w:r>
              <w:rPr>
                <w:rFonts w:ascii="Calibri" w:hAnsi="Calibri"/>
                <w:b w:val="0"/>
                <w:i w:val="0"/>
                <w:color w:val="212121"/>
                <w:sz w:val="19"/>
              </w:rPr>
              <w:t>Infrequent green-vegetable intake was associated with isolated CBD stones (OR 2.3), and green vegetables were strongly protective against combined stones (OR 8.5).</w:t>
            </w:r>
          </w:p>
          <w:p>
            <w:pPr>
              <w:spacing w:after="40" w:line="252" w:lineRule="auto"/>
            </w:pPr>
            <w:hyperlink r:id="rId13">
              <w:r>
                <w:rPr>
                  <w:rFonts w:ascii="Calibri" w:hAnsi="Calibri" w:cs="Calibri"/>
                  <w:sz w:val="18"/>
                  <w:color w:val="1155CC"/>
                  <w:u w:val="single"/>
                </w:rPr>
                <w:t xml:space="preserve">link.springer.com - risk factors for choledocholithiasis, South India</w:t>
              </w:r>
            </w:hyperlink>
          </w:p>
          <w:p>
            <w:pPr>
              <w:spacing w:before="60" w:after="40"/>
            </w:pPr>
            <w:r>
              <w:rPr>
                <w:rFonts w:ascii="Calibri" w:hAnsi="Calibri"/>
                <w:b w:val="0"/>
                <w:i w:val="0"/>
                <w:color w:val="5A5A5A"/>
                <w:sz w:val="18"/>
              </w:rPr>
              <w:t>#lowfibre  #greenvegetables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Beverage intake</w:t>
            </w:r>
          </w:p>
        </w:tc>
        <w:tc>
          <w:tcPr>
            <w:tcW w:type="dxa" w:w="2160"/>
            <w:vAlign w:val="top"/>
          </w:tcPr>
          <w:p>
            <w:pPr>
              <w:spacing w:after="40" w:before="0" w:line="259" w:lineRule="auto"/>
            </w:pPr>
            <w:r>
              <w:rPr>
                <w:rFonts w:ascii="Calibri" w:hAnsi="Calibri"/>
                <w:b w:val="0"/>
                <w:i w:val="0"/>
                <w:color w:val="212121"/>
                <w:sz w:val="19"/>
              </w:rPr>
              <w:t>High tea/coffee consumers (isolated CBD stones)</w:t>
            </w:r>
          </w:p>
        </w:tc>
        <w:tc>
          <w:tcPr>
            <w:tcW w:type="dxa" w:w="4276"/>
            <w:vAlign w:val="top"/>
          </w:tcPr>
          <w:p>
            <w:pPr>
              <w:spacing w:after="60" w:line="259" w:lineRule="auto"/>
            </w:pPr>
            <w:r>
              <w:rPr>
                <w:rFonts w:ascii="Calibri" w:hAnsi="Calibri"/>
                <w:b w:val="0"/>
                <w:i w:val="0"/>
                <w:color w:val="212121"/>
                <w:sz w:val="19"/>
              </w:rPr>
              <w:t>In South Indian data, higher tea/coffee intake was associated with isolated common bile duct stones, possibly through effects on bile composition and duct motility.</w:t>
            </w:r>
          </w:p>
          <w:p>
            <w:pPr>
              <w:spacing w:after="40" w:before="60" w:line="259" w:lineRule="auto"/>
            </w:pPr>
            <w:r>
              <w:rPr>
                <w:rFonts w:ascii="Calibri" w:hAnsi="Calibri"/>
                <w:b w:val="0"/>
                <w:i w:val="0"/>
                <w:color w:val="212121"/>
                <w:sz w:val="19"/>
              </w:rPr>
              <w:t>Tea/coffee intake was associated with isolated CBD stones (OR 3.3) in a South Indian case-control study.</w:t>
            </w:r>
          </w:p>
          <w:p>
            <w:pPr>
              <w:spacing w:after="40" w:line="252" w:lineRule="auto"/>
            </w:pPr>
            <w:hyperlink r:id="rId13">
              <w:r>
                <w:rPr>
                  <w:rFonts w:ascii="Calibri" w:hAnsi="Calibri" w:cs="Calibri"/>
                  <w:sz w:val="18"/>
                  <w:color w:val="1155CC"/>
                  <w:u w:val="single"/>
                </w:rPr>
                <w:t xml:space="preserve">link.springer.com - risk factors for choledocholithiasis, South India</w:t>
              </w:r>
            </w:hyperlink>
          </w:p>
          <w:p>
            <w:pPr>
              <w:spacing w:before="60" w:after="40"/>
            </w:pPr>
            <w:r>
              <w:rPr>
                <w:rFonts w:ascii="Calibri" w:hAnsi="Calibri"/>
                <w:b w:val="0"/>
                <w:i w:val="0"/>
                <w:color w:val="5A5A5A"/>
                <w:sz w:val="18"/>
              </w:rPr>
              <w:t>#tea  #coffee  #CBDstones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gallstones</w:t>
            </w:r>
          </w:p>
        </w:tc>
        <w:tc>
          <w:tcPr>
            <w:tcW w:type="dxa" w:w="4276"/>
            <w:vAlign w:val="top"/>
          </w:tcPr>
          <w:p>
            <w:pPr>
              <w:spacing w:after="60" w:line="259" w:lineRule="auto"/>
            </w:pPr>
            <w:r>
              <w:rPr>
                <w:rFonts w:ascii="Calibri" w:hAnsi="Calibri"/>
                <w:b w:val="0"/>
                <w:i w:val="0"/>
                <w:color w:val="212121"/>
                <w:sz w:val="19"/>
              </w:rPr>
              <w:t>Gallstone disease clusters in families through shared lithogenic genes (e.g., ABCG5/ABCG8 cholesterol transporters) and shared diet, raising the pool of stones that can enter the CBD.</w:t>
            </w:r>
          </w:p>
          <w:p>
            <w:pPr>
              <w:spacing w:after="40" w:before="60" w:line="259" w:lineRule="auto"/>
            </w:pPr>
            <w:r>
              <w:rPr>
                <w:rFonts w:ascii="Calibri" w:hAnsi="Calibri"/>
                <w:b w:val="0"/>
                <w:i w:val="0"/>
                <w:color w:val="212121"/>
                <w:sz w:val="19"/>
              </w:rPr>
              <w:t>A positive family history is a recognised risk factor that increases gallstone risk roughly two-fold.</w:t>
            </w:r>
          </w:p>
          <w:p>
            <w:pPr>
              <w:spacing w:before="60" w:after="40"/>
            </w:pPr>
            <w:r>
              <w:rPr>
                <w:rFonts w:ascii="Calibri" w:hAnsi="Calibri"/>
                <w:b w:val="0"/>
                <w:i w:val="0"/>
                <w:color w:val="5A5A5A"/>
                <w:sz w:val="18"/>
              </w:rPr>
              <w:t>#familyhistory  #ABCG8  #lithogenicgenes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Haemolytic disorders</w:t>
            </w:r>
          </w:p>
        </w:tc>
        <w:tc>
          <w:tcPr>
            <w:tcW w:type="dxa" w:w="2160"/>
            <w:vAlign w:val="top"/>
          </w:tcPr>
          <w:p>
            <w:pPr>
              <w:spacing w:after="40" w:before="0" w:line="259" w:lineRule="auto"/>
            </w:pPr>
            <w:r>
              <w:rPr>
                <w:rFonts w:ascii="Calibri" w:hAnsi="Calibri"/>
                <w:b w:val="0"/>
                <w:i w:val="0"/>
                <w:color w:val="212121"/>
                <w:sz w:val="19"/>
              </w:rPr>
              <w:t>Sickle-cell disease, thalassaemia, hereditary spherocytosis</w:t>
            </w:r>
          </w:p>
        </w:tc>
        <w:tc>
          <w:tcPr>
            <w:tcW w:type="dxa" w:w="4276"/>
            <w:vAlign w:val="top"/>
          </w:tcPr>
          <w:p>
            <w:pPr>
              <w:spacing w:after="60" w:line="259" w:lineRule="auto"/>
            </w:pPr>
            <w:r>
              <w:rPr>
                <w:rFonts w:ascii="Calibri" w:hAnsi="Calibri"/>
                <w:b w:val="0"/>
                <w:i w:val="0"/>
                <w:color w:val="212121"/>
                <w:sz w:val="19"/>
              </w:rPr>
              <w:t>Chronic haemolysis floods bile with unconjugated bilirubin, forming black/brown pigment stones that lodge in the CBD - relevant given India's large thalassaemia and sickle-cell belt.</w:t>
            </w:r>
          </w:p>
          <w:p>
            <w:pPr>
              <w:spacing w:after="40" w:before="60" w:line="259" w:lineRule="auto"/>
            </w:pPr>
            <w:r>
              <w:rPr>
                <w:rFonts w:ascii="Calibri" w:hAnsi="Calibri"/>
                <w:b w:val="0"/>
                <w:i w:val="0"/>
                <w:color w:val="212121"/>
                <w:sz w:val="19"/>
              </w:rPr>
              <w:t>Chronic haemolytic anaemias are a well-recognised cause of pigment gallstones and choledocholithiasis, often occurring at a younger age.</w:t>
            </w:r>
          </w:p>
          <w:p>
            <w:pPr>
              <w:spacing w:before="60" w:after="40"/>
            </w:pPr>
            <w:r>
              <w:rPr>
                <w:rFonts w:ascii="Calibri" w:hAnsi="Calibri"/>
                <w:b w:val="0"/>
                <w:i w:val="0"/>
                <w:color w:val="5A5A5A"/>
                <w:sz w:val="18"/>
              </w:rPr>
              <w:t>#haemolysis  #pigmentstones  #thalassaemia  #sicklecell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Cholelithiasis</w:t>
            </w:r>
          </w:p>
        </w:tc>
        <w:tc>
          <w:tcPr>
            <w:tcW w:type="dxa" w:w="2160"/>
            <w:vAlign w:val="top"/>
          </w:tcPr>
          <w:p>
            <w:pPr>
              <w:spacing w:after="40" w:before="0" w:line="259" w:lineRule="auto"/>
            </w:pPr>
            <w:r>
              <w:rPr>
                <w:rFonts w:ascii="Calibri" w:hAnsi="Calibri"/>
                <w:b w:val="0"/>
                <w:i w:val="0"/>
                <w:color w:val="212121"/>
                <w:sz w:val="19"/>
              </w:rPr>
              <w:t>Patients with gallbladder stones</w:t>
            </w:r>
          </w:p>
        </w:tc>
        <w:tc>
          <w:tcPr>
            <w:tcW w:type="dxa" w:w="4276"/>
            <w:vAlign w:val="top"/>
          </w:tcPr>
          <w:p>
            <w:pPr>
              <w:spacing w:after="60" w:line="259" w:lineRule="auto"/>
            </w:pPr>
            <w:r>
              <w:rPr>
                <w:rFonts w:ascii="Calibri" w:hAnsi="Calibri"/>
                <w:b w:val="0"/>
                <w:i w:val="0"/>
                <w:color w:val="212121"/>
                <w:sz w:val="19"/>
              </w:rPr>
              <w:t>Gallbladder stones are the source of most CBD stones; migration through the cystic duct produces secondary choledocholithiasis and the downstream risk of cholangitis and pancreatitis.</w:t>
            </w:r>
          </w:p>
          <w:p>
            <w:pPr>
              <w:spacing w:after="40" w:before="60" w:line="259" w:lineRule="auto"/>
            </w:pPr>
            <w:r>
              <w:rPr>
                <w:rFonts w:ascii="Calibri" w:hAnsi="Calibri"/>
                <w:b w:val="0"/>
                <w:i w:val="0"/>
                <w:color w:val="212121"/>
                <w:sz w:val="19"/>
              </w:rPr>
              <w:t>Common bile duct stones are present in about 1-15% of patients with gallstones (and roughly 10-15% of those with cholecystitis).</w:t>
            </w:r>
          </w:p>
          <w:p>
            <w:pPr>
              <w:spacing w:after="40" w:line="252" w:lineRule="auto"/>
            </w:pPr>
            <w:hyperlink r:id="rId14">
              <w:r>
                <w:rPr>
                  <w:rFonts w:ascii="Calibri" w:hAnsi="Calibri" w:cs="Calibri"/>
                  <w:sz w:val="18"/>
                  <w:color w:val="1155CC"/>
                  <w:u w:val="single"/>
                </w:rPr>
                <w:t xml:space="preserve">ncbi.nlm.nih.gov - StatPearls: Choledocholithiasis</w:t>
              </w:r>
            </w:hyperlink>
          </w:p>
          <w:p>
            <w:pPr>
              <w:spacing w:before="60" w:after="40"/>
            </w:pPr>
            <w:r>
              <w:rPr>
                <w:rFonts w:ascii="Calibri" w:hAnsi="Calibri"/>
                <w:b w:val="0"/>
                <w:i w:val="0"/>
                <w:color w:val="5A5A5A"/>
                <w:sz w:val="18"/>
              </w:rPr>
              <w:t>#cholelithiasis  #secondarystones  #migration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 patients</w:t>
            </w:r>
          </w:p>
        </w:tc>
        <w:tc>
          <w:tcPr>
            <w:tcW w:type="dxa" w:w="4276"/>
            <w:vAlign w:val="top"/>
          </w:tcPr>
          <w:p>
            <w:pPr>
              <w:spacing w:after="60" w:line="259" w:lineRule="auto"/>
            </w:pPr>
            <w:r>
              <w:rPr>
                <w:rFonts w:ascii="Calibri" w:hAnsi="Calibri"/>
                <w:b w:val="0"/>
                <w:i w:val="0"/>
                <w:color w:val="212121"/>
                <w:sz w:val="19"/>
              </w:rPr>
              <w:t>Autonomic neuropathy causes gallbladder hypomotility and bile stasis, while impaired immunity worsens biliary infection and the severity of cholangitis.</w:t>
            </w:r>
          </w:p>
          <w:p>
            <w:pPr>
              <w:spacing w:after="40" w:before="60" w:line="259" w:lineRule="auto"/>
            </w:pPr>
            <w:r>
              <w:rPr>
                <w:rFonts w:ascii="Calibri" w:hAnsi="Calibri"/>
                <w:b w:val="0"/>
                <w:i w:val="0"/>
                <w:color w:val="212121"/>
                <w:sz w:val="19"/>
              </w:rPr>
              <w:t>Diabetes is associated with gallbladder hypomotility and with more severe biliary infection and poorer cholangitis outcomes.</w:t>
            </w:r>
          </w:p>
          <w:p>
            <w:pPr>
              <w:spacing w:before="60" w:after="40"/>
            </w:pPr>
            <w:r>
              <w:rPr>
                <w:rFonts w:ascii="Calibri" w:hAnsi="Calibri"/>
                <w:b w:val="0"/>
                <w:i w:val="0"/>
                <w:color w:val="5A5A5A"/>
                <w:sz w:val="18"/>
              </w:rPr>
              <w:t>#diabetes  #gallbladderstasis  #infection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Salmonella typhi carriage</w:t>
            </w:r>
          </w:p>
        </w:tc>
        <w:tc>
          <w:tcPr>
            <w:tcW w:type="dxa" w:w="2160"/>
            <w:vAlign w:val="top"/>
          </w:tcPr>
          <w:p>
            <w:pPr>
              <w:spacing w:after="40" w:before="0" w:line="259" w:lineRule="auto"/>
            </w:pPr>
            <w:r>
              <w:rPr>
                <w:rFonts w:ascii="Calibri" w:hAnsi="Calibri"/>
                <w:b w:val="0"/>
                <w:i w:val="0"/>
                <w:color w:val="212121"/>
                <w:sz w:val="19"/>
              </w:rPr>
              <w:t>Typhoid carriers</w:t>
            </w:r>
          </w:p>
        </w:tc>
        <w:tc>
          <w:tcPr>
            <w:tcW w:type="dxa" w:w="4276"/>
            <w:vAlign w:val="top"/>
          </w:tcPr>
          <w:p>
            <w:pPr>
              <w:spacing w:after="60" w:line="259" w:lineRule="auto"/>
            </w:pPr>
            <w:r>
              <w:rPr>
                <w:rFonts w:ascii="Calibri" w:hAnsi="Calibri"/>
                <w:b w:val="0"/>
                <w:i w:val="0"/>
                <w:color w:val="212121"/>
                <w:sz w:val="19"/>
              </w:rPr>
              <w:t>Persistent gallbladder colonisation by S. typhi promotes stone formation and chronic cholangitis and is a strong risk factor for gallbladder cancer - a major issue in typhoid-endemic India.</w:t>
            </w:r>
          </w:p>
          <w:p>
            <w:pPr>
              <w:spacing w:after="40" w:before="60" w:line="259" w:lineRule="auto"/>
            </w:pPr>
            <w:r>
              <w:rPr>
                <w:rFonts w:ascii="Calibri" w:hAnsi="Calibri"/>
                <w:b w:val="0"/>
                <w:i w:val="0"/>
                <w:color w:val="212121"/>
                <w:sz w:val="19"/>
              </w:rPr>
              <w:t>Chronic Salmonella typhi carriage increases gallbladder-cancer risk about 3.5-4.1 fold.</w:t>
            </w:r>
          </w:p>
          <w:p>
            <w:pPr>
              <w:spacing w:after="40" w:line="252" w:lineRule="auto"/>
            </w:pPr>
            <w:hyperlink r:id="rId11">
              <w:r>
                <w:rPr>
                  <w:rFonts w:ascii="Calibri" w:hAnsi="Calibri" w:cs="Calibri"/>
                  <w:sz w:val="18"/>
                  <w:color w:val="1155CC"/>
                  <w:u w:val="single"/>
                </w:rPr>
                <w:t xml:space="preserve">cco.amegroups.org - epidemiology of gallbladder cancer in India</w:t>
              </w:r>
            </w:hyperlink>
          </w:p>
          <w:p>
            <w:pPr>
              <w:spacing w:before="60" w:after="40"/>
            </w:pPr>
            <w:r>
              <w:rPr>
                <w:rFonts w:ascii="Calibri" w:hAnsi="Calibri"/>
                <w:b w:val="0"/>
                <w:i w:val="0"/>
                <w:color w:val="5A5A5A"/>
                <w:sz w:val="18"/>
              </w:rPr>
              <w:t>#typhoid  #salmonella  #chronicinfection  #GBC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Biliary strictures / parasites</w:t>
            </w:r>
          </w:p>
        </w:tc>
        <w:tc>
          <w:tcPr>
            <w:tcW w:type="dxa" w:w="2160"/>
            <w:vAlign w:val="top"/>
          </w:tcPr>
          <w:p>
            <w:pPr>
              <w:spacing w:after="40" w:before="0" w:line="259" w:lineRule="auto"/>
            </w:pPr>
            <w:r>
              <w:rPr>
                <w:rFonts w:ascii="Calibri" w:hAnsi="Calibri"/>
                <w:b w:val="0"/>
                <w:i w:val="0"/>
                <w:color w:val="212121"/>
                <w:sz w:val="19"/>
              </w:rPr>
              <w:t>Prior biliary surgery, Ascaris/Clonorchis, hepatolithiasis</w:t>
            </w:r>
          </w:p>
        </w:tc>
        <w:tc>
          <w:tcPr>
            <w:tcW w:type="dxa" w:w="4276"/>
            <w:vAlign w:val="top"/>
          </w:tcPr>
          <w:p>
            <w:pPr>
              <w:spacing w:after="60" w:line="259" w:lineRule="auto"/>
            </w:pPr>
            <w:r>
              <w:rPr>
                <w:rFonts w:ascii="Calibri" w:hAnsi="Calibri"/>
                <w:b w:val="0"/>
                <w:i w:val="0"/>
                <w:color w:val="212121"/>
                <w:sz w:val="19"/>
              </w:rPr>
              <w:t>Duct strictures, indwelling stents, prior cholecystectomy and biliary parasites cause stasis and act as a nidus for primary brown-pigment stones and recurrent pyogenic cholangitis.</w:t>
            </w:r>
          </w:p>
          <w:p>
            <w:pPr>
              <w:spacing w:after="40" w:before="60" w:line="259" w:lineRule="auto"/>
            </w:pPr>
            <w:r>
              <w:rPr>
                <w:rFonts w:ascii="Calibri" w:hAnsi="Calibri"/>
                <w:b w:val="0"/>
                <w:i w:val="0"/>
                <w:color w:val="212121"/>
                <w:sz w:val="19"/>
              </w:rPr>
              <w:t>Recurrent pyogenic cholangitis with intrahepatic pigment stones is endemic to South/Southeast Asia (reported in up to ~30% in endemic regions) and is linked to Clonorchis and Ascaris.</w:t>
            </w:r>
          </w:p>
          <w:p>
            <w:pPr>
              <w:spacing w:after="40" w:line="252" w:lineRule="auto"/>
            </w:pPr>
            <w:hyperlink r:id="rId15">
              <w:r>
                <w:rPr>
                  <w:rFonts w:ascii="Calibri" w:hAnsi="Calibri" w:cs="Calibri"/>
                  <w:sz w:val="18"/>
                  <w:color w:val="1155CC"/>
                  <w:u w:val="single"/>
                </w:rPr>
                <w:t xml:space="preserve">ncbi.nlm.nih.gov - StatPearls: Recurrent Pyogenic Cholangitis</w:t>
              </w:r>
            </w:hyperlink>
          </w:p>
          <w:p>
            <w:pPr>
              <w:spacing w:before="60" w:after="40"/>
            </w:pPr>
            <w:r>
              <w:rPr>
                <w:rFonts w:ascii="Calibri" w:hAnsi="Calibri"/>
                <w:b w:val="0"/>
                <w:i w:val="0"/>
                <w:color w:val="5A5A5A"/>
                <w:sz w:val="18"/>
              </w:rPr>
              <w:t>#stricture  #parasites  #ascaris  #recurrentpyogenic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promote gallstone formation through gallbladder stasis and cholesterol supersaturation of bile; regular moderate activity lowers symptomatic gallstone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modifiable driver. High-fat, fried and high-oil diets promote cholesterol stones, while low green-vegetable and low-fibre intake raises CBD-stone risk in Indian case-control data (green vegetables protective, OR up to 8.5).</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Limited direct evidence; irregular meal timing and circadian disruption may affect bile flow and gallbladder emptying, but no strong causal link to duct stones.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shows only a modest and inconsistent association with gallstone disease and impairs post-operative healing and infection control.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is not clearly causal for stones and harms the liver; light-to-moderate intake may slightly reduce cholesterol-stone formation but is not protective overall.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however severe (suppurative) cholangitis and Gram-negative sepsis frequently cause delirium, and repeated procedures generate anxiety.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may concentrate bile and impair flow; adequate hydration supports bile secretion, but evidence for a direct effect on stone formation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Coffee stimulates cholecystokinin-mediated gallbladder contraction and may modestly protect against cholesterol gallstones, though a South Indian study linked high tea/coffee intake to isolated CBD stones.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and water hygiene prevents enteric and parasitic infection (E. coli, Salmonella typhi, Ascaris, Clonorchis) that drive pigment-stone formation and recurrent pyogenic cholangitis - highly relevant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Stone impaction at the ampulla, ERCP or biliary instrumentation, stricture or stent occlusion, and parasite migration precipitate acute cholangitis on a background of obstruction.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&gt;=25 (overweight); &gt;=30 (obese)</w:t>
            </w:r>
          </w:p>
        </w:tc>
        <w:tc>
          <w:tcPr>
            <w:tcW w:type="dxa" w:w="1468"/>
            <w:vAlign w:val="top"/>
          </w:tcPr>
          <w:p>
            <w:pPr>
              <w:spacing w:after="40" w:before="0" w:line="259" w:lineRule="auto"/>
            </w:pPr>
            <w:r>
              <w:rPr>
                <w:rFonts w:ascii="Calibri" w:hAnsi="Calibri"/>
                <w:b w:val="0"/>
                <w:i w:val="0"/>
                <w:color w:val="212121"/>
                <w:sz w:val="19"/>
              </w:rPr>
              <w:t>Higher BMI raises cholesterol supersaturation and gallstone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Physical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&gt;=150 min/week moderate</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40" w:before="0" w:line="259" w:lineRule="auto"/>
            </w:pPr>
            <w:r>
              <w:rPr>
                <w:rFonts w:ascii="Calibri" w:hAnsi="Calibri"/>
                <w:b w:val="0"/>
                <w:i w:val="0"/>
                <w:color w:val="212121"/>
                <w:sz w:val="19"/>
              </w:rPr>
              <w:t>Inactivity slows gallbladder emptying and promotes stasis.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&lt;20 g/day</w:t>
            </w:r>
          </w:p>
        </w:tc>
        <w:tc>
          <w:tcPr>
            <w:tcW w:type="dxa" w:w="1468"/>
            <w:vAlign w:val="top"/>
          </w:tcPr>
          <w:p>
            <w:pPr>
              <w:spacing w:after="60" w:line="259" w:lineRule="auto"/>
            </w:pPr>
            <w:r>
              <w:rPr>
                <w:rFonts w:ascii="Calibri" w:hAnsi="Calibri"/>
                <w:b w:val="0"/>
                <w:i w:val="0"/>
                <w:color w:val="212121"/>
                <w:sz w:val="19"/>
              </w:rPr>
              <w:t>Low green-vegetable/fibre intake is associated with CBD stones.</w:t>
            </w:r>
          </w:p>
          <w:p>
            <w:pPr>
              <w:spacing w:after="40" w:line="252" w:lineRule="auto"/>
            </w:pPr>
            <w:hyperlink r:id="rId13">
              <w:r>
                <w:rPr>
                  <w:rFonts w:ascii="Calibri" w:hAnsi="Calibri" w:cs="Calibri"/>
                  <w:sz w:val="18"/>
                  <w:color w:val="1155CC"/>
                  <w:u w:val="single"/>
                </w:rPr>
                <w:t xml:space="preserve">https://link.springer.com/article/10.1007/s12664-013-0354-x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Fried / high-oil food frequency</w:t>
            </w:r>
          </w:p>
        </w:tc>
        <w:tc>
          <w:tcPr>
            <w:tcW w:type="dxa" w:w="1655"/>
            <w:vAlign w:val="top"/>
          </w:tcPr>
          <w:p>
            <w:pPr>
              <w:spacing w:after="40" w:before="0" w:line="259" w:lineRule="auto"/>
            </w:pPr>
            <w:r>
              <w:rPr>
                <w:rFonts w:ascii="Calibri" w:hAnsi="Calibri"/>
                <w:b w:val="0"/>
                <w:i w:val="0"/>
                <w:color w:val="212121"/>
                <w:sz w:val="19"/>
              </w:rPr>
              <w:t>North Indian diet consumers</w:t>
            </w:r>
          </w:p>
        </w:tc>
        <w:tc>
          <w:tcPr>
            <w:tcW w:type="dxa" w:w="1512"/>
            <w:vAlign w:val="top"/>
          </w:tcPr>
          <w:p>
            <w:pPr>
              <w:spacing w:after="40" w:before="0" w:line="259" w:lineRule="auto"/>
            </w:pPr>
            <w:r>
              <w:rPr>
                <w:rFonts w:ascii="Calibri" w:hAnsi="Calibri"/>
                <w:b w:val="0"/>
                <w:i w:val="0"/>
                <w:color w:val="212121"/>
                <w:sz w:val="19"/>
              </w:rPr>
              <w:t>&lt;=1-2 times/week</w:t>
            </w:r>
          </w:p>
        </w:tc>
        <w:tc>
          <w:tcPr>
            <w:tcW w:type="dxa" w:w="1512"/>
            <w:vAlign w:val="top"/>
          </w:tcPr>
          <w:p>
            <w:pPr>
              <w:spacing w:after="40" w:before="0" w:line="259" w:lineRule="auto"/>
            </w:pPr>
            <w:r>
              <w:rPr>
                <w:rFonts w:ascii="Calibri" w:hAnsi="Calibri"/>
                <w:b w:val="0"/>
                <w:i w:val="0"/>
                <w:color w:val="212121"/>
                <w:sz w:val="19"/>
              </w:rPr>
              <w:t>&gt;3 times/week</w:t>
            </w:r>
          </w:p>
        </w:tc>
        <w:tc>
          <w:tcPr>
            <w:tcW w:type="dxa" w:w="1468"/>
            <w:vAlign w:val="top"/>
          </w:tcPr>
          <w:p>
            <w:pPr>
              <w:spacing w:after="60" w:line="259" w:lineRule="auto"/>
            </w:pPr>
            <w:r>
              <w:rPr>
                <w:rFonts w:ascii="Calibri" w:hAnsi="Calibri"/>
                <w:b w:val="0"/>
                <w:i w:val="0"/>
                <w:color w:val="212121"/>
                <w:sz w:val="19"/>
              </w:rPr>
              <w:t>Frequent fried food (OR 2.7) linked to combined CBD and gallbladder stones.</w:t>
            </w:r>
          </w:p>
          <w:p>
            <w:pPr>
              <w:spacing w:after="40" w:line="252" w:lineRule="auto"/>
            </w:pPr>
            <w:hyperlink r:id="rId13">
              <w:r>
                <w:rPr>
                  <w:rFonts w:ascii="Calibri" w:hAnsi="Calibri" w:cs="Calibri"/>
                  <w:sz w:val="18"/>
                  <w:color w:val="1155CC"/>
                  <w:u w:val="single"/>
                </w:rPr>
                <w:t xml:space="preserve">https://link.springer.com/article/10.1007/s12664-013-0354-x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Rate of weight loss (kg/week)</w:t>
            </w:r>
          </w:p>
        </w:tc>
        <w:tc>
          <w:tcPr>
            <w:tcW w:type="dxa" w:w="1655"/>
            <w:vAlign w:val="top"/>
          </w:tcPr>
          <w:p>
            <w:pPr>
              <w:spacing w:after="40" w:before="0" w:line="259" w:lineRule="auto"/>
            </w:pPr>
            <w:r>
              <w:rPr>
                <w:rFonts w:ascii="Calibri" w:hAnsi="Calibri"/>
                <w:b w:val="0"/>
                <w:i w:val="0"/>
                <w:color w:val="212121"/>
                <w:sz w:val="19"/>
              </w:rPr>
              <w:t>Dieters, post-bariatric</w:t>
            </w:r>
          </w:p>
        </w:tc>
        <w:tc>
          <w:tcPr>
            <w:tcW w:type="dxa" w:w="1512"/>
            <w:vAlign w:val="top"/>
          </w:tcPr>
          <w:p>
            <w:pPr>
              <w:spacing w:after="40" w:before="0" w:line="259" w:lineRule="auto"/>
            </w:pPr>
            <w:r>
              <w:rPr>
                <w:rFonts w:ascii="Calibri" w:hAnsi="Calibri"/>
                <w:b w:val="0"/>
                <w:i w:val="0"/>
                <w:color w:val="212121"/>
                <w:sz w:val="19"/>
              </w:rPr>
              <w:t>0.5-1 kg/week</w:t>
            </w:r>
          </w:p>
        </w:tc>
        <w:tc>
          <w:tcPr>
            <w:tcW w:type="dxa" w:w="1512"/>
            <w:vAlign w:val="top"/>
          </w:tcPr>
          <w:p>
            <w:pPr>
              <w:spacing w:after="40" w:before="0" w:line="259" w:lineRule="auto"/>
            </w:pPr>
            <w:r>
              <w:rPr>
                <w:rFonts w:ascii="Calibri" w:hAnsi="Calibri"/>
                <w:b w:val="0"/>
                <w:i w:val="0"/>
                <w:color w:val="212121"/>
                <w:sz w:val="19"/>
              </w:rPr>
              <w:t>&gt;1.5 kg/week</w:t>
            </w:r>
          </w:p>
        </w:tc>
        <w:tc>
          <w:tcPr>
            <w:tcW w:type="dxa" w:w="1468"/>
            <w:vAlign w:val="top"/>
          </w:tcPr>
          <w:p>
            <w:pPr>
              <w:spacing w:after="40" w:before="0" w:line="259" w:lineRule="auto"/>
            </w:pPr>
            <w:r>
              <w:rPr>
                <w:rFonts w:ascii="Calibri" w:hAnsi="Calibri"/>
                <w:b w:val="0"/>
                <w:i w:val="0"/>
                <w:color w:val="212121"/>
                <w:sz w:val="19"/>
              </w:rPr>
              <w:t>Rapid weight loss precipitates cholesterol stone formation.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CBD diameter on USG/MRCP (mm)</w:t>
            </w:r>
          </w:p>
        </w:tc>
        <w:tc>
          <w:tcPr>
            <w:tcW w:type="dxa" w:w="1655"/>
            <w:vAlign w:val="top"/>
          </w:tcPr>
          <w:p>
            <w:pPr>
              <w:spacing w:after="40" w:before="0" w:line="259" w:lineRule="auto"/>
            </w:pPr>
            <w:r>
              <w:rPr>
                <w:rFonts w:ascii="Calibri" w:hAnsi="Calibri"/>
                <w:b w:val="0"/>
                <w:i w:val="0"/>
                <w:color w:val="212121"/>
                <w:sz w:val="19"/>
              </w:rPr>
              <w:t>Suspected CBD stone</w:t>
            </w:r>
          </w:p>
        </w:tc>
        <w:tc>
          <w:tcPr>
            <w:tcW w:type="dxa" w:w="1512"/>
            <w:vAlign w:val="top"/>
          </w:tcPr>
          <w:p>
            <w:pPr>
              <w:spacing w:after="40" w:before="0" w:line="259" w:lineRule="auto"/>
            </w:pPr>
            <w:r>
              <w:rPr>
                <w:rFonts w:ascii="Calibri" w:hAnsi="Calibri"/>
                <w:b w:val="0"/>
                <w:i w:val="0"/>
                <w:color w:val="212121"/>
                <w:sz w:val="19"/>
              </w:rPr>
              <w:t>&lt;=6 mm</w:t>
            </w:r>
          </w:p>
        </w:tc>
        <w:tc>
          <w:tcPr>
            <w:tcW w:type="dxa" w:w="1512"/>
            <w:vAlign w:val="top"/>
          </w:tcPr>
          <w:p>
            <w:pPr>
              <w:spacing w:after="40" w:before="0" w:line="259" w:lineRule="auto"/>
            </w:pPr>
            <w:r>
              <w:rPr>
                <w:rFonts w:ascii="Calibri" w:hAnsi="Calibri"/>
                <w:b w:val="0"/>
                <w:i w:val="0"/>
                <w:color w:val="212121"/>
                <w:sz w:val="19"/>
              </w:rPr>
              <w:t>&gt;7-8 mm (dilatation)</w:t>
            </w:r>
          </w:p>
        </w:tc>
        <w:tc>
          <w:tcPr>
            <w:tcW w:type="dxa" w:w="1468"/>
            <w:vAlign w:val="top"/>
          </w:tcPr>
          <w:p>
            <w:pPr>
              <w:spacing w:after="60" w:line="259" w:lineRule="auto"/>
            </w:pPr>
            <w:r>
              <w:rPr>
                <w:rFonts w:ascii="Calibri" w:hAnsi="Calibri"/>
                <w:b w:val="0"/>
                <w:i w:val="0"/>
                <w:color w:val="212121"/>
                <w:sz w:val="19"/>
              </w:rPr>
              <w:t>Ultrasound detects duct dilatation with ~90% accuracy; a dilated duct raises stone probability.</w:t>
            </w:r>
          </w:p>
          <w:p>
            <w:pPr>
              <w:spacing w:after="40" w:line="252" w:lineRule="auto"/>
            </w:pPr>
            <w:hyperlink r:id="rId14">
              <w:r>
                <w:rPr>
                  <w:rFonts w:ascii="Calibri" w:hAnsi="Calibri" w:cs="Calibri"/>
                  <w:sz w:val="18"/>
                  <w:color w:val="1155CC"/>
                  <w:u w:val="single"/>
                </w:rPr>
                <w:t xml:space="preserve">https://www.ncbi.nlm.nih.gov/books/NBK441961/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total bilirubin (mg/dL)</w:t>
            </w:r>
          </w:p>
        </w:tc>
        <w:tc>
          <w:tcPr>
            <w:tcW w:type="dxa" w:w="1655"/>
            <w:vAlign w:val="top"/>
          </w:tcPr>
          <w:p>
            <w:pPr>
              <w:spacing w:after="40" w:before="0" w:line="259" w:lineRule="auto"/>
            </w:pPr>
            <w:r>
              <w:rPr>
                <w:rFonts w:ascii="Calibri" w:hAnsi="Calibri"/>
                <w:b w:val="0"/>
                <w:i w:val="0"/>
                <w:color w:val="212121"/>
                <w:sz w:val="19"/>
              </w:rPr>
              <w:t>Jaundiced patients</w:t>
            </w:r>
          </w:p>
        </w:tc>
        <w:tc>
          <w:tcPr>
            <w:tcW w:type="dxa" w:w="1512"/>
            <w:vAlign w:val="top"/>
          </w:tcPr>
          <w:p>
            <w:pPr>
              <w:spacing w:after="40" w:before="0" w:line="259" w:lineRule="auto"/>
            </w:pPr>
            <w:r>
              <w:rPr>
                <w:rFonts w:ascii="Calibri" w:hAnsi="Calibri"/>
                <w:b w:val="0"/>
                <w:i w:val="0"/>
                <w:color w:val="212121"/>
                <w:sz w:val="19"/>
              </w:rPr>
              <w:t>&lt;1.2 mg/dL</w:t>
            </w:r>
          </w:p>
        </w:tc>
        <w:tc>
          <w:tcPr>
            <w:tcW w:type="dxa" w:w="1512"/>
            <w:vAlign w:val="top"/>
          </w:tcPr>
          <w:p>
            <w:pPr>
              <w:spacing w:after="40" w:before="0" w:line="259" w:lineRule="auto"/>
            </w:pPr>
            <w:r>
              <w:rPr>
                <w:rFonts w:ascii="Calibri" w:hAnsi="Calibri"/>
                <w:b w:val="0"/>
                <w:i w:val="0"/>
                <w:color w:val="212121"/>
                <w:sz w:val="19"/>
              </w:rPr>
              <w:t>&gt;=2 mg/dL (cholestasis); &gt;3-4 strongly predicts CBD stone</w:t>
            </w:r>
          </w:p>
        </w:tc>
        <w:tc>
          <w:tcPr>
            <w:tcW w:type="dxa" w:w="1468"/>
            <w:vAlign w:val="top"/>
          </w:tcPr>
          <w:p>
            <w:pPr>
              <w:spacing w:after="60" w:line="259" w:lineRule="auto"/>
            </w:pPr>
            <w:r>
              <w:rPr>
                <w:rFonts w:ascii="Calibri" w:hAnsi="Calibri"/>
                <w:b w:val="0"/>
                <w:i w:val="0"/>
                <w:color w:val="212121"/>
                <w:sz w:val="19"/>
              </w:rPr>
              <w:t>Conjugated hyperbilirubinaemia signals biliary obstruction (TG18 Part B).</w:t>
            </w:r>
          </w:p>
          <w:p>
            <w:pPr>
              <w:spacing w:after="40" w:line="252" w:lineRule="auto"/>
            </w:pPr>
            <w:hyperlink r:id="rId14">
              <w:r>
                <w:rPr>
                  <w:rFonts w:ascii="Calibri" w:hAnsi="Calibri" w:cs="Calibri"/>
                  <w:sz w:val="18"/>
                  <w:color w:val="1155CC"/>
                  <w:u w:val="single"/>
                </w:rPr>
                <w:t xml:space="preserve">https://www.ncbi.nlm.nih.gov/books/NBK441961/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ALP / GGT (x ULN)</w:t>
            </w:r>
          </w:p>
        </w:tc>
        <w:tc>
          <w:tcPr>
            <w:tcW w:type="dxa" w:w="1655"/>
            <w:vAlign w:val="top"/>
          </w:tcPr>
          <w:p>
            <w:pPr>
              <w:spacing w:after="40" w:before="0" w:line="259" w:lineRule="auto"/>
            </w:pPr>
            <w:r>
              <w:rPr>
                <w:rFonts w:ascii="Calibri" w:hAnsi="Calibri"/>
                <w:b w:val="0"/>
                <w:i w:val="0"/>
                <w:color w:val="212121"/>
                <w:sz w:val="19"/>
              </w:rPr>
              <w:t>Cholestatic patients</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&gt;1.5x upper limit of normal</w:t>
            </w:r>
          </w:p>
        </w:tc>
        <w:tc>
          <w:tcPr>
            <w:tcW w:type="dxa" w:w="1468"/>
            <w:vAlign w:val="top"/>
          </w:tcPr>
          <w:p>
            <w:pPr>
              <w:spacing w:after="60" w:line="259" w:lineRule="auto"/>
            </w:pPr>
            <w:r>
              <w:rPr>
                <w:rFonts w:ascii="Calibri" w:hAnsi="Calibri"/>
                <w:b w:val="0"/>
                <w:i w:val="0"/>
                <w:color w:val="212121"/>
                <w:sz w:val="19"/>
              </w:rPr>
              <w:t>Cholestatic enzyme rise is a TG18 cholestasis criterion.</w:t>
            </w:r>
          </w:p>
          <w:p>
            <w:pPr>
              <w:spacing w:after="40" w:line="252" w:lineRule="auto"/>
            </w:pPr>
            <w:hyperlink r:id="rId10">
              <w:r>
                <w:rPr>
                  <w:rFonts w:ascii="Calibri" w:hAnsi="Calibri" w:cs="Calibri"/>
                  <w:sz w:val="18"/>
                  <w:color w:val="1155CC"/>
                  <w:u w:val="single"/>
                </w:rPr>
                <w:t xml:space="preserve">https://www.mdcalc.com/calc/10142/tokyo-guidelines-acute-cholangitis-2018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 (degrees C)</w:t>
            </w:r>
          </w:p>
        </w:tc>
        <w:tc>
          <w:tcPr>
            <w:tcW w:type="dxa" w:w="1655"/>
            <w:vAlign w:val="top"/>
          </w:tcPr>
          <w:p>
            <w:pPr>
              <w:spacing w:after="40" w:before="0" w:line="259" w:lineRule="auto"/>
            </w:pPr>
            <w:r>
              <w:rPr>
                <w:rFonts w:ascii="Calibri" w:hAnsi="Calibri"/>
                <w:b w:val="0"/>
                <w:i w:val="0"/>
                <w:color w:val="212121"/>
                <w:sz w:val="19"/>
              </w:rPr>
              <w:t>Suspected cholangitis</w:t>
            </w:r>
          </w:p>
        </w:tc>
        <w:tc>
          <w:tcPr>
            <w:tcW w:type="dxa" w:w="1512"/>
            <w:vAlign w:val="top"/>
          </w:tcPr>
          <w:p>
            <w:pPr>
              <w:spacing w:after="40" w:before="0" w:line="259" w:lineRule="auto"/>
            </w:pPr>
            <w:r>
              <w:rPr>
                <w:rFonts w:ascii="Calibri" w:hAnsi="Calibri"/>
                <w:b w:val="0"/>
                <w:i w:val="0"/>
                <w:color w:val="212121"/>
                <w:sz w:val="19"/>
              </w:rPr>
              <w:t>&lt;37.5 degrees C</w:t>
            </w:r>
          </w:p>
        </w:tc>
        <w:tc>
          <w:tcPr>
            <w:tcW w:type="dxa" w:w="1512"/>
            <w:vAlign w:val="top"/>
          </w:tcPr>
          <w:p>
            <w:pPr>
              <w:spacing w:after="40" w:before="0" w:line="259" w:lineRule="auto"/>
            </w:pPr>
            <w:r>
              <w:rPr>
                <w:rFonts w:ascii="Calibri" w:hAnsi="Calibri"/>
                <w:b w:val="0"/>
                <w:i w:val="0"/>
                <w:color w:val="212121"/>
                <w:sz w:val="19"/>
              </w:rPr>
              <w:t>&gt;38 degrees C (&gt;=39 = moderate)</w:t>
            </w:r>
          </w:p>
        </w:tc>
        <w:tc>
          <w:tcPr>
            <w:tcW w:type="dxa" w:w="1468"/>
            <w:vAlign w:val="top"/>
          </w:tcPr>
          <w:p>
            <w:pPr>
              <w:spacing w:after="60" w:line="259" w:lineRule="auto"/>
            </w:pPr>
            <w:r>
              <w:rPr>
                <w:rFonts w:ascii="Calibri" w:hAnsi="Calibri"/>
                <w:b w:val="0"/>
                <w:i w:val="0"/>
                <w:color w:val="212121"/>
                <w:sz w:val="19"/>
              </w:rPr>
              <w:t>Fever/chills define systemic inflammation (TG18 Part A).</w:t>
            </w:r>
          </w:p>
          <w:p>
            <w:pPr>
              <w:spacing w:after="40" w:line="252" w:lineRule="auto"/>
            </w:pPr>
            <w:hyperlink r:id="rId10">
              <w:r>
                <w:rPr>
                  <w:rFonts w:ascii="Calibri" w:hAnsi="Calibri" w:cs="Calibri"/>
                  <w:sz w:val="18"/>
                  <w:color w:val="1155CC"/>
                  <w:u w:val="single"/>
                </w:rPr>
                <w:t xml:space="preserve">https://www.mdcalc.com/calc/10142/tokyo-guidelines-acute-cholangitis-2018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White blood cell count (/mm3)</w:t>
            </w:r>
          </w:p>
        </w:tc>
        <w:tc>
          <w:tcPr>
            <w:tcW w:type="dxa" w:w="1655"/>
            <w:vAlign w:val="top"/>
          </w:tcPr>
          <w:p>
            <w:pPr>
              <w:spacing w:after="40" w:before="0" w:line="259" w:lineRule="auto"/>
            </w:pPr>
            <w:r>
              <w:rPr>
                <w:rFonts w:ascii="Calibri" w:hAnsi="Calibri"/>
                <w:b w:val="0"/>
                <w:i w:val="0"/>
                <w:color w:val="212121"/>
                <w:sz w:val="19"/>
              </w:rPr>
              <w:t>Suspected cholangitis</w:t>
            </w:r>
          </w:p>
        </w:tc>
        <w:tc>
          <w:tcPr>
            <w:tcW w:type="dxa" w:w="1512"/>
            <w:vAlign w:val="top"/>
          </w:tcPr>
          <w:p>
            <w:pPr>
              <w:spacing w:after="40" w:before="0" w:line="259" w:lineRule="auto"/>
            </w:pPr>
            <w:r>
              <w:rPr>
                <w:rFonts w:ascii="Calibri" w:hAnsi="Calibri"/>
                <w:b w:val="0"/>
                <w:i w:val="0"/>
                <w:color w:val="212121"/>
                <w:sz w:val="19"/>
              </w:rPr>
              <w:t>4,000-10,000 /mm3</w:t>
            </w:r>
          </w:p>
        </w:tc>
        <w:tc>
          <w:tcPr>
            <w:tcW w:type="dxa" w:w="1512"/>
            <w:vAlign w:val="top"/>
          </w:tcPr>
          <w:p>
            <w:pPr>
              <w:spacing w:after="40" w:before="0" w:line="259" w:lineRule="auto"/>
            </w:pPr>
            <w:r>
              <w:rPr>
                <w:rFonts w:ascii="Calibri" w:hAnsi="Calibri"/>
                <w:b w:val="0"/>
                <w:i w:val="0"/>
                <w:color w:val="212121"/>
                <w:sz w:val="19"/>
              </w:rPr>
              <w:t>&lt;4,000 or &gt;10,000 (&gt;12,000 = moderate)</w:t>
            </w:r>
          </w:p>
        </w:tc>
        <w:tc>
          <w:tcPr>
            <w:tcW w:type="dxa" w:w="1468"/>
            <w:vAlign w:val="top"/>
          </w:tcPr>
          <w:p>
            <w:pPr>
              <w:spacing w:after="60" w:line="259" w:lineRule="auto"/>
            </w:pPr>
            <w:r>
              <w:rPr>
                <w:rFonts w:ascii="Calibri" w:hAnsi="Calibri"/>
                <w:b w:val="0"/>
                <w:i w:val="0"/>
                <w:color w:val="212121"/>
                <w:sz w:val="19"/>
              </w:rPr>
              <w:t>Abnormal WBC with CRP &gt;=1 mg/dL indicates systemic inflammation (TG18).</w:t>
            </w:r>
          </w:p>
          <w:p>
            <w:pPr>
              <w:spacing w:after="40" w:line="252" w:lineRule="auto"/>
            </w:pPr>
            <w:hyperlink r:id="rId10">
              <w:r>
                <w:rPr>
                  <w:rFonts w:ascii="Calibri" w:hAnsi="Calibri" w:cs="Calibri"/>
                  <w:sz w:val="18"/>
                  <w:color w:val="1155CC"/>
                  <w:u w:val="single"/>
                </w:rPr>
                <w:t xml:space="preserve">https://www.mdcalc.com/calc/10142/tokyo-guidelines-acute-cholangitis-2018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total &amp; direct bilirubin</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Total &lt;1.2 mg/dL</w:t>
            </w:r>
          </w:p>
        </w:tc>
        <w:tc>
          <w:tcPr>
            <w:tcW w:type="dxa" w:w="950"/>
            <w:vAlign w:val="top"/>
          </w:tcPr>
          <w:p>
            <w:pPr>
              <w:spacing w:after="40" w:before="0" w:line="259" w:lineRule="auto"/>
            </w:pPr>
            <w:r>
              <w:rPr>
                <w:rFonts w:ascii="Calibri" w:hAnsi="Calibri"/>
                <w:b w:val="0"/>
                <w:i w:val="0"/>
                <w:color w:val="212121"/>
                <w:sz w:val="16"/>
              </w:rPr>
              <w:t>&gt;=2 mg/dL (cholestasis); &gt;3-4 strongly predicts CBD stone</w:t>
            </w:r>
          </w:p>
        </w:tc>
        <w:tc>
          <w:tcPr>
            <w:tcW w:type="dxa" w:w="1036"/>
            <w:vAlign w:val="top"/>
          </w:tcPr>
          <w:p>
            <w:pPr>
              <w:spacing w:after="40" w:before="0" w:line="259" w:lineRule="auto"/>
            </w:pPr>
            <w:r>
              <w:rPr>
                <w:rFonts w:ascii="Calibri" w:hAnsi="Calibri"/>
                <w:b w:val="0"/>
                <w:i w:val="0"/>
                <w:color w:val="212121"/>
                <w:sz w:val="16"/>
              </w:rPr>
              <w:t>Conjugated hyperbilirubinaemia indicates biliary obstruction</w:t>
            </w:r>
          </w:p>
        </w:tc>
        <w:tc>
          <w:tcPr>
            <w:tcW w:type="dxa" w:w="1036"/>
            <w:vAlign w:val="top"/>
          </w:tcPr>
          <w:p>
            <w:pPr>
              <w:spacing w:after="40" w:before="0" w:line="259" w:lineRule="auto"/>
            </w:pPr>
            <w:r>
              <w:rPr>
                <w:rFonts w:ascii="Calibri" w:hAnsi="Calibri"/>
                <w:b w:val="0"/>
                <w:i w:val="0"/>
                <w:color w:val="212121"/>
                <w:sz w:val="16"/>
              </w:rPr>
              <w:t>Jaundiced adults, suspected CBD stone/cholangitis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Diagnostic (TG18 cholestasis)</w:t>
            </w:r>
          </w:p>
        </w:tc>
        <w:tc>
          <w:tcPr>
            <w:tcW w:type="dxa" w:w="720"/>
            <w:vAlign w:val="top"/>
          </w:tcPr>
          <w:p>
            <w:pPr>
              <w:spacing w:after="40" w:before="0" w:line="259" w:lineRule="auto"/>
            </w:pPr>
            <w:r>
              <w:rPr>
                <w:rFonts w:ascii="Calibri" w:hAnsi="Calibri"/>
                <w:b w:val="0"/>
                <w:i w:val="0"/>
                <w:color w:val="212121"/>
                <w:sz w:val="16"/>
              </w:rPr>
              <w:t>Near-normal liver tests make choledocholithiasis unlikely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Alkaline phosphatase (ALP)</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~40-129 U/L</w:t>
            </w:r>
          </w:p>
        </w:tc>
        <w:tc>
          <w:tcPr>
            <w:tcW w:type="dxa" w:w="950"/>
            <w:vAlign w:val="top"/>
          </w:tcPr>
          <w:p>
            <w:pPr>
              <w:spacing w:after="40" w:before="0" w:line="259" w:lineRule="auto"/>
            </w:pPr>
            <w:r>
              <w:rPr>
                <w:rFonts w:ascii="Calibri" w:hAnsi="Calibri"/>
                <w:b w:val="0"/>
                <w:i w:val="0"/>
                <w:color w:val="212121"/>
                <w:sz w:val="16"/>
              </w:rPr>
              <w:t>&gt;1.5x upper limit of normal</w:t>
            </w:r>
          </w:p>
        </w:tc>
        <w:tc>
          <w:tcPr>
            <w:tcW w:type="dxa" w:w="1036"/>
            <w:vAlign w:val="top"/>
          </w:tcPr>
          <w:p>
            <w:pPr>
              <w:spacing w:after="40" w:before="0" w:line="259" w:lineRule="auto"/>
            </w:pPr>
            <w:r>
              <w:rPr>
                <w:rFonts w:ascii="Calibri" w:hAnsi="Calibri"/>
                <w:b w:val="0"/>
                <w:i w:val="0"/>
                <w:color w:val="212121"/>
                <w:sz w:val="16"/>
              </w:rPr>
              <w:t>Cholestatic marker of ductal obstruction</w:t>
            </w:r>
          </w:p>
        </w:tc>
        <w:tc>
          <w:tcPr>
            <w:tcW w:type="dxa" w:w="1036"/>
            <w:vAlign w:val="top"/>
          </w:tcPr>
          <w:p>
            <w:pPr>
              <w:spacing w:after="40" w:before="0" w:line="259" w:lineRule="auto"/>
            </w:pPr>
            <w:r>
              <w:rPr>
                <w:rFonts w:ascii="Calibri" w:hAnsi="Calibri"/>
                <w:b w:val="0"/>
                <w:i w:val="0"/>
                <w:color w:val="212121"/>
                <w:sz w:val="16"/>
              </w:rPr>
              <w:t>Cholestatic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(TG18)</w:t>
            </w:r>
          </w:p>
        </w:tc>
        <w:tc>
          <w:tcPr>
            <w:tcW w:type="dxa" w:w="720"/>
            <w:vAlign w:val="top"/>
          </w:tcPr>
          <w:p>
            <w:pPr>
              <w:spacing w:after="40" w:before="0" w:line="259" w:lineRule="auto"/>
            </w:pPr>
            <w:r>
              <w:rPr>
                <w:rFonts w:ascii="Calibri" w:hAnsi="Calibri"/>
                <w:b w:val="0"/>
                <w:i w:val="0"/>
                <w:color w:val="212121"/>
                <w:sz w:val="16"/>
              </w:rPr>
              <w:t>Rises early in duct obstruction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&gt;1.5x upper limit of normal</w:t>
            </w:r>
          </w:p>
        </w:tc>
        <w:tc>
          <w:tcPr>
            <w:tcW w:type="dxa" w:w="1036"/>
            <w:vAlign w:val="top"/>
          </w:tcPr>
          <w:p>
            <w:pPr>
              <w:spacing w:after="40" w:before="0" w:line="259" w:lineRule="auto"/>
            </w:pPr>
            <w:r>
              <w:rPr>
                <w:rFonts w:ascii="Calibri" w:hAnsi="Calibri"/>
                <w:b w:val="0"/>
                <w:i w:val="0"/>
                <w:color w:val="212121"/>
                <w:sz w:val="16"/>
              </w:rPr>
              <w:t>Confirms hepatobiliary origin of a raised ALP</w:t>
            </w:r>
          </w:p>
        </w:tc>
        <w:tc>
          <w:tcPr>
            <w:tcW w:type="dxa" w:w="1036"/>
            <w:vAlign w:val="top"/>
          </w:tcPr>
          <w:p>
            <w:pPr>
              <w:spacing w:after="40" w:before="0" w:line="259" w:lineRule="auto"/>
            </w:pPr>
            <w:r>
              <w:rPr>
                <w:rFonts w:ascii="Calibri" w:hAnsi="Calibri"/>
                <w:b w:val="0"/>
                <w:i w:val="0"/>
                <w:color w:val="212121"/>
                <w:sz w:val="16"/>
              </w:rPr>
              <w:t>Cholestatic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Also raised by alcohol/enzyme inducers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AST &amp; ALT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&gt;1.5x upper limit of normal</w:t>
            </w:r>
          </w:p>
        </w:tc>
        <w:tc>
          <w:tcPr>
            <w:tcW w:type="dxa" w:w="1036"/>
            <w:vAlign w:val="top"/>
          </w:tcPr>
          <w:p>
            <w:pPr>
              <w:spacing w:after="40" w:before="0" w:line="259" w:lineRule="auto"/>
            </w:pPr>
            <w:r>
              <w:rPr>
                <w:rFonts w:ascii="Calibri" w:hAnsi="Calibri"/>
                <w:b w:val="0"/>
                <w:i w:val="0"/>
                <w:color w:val="212121"/>
                <w:sz w:val="16"/>
              </w:rPr>
              <w:t>May spike transiently with acute stone impaction, mimicking hepatitis</w:t>
            </w:r>
          </w:p>
        </w:tc>
        <w:tc>
          <w:tcPr>
            <w:tcW w:type="dxa" w:w="1036"/>
            <w:vAlign w:val="top"/>
          </w:tcPr>
          <w:p>
            <w:pPr>
              <w:spacing w:after="40" w:before="0" w:line="259" w:lineRule="auto"/>
            </w:pPr>
            <w:r>
              <w:rPr>
                <w:rFonts w:ascii="Calibri" w:hAnsi="Calibri"/>
                <w:b w:val="0"/>
                <w:i w:val="0"/>
                <w:color w:val="212121"/>
                <w:sz w:val="16"/>
              </w:rPr>
              <w:t>Acute biliary obstruction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Transaminase surge often falls as the stone passes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count (CBC)</w:t>
            </w:r>
          </w:p>
        </w:tc>
        <w:tc>
          <w:tcPr>
            <w:tcW w:type="dxa" w:w="892"/>
            <w:vAlign w:val="top"/>
          </w:tcPr>
          <w:p>
            <w:pPr>
              <w:spacing w:after="40" w:before="0" w:line="259" w:lineRule="auto"/>
            </w:pPr>
            <w:r>
              <w:rPr>
                <w:rFonts w:ascii="Calibri" w:hAnsi="Calibri"/>
                <w:b w:val="0"/>
                <w:i w:val="0"/>
                <w:color w:val="212121"/>
                <w:sz w:val="16"/>
              </w:rPr>
              <w:t>Systemic inflammation</w:t>
            </w:r>
          </w:p>
        </w:tc>
        <w:tc>
          <w:tcPr>
            <w:tcW w:type="dxa" w:w="950"/>
            <w:vAlign w:val="top"/>
          </w:tcPr>
          <w:p>
            <w:pPr>
              <w:spacing w:after="40" w:before="0" w:line="259" w:lineRule="auto"/>
            </w:pPr>
            <w:r>
              <w:rPr>
                <w:rFonts w:ascii="Calibri" w:hAnsi="Calibri"/>
                <w:b w:val="0"/>
                <w:i w:val="0"/>
                <w:color w:val="212121"/>
                <w:sz w:val="16"/>
              </w:rPr>
              <w:t>4,000-11,000 /mm3</w:t>
            </w:r>
          </w:p>
        </w:tc>
        <w:tc>
          <w:tcPr>
            <w:tcW w:type="dxa" w:w="950"/>
            <w:vAlign w:val="top"/>
          </w:tcPr>
          <w:p>
            <w:pPr>
              <w:spacing w:after="40" w:before="0" w:line="259" w:lineRule="auto"/>
            </w:pPr>
            <w:r>
              <w:rPr>
                <w:rFonts w:ascii="Calibri" w:hAnsi="Calibri"/>
                <w:b w:val="0"/>
                <w:i w:val="0"/>
                <w:color w:val="212121"/>
                <w:sz w:val="16"/>
              </w:rPr>
              <w:t>&lt;4,000 or &gt;10,000 (&gt;12,000 = moderate)</w:t>
            </w:r>
          </w:p>
        </w:tc>
        <w:tc>
          <w:tcPr>
            <w:tcW w:type="dxa" w:w="1036"/>
            <w:vAlign w:val="top"/>
          </w:tcPr>
          <w:p>
            <w:pPr>
              <w:spacing w:after="40" w:before="0" w:line="259" w:lineRule="auto"/>
            </w:pPr>
            <w:r>
              <w:rPr>
                <w:rFonts w:ascii="Calibri" w:hAnsi="Calibri"/>
                <w:b w:val="0"/>
                <w:i w:val="0"/>
                <w:color w:val="212121"/>
                <w:sz w:val="16"/>
              </w:rPr>
              <w:t>Leukocytosis/leukopenia reflects biliary sepsis</w:t>
            </w:r>
          </w:p>
        </w:tc>
        <w:tc>
          <w:tcPr>
            <w:tcW w:type="dxa" w:w="1036"/>
            <w:vAlign w:val="top"/>
          </w:tcPr>
          <w:p>
            <w:pPr>
              <w:spacing w:after="40" w:before="0" w:line="259" w:lineRule="auto"/>
            </w:pPr>
            <w:r>
              <w:rPr>
                <w:rFonts w:ascii="Calibri" w:hAnsi="Calibri"/>
                <w:b w:val="0"/>
                <w:i w:val="0"/>
                <w:color w:val="212121"/>
                <w:sz w:val="16"/>
              </w:rPr>
              <w:t>Suspected cholangitis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(TG18 Part A)</w:t>
            </w:r>
          </w:p>
        </w:tc>
        <w:tc>
          <w:tcPr>
            <w:tcW w:type="dxa" w:w="720"/>
            <w:vAlign w:val="top"/>
          </w:tcPr>
          <w:p>
            <w:pPr>
              <w:spacing w:after="40" w:before="0" w:line="259" w:lineRule="auto"/>
            </w:pPr>
            <w:r>
              <w:rPr>
                <w:rFonts w:ascii="Calibri" w:hAnsi="Calibri"/>
                <w:b w:val="0"/>
                <w:i w:val="0"/>
                <w:color w:val="212121"/>
                <w:sz w:val="16"/>
              </w:rPr>
              <w:t>Interpret with CRP and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Systemic inflammation</w:t>
            </w:r>
          </w:p>
        </w:tc>
        <w:tc>
          <w:tcPr>
            <w:tcW w:type="dxa" w:w="950"/>
            <w:vAlign w:val="top"/>
          </w:tcPr>
          <w:p>
            <w:pPr>
              <w:spacing w:after="40" w:before="0" w:line="259" w:lineRule="auto"/>
            </w:pPr>
            <w:r>
              <w:rPr>
                <w:rFonts w:ascii="Calibri" w:hAnsi="Calibri"/>
                <w:b w:val="0"/>
                <w:i w:val="0"/>
                <w:color w:val="212121"/>
                <w:sz w:val="16"/>
              </w:rPr>
              <w:t>&lt;1 mg/dL</w:t>
            </w:r>
          </w:p>
        </w:tc>
        <w:tc>
          <w:tcPr>
            <w:tcW w:type="dxa" w:w="950"/>
            <w:vAlign w:val="top"/>
          </w:tcPr>
          <w:p>
            <w:pPr>
              <w:spacing w:after="40" w:before="0" w:line="259" w:lineRule="auto"/>
            </w:pPr>
            <w:r>
              <w:rPr>
                <w:rFonts w:ascii="Calibri" w:hAnsi="Calibri"/>
                <w:b w:val="0"/>
                <w:i w:val="0"/>
                <w:color w:val="212121"/>
                <w:sz w:val="16"/>
              </w:rPr>
              <w:t>&gt;=1 mg/dL</w:t>
            </w:r>
          </w:p>
        </w:tc>
        <w:tc>
          <w:tcPr>
            <w:tcW w:type="dxa" w:w="1036"/>
            <w:vAlign w:val="top"/>
          </w:tcPr>
          <w:p>
            <w:pPr>
              <w:spacing w:after="40" w:before="0" w:line="259" w:lineRule="auto"/>
            </w:pPr>
            <w:r>
              <w:rPr>
                <w:rFonts w:ascii="Calibri" w:hAnsi="Calibri"/>
                <w:b w:val="0"/>
                <w:i w:val="0"/>
                <w:color w:val="212121"/>
                <w:sz w:val="16"/>
              </w:rPr>
              <w:t>Supports systemic inflammatory response</w:t>
            </w:r>
          </w:p>
        </w:tc>
        <w:tc>
          <w:tcPr>
            <w:tcW w:type="dxa" w:w="1036"/>
            <w:vAlign w:val="top"/>
          </w:tcPr>
          <w:p>
            <w:pPr>
              <w:spacing w:after="40" w:before="0" w:line="259" w:lineRule="auto"/>
            </w:pPr>
            <w:r>
              <w:rPr>
                <w:rFonts w:ascii="Calibri" w:hAnsi="Calibri"/>
                <w:b w:val="0"/>
                <w:i w:val="0"/>
                <w:color w:val="212121"/>
                <w:sz w:val="16"/>
              </w:rPr>
              <w:t>Suspected cholangitis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(TG18)</w:t>
            </w:r>
          </w:p>
        </w:tc>
        <w:tc>
          <w:tcPr>
            <w:tcW w:type="dxa" w:w="720"/>
            <w:vAlign w:val="top"/>
          </w:tcPr>
          <w:p>
            <w:pPr>
              <w:spacing w:after="40" w:before="0" w:line="259" w:lineRule="auto"/>
            </w:pPr>
            <w:r>
              <w:rPr>
                <w:rFonts w:ascii="Calibri" w:hAnsi="Calibri"/>
                <w:b w:val="0"/>
                <w:i w:val="0"/>
                <w:color w:val="212121"/>
                <w:sz w:val="16"/>
              </w:rPr>
              <w:t>Non-specific; trend guides response to drainage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cultures</w:t>
            </w:r>
          </w:p>
        </w:tc>
        <w:tc>
          <w:tcPr>
            <w:tcW w:type="dxa" w:w="892"/>
            <w:vAlign w:val="top"/>
          </w:tcPr>
          <w:p>
            <w:pPr>
              <w:spacing w:after="40" w:before="0" w:line="259" w:lineRule="auto"/>
            </w:pPr>
            <w:r>
              <w:rPr>
                <w:rFonts w:ascii="Calibri" w:hAnsi="Calibri"/>
                <w:b w:val="0"/>
                <w:i w:val="0"/>
                <w:color w:val="212121"/>
                <w:sz w:val="16"/>
              </w:rPr>
              <w:t>Culture &amp; sensitivity</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Enteric organisms (E. coli, Klebsiella, Enterococcus)</w:t>
            </w:r>
          </w:p>
        </w:tc>
        <w:tc>
          <w:tcPr>
            <w:tcW w:type="dxa" w:w="1036"/>
            <w:vAlign w:val="top"/>
          </w:tcPr>
          <w:p>
            <w:pPr>
              <w:spacing w:after="40" w:before="0" w:line="259" w:lineRule="auto"/>
            </w:pPr>
            <w:r>
              <w:rPr>
                <w:rFonts w:ascii="Calibri" w:hAnsi="Calibri"/>
                <w:b w:val="0"/>
                <w:i w:val="0"/>
                <w:color w:val="212121"/>
                <w:sz w:val="16"/>
              </w:rPr>
              <w:t>Confirms bacteraemia and guides targeted antibiotics</w:t>
            </w:r>
          </w:p>
        </w:tc>
        <w:tc>
          <w:tcPr>
            <w:tcW w:type="dxa" w:w="1036"/>
            <w:vAlign w:val="top"/>
          </w:tcPr>
          <w:p>
            <w:pPr>
              <w:spacing w:after="40" w:before="0" w:line="259" w:lineRule="auto"/>
            </w:pPr>
            <w:r>
              <w:rPr>
                <w:rFonts w:ascii="Calibri" w:hAnsi="Calibri"/>
                <w:b w:val="0"/>
                <w:i w:val="0"/>
                <w:color w:val="212121"/>
                <w:sz w:val="16"/>
              </w:rPr>
              <w:t>Febrile/septic cholangitis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Guides therapy</w:t>
            </w:r>
          </w:p>
        </w:tc>
        <w:tc>
          <w:tcPr>
            <w:tcW w:type="dxa" w:w="720"/>
            <w:vAlign w:val="top"/>
          </w:tcPr>
          <w:p>
            <w:pPr>
              <w:spacing w:after="40" w:before="0" w:line="259" w:lineRule="auto"/>
            </w:pPr>
            <w:r>
              <w:rPr>
                <w:rFonts w:ascii="Calibri" w:hAnsi="Calibri"/>
                <w:b w:val="0"/>
                <w:i w:val="0"/>
                <w:color w:val="212121"/>
                <w:sz w:val="16"/>
              </w:rPr>
              <w:t>E. coli ~27% and Klebsiella ~16% of biliary isolates; often polymicrobial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Transabdominal ultrasound</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CBD &lt;=6 mm, no stone</w:t>
            </w:r>
          </w:p>
        </w:tc>
        <w:tc>
          <w:tcPr>
            <w:tcW w:type="dxa" w:w="950"/>
            <w:vAlign w:val="top"/>
          </w:tcPr>
          <w:p>
            <w:pPr>
              <w:spacing w:after="40" w:before="0" w:line="259" w:lineRule="auto"/>
            </w:pPr>
            <w:r>
              <w:rPr>
                <w:rFonts w:ascii="Calibri" w:hAnsi="Calibri"/>
                <w:b w:val="0"/>
                <w:i w:val="0"/>
                <w:color w:val="212121"/>
                <w:sz w:val="16"/>
              </w:rPr>
              <w:t>Dilated CBD &gt;7 mm +/- visible stone</w:t>
            </w:r>
          </w:p>
        </w:tc>
        <w:tc>
          <w:tcPr>
            <w:tcW w:type="dxa" w:w="1036"/>
            <w:vAlign w:val="top"/>
          </w:tcPr>
          <w:p>
            <w:pPr>
              <w:spacing w:after="40" w:before="0" w:line="259" w:lineRule="auto"/>
            </w:pPr>
            <w:r>
              <w:rPr>
                <w:rFonts w:ascii="Calibri" w:hAnsi="Calibri"/>
                <w:b w:val="0"/>
                <w:i w:val="0"/>
                <w:color w:val="212121"/>
                <w:sz w:val="16"/>
              </w:rPr>
              <w:t>First-line; shows dilatation well but is insensitive for the stone</w:t>
            </w:r>
          </w:p>
        </w:tc>
        <w:tc>
          <w:tcPr>
            <w:tcW w:type="dxa" w:w="1036"/>
            <w:vAlign w:val="top"/>
          </w:tcPr>
          <w:p>
            <w:pPr>
              <w:spacing w:after="40" w:before="0" w:line="259" w:lineRule="auto"/>
            </w:pPr>
            <w:r>
              <w:rPr>
                <w:rFonts w:ascii="Calibri" w:hAnsi="Calibri"/>
                <w:b w:val="0"/>
                <w:i w:val="0"/>
                <w:color w:val="212121"/>
                <w:sz w:val="16"/>
              </w:rPr>
              <w:t>All suspected CBD stone/cholangitis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(first-line)</w:t>
            </w:r>
          </w:p>
        </w:tc>
        <w:tc>
          <w:tcPr>
            <w:tcW w:type="dxa" w:w="720"/>
            <w:vAlign w:val="top"/>
          </w:tcPr>
          <w:p>
            <w:pPr>
              <w:spacing w:after="40" w:before="0" w:line="259" w:lineRule="auto"/>
            </w:pPr>
            <w:r>
              <w:rPr>
                <w:rFonts w:ascii="Calibri" w:hAnsi="Calibri"/>
                <w:b w:val="0"/>
                <w:i w:val="0"/>
                <w:color w:val="212121"/>
                <w:sz w:val="16"/>
              </w:rPr>
              <w:t>Dilatation detected ~90%; stone sensitivity only 15-40%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MRCP</w:t>
            </w:r>
          </w:p>
        </w:tc>
        <w:tc>
          <w:tcPr>
            <w:tcW w:type="dxa" w:w="892"/>
            <w:vAlign w:val="top"/>
          </w:tcPr>
          <w:p>
            <w:pPr>
              <w:spacing w:after="40" w:before="0" w:line="259" w:lineRule="auto"/>
            </w:pPr>
            <w:r>
              <w:rPr>
                <w:rFonts w:ascii="Calibri" w:hAnsi="Calibri"/>
                <w:b w:val="0"/>
                <w:i w:val="0"/>
                <w:color w:val="212121"/>
                <w:sz w:val="16"/>
              </w:rPr>
              <w:t>MR cholangiopancreatography</w:t>
            </w:r>
          </w:p>
        </w:tc>
        <w:tc>
          <w:tcPr>
            <w:tcW w:type="dxa" w:w="950"/>
            <w:vAlign w:val="top"/>
          </w:tcPr>
          <w:p>
            <w:pPr>
              <w:spacing w:after="40" w:before="0" w:line="259" w:lineRule="auto"/>
            </w:pPr>
            <w:r>
              <w:rPr>
                <w:rFonts w:ascii="Calibri" w:hAnsi="Calibri"/>
                <w:b w:val="0"/>
                <w:i w:val="0"/>
                <w:color w:val="212121"/>
                <w:sz w:val="16"/>
              </w:rPr>
              <w:t>No filling defect</w:t>
            </w:r>
          </w:p>
        </w:tc>
        <w:tc>
          <w:tcPr>
            <w:tcW w:type="dxa" w:w="950"/>
            <w:vAlign w:val="top"/>
          </w:tcPr>
          <w:p>
            <w:pPr>
              <w:spacing w:after="40" w:before="0" w:line="259" w:lineRule="auto"/>
            </w:pPr>
            <w:r>
              <w:rPr>
                <w:rFonts w:ascii="Calibri" w:hAnsi="Calibri"/>
                <w:b w:val="0"/>
                <w:i w:val="0"/>
                <w:color w:val="212121"/>
                <w:sz w:val="16"/>
              </w:rPr>
              <w:t>Filling defect / stone in CBD</w:t>
            </w:r>
          </w:p>
        </w:tc>
        <w:tc>
          <w:tcPr>
            <w:tcW w:type="dxa" w:w="1036"/>
            <w:vAlign w:val="top"/>
          </w:tcPr>
          <w:p>
            <w:pPr>
              <w:spacing w:after="40" w:before="0" w:line="259" w:lineRule="auto"/>
            </w:pPr>
            <w:r>
              <w:rPr>
                <w:rFonts w:ascii="Calibri" w:hAnsi="Calibri"/>
                <w:b w:val="0"/>
                <w:i w:val="0"/>
                <w:color w:val="212121"/>
                <w:sz w:val="16"/>
              </w:rPr>
              <w:t>Non-invasive reference standard for CBD stones</w:t>
            </w:r>
          </w:p>
        </w:tc>
        <w:tc>
          <w:tcPr>
            <w:tcW w:type="dxa" w:w="1036"/>
            <w:vAlign w:val="top"/>
          </w:tcPr>
          <w:p>
            <w:pPr>
              <w:spacing w:after="40" w:before="0" w:line="259" w:lineRule="auto"/>
            </w:pPr>
            <w:r>
              <w:rPr>
                <w:rFonts w:ascii="Calibri" w:hAnsi="Calibri"/>
                <w:b w:val="0"/>
                <w:i w:val="0"/>
                <w:color w:val="212121"/>
                <w:sz w:val="16"/>
              </w:rPr>
              <w:t>Intermediate/high-probability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(non-invasive)</w:t>
            </w:r>
          </w:p>
        </w:tc>
        <w:tc>
          <w:tcPr>
            <w:tcW w:type="dxa" w:w="720"/>
            <w:vAlign w:val="top"/>
          </w:tcPr>
          <w:p>
            <w:pPr>
              <w:spacing w:after="40" w:before="0" w:line="259" w:lineRule="auto"/>
            </w:pPr>
            <w:r>
              <w:rPr>
                <w:rFonts w:ascii="Calibri" w:hAnsi="Calibri"/>
                <w:b w:val="0"/>
                <w:i w:val="0"/>
                <w:color w:val="212121"/>
                <w:sz w:val="16"/>
              </w:rPr>
              <w:t>~92% sensitivity, ~100% specificity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ERCP (with EUS where needed)</w:t>
            </w:r>
          </w:p>
        </w:tc>
        <w:tc>
          <w:tcPr>
            <w:tcW w:type="dxa" w:w="892"/>
            <w:vAlign w:val="top"/>
          </w:tcPr>
          <w:p>
            <w:pPr>
              <w:spacing w:after="40" w:before="0" w:line="259" w:lineRule="auto"/>
            </w:pPr>
            <w:r>
              <w:rPr>
                <w:rFonts w:ascii="Calibri" w:hAnsi="Calibri"/>
                <w:b w:val="0"/>
                <w:i w:val="0"/>
                <w:color w:val="212121"/>
                <w:sz w:val="16"/>
              </w:rPr>
              <w:t>Endoscopic cholangiography</w:t>
            </w:r>
          </w:p>
        </w:tc>
        <w:tc>
          <w:tcPr>
            <w:tcW w:type="dxa" w:w="950"/>
            <w:vAlign w:val="top"/>
          </w:tcPr>
          <w:p>
            <w:pPr>
              <w:spacing w:after="40" w:before="0" w:line="259" w:lineRule="auto"/>
            </w:pPr>
            <w:r>
              <w:rPr>
                <w:rFonts w:ascii="Calibri" w:hAnsi="Calibri"/>
                <w:b w:val="0"/>
                <w:i w:val="0"/>
                <w:color w:val="212121"/>
                <w:sz w:val="16"/>
              </w:rPr>
              <w:t>Clear duct</w:t>
            </w:r>
          </w:p>
        </w:tc>
        <w:tc>
          <w:tcPr>
            <w:tcW w:type="dxa" w:w="950"/>
            <w:vAlign w:val="top"/>
          </w:tcPr>
          <w:p>
            <w:pPr>
              <w:spacing w:after="40" w:before="0" w:line="259" w:lineRule="auto"/>
            </w:pPr>
            <w:r>
              <w:rPr>
                <w:rFonts w:ascii="Calibri" w:hAnsi="Calibri"/>
                <w:b w:val="0"/>
                <w:i w:val="0"/>
                <w:color w:val="212121"/>
                <w:sz w:val="16"/>
              </w:rPr>
              <w:t>Stone confirmed and extracted</w:t>
            </w:r>
          </w:p>
        </w:tc>
        <w:tc>
          <w:tcPr>
            <w:tcW w:type="dxa" w:w="1036"/>
            <w:vAlign w:val="top"/>
          </w:tcPr>
          <w:p>
            <w:pPr>
              <w:spacing w:after="40" w:before="0" w:line="259" w:lineRule="auto"/>
            </w:pPr>
            <w:r>
              <w:rPr>
                <w:rFonts w:ascii="Calibri" w:hAnsi="Calibri"/>
                <w:b w:val="0"/>
                <w:i w:val="0"/>
                <w:color w:val="212121"/>
                <w:sz w:val="16"/>
              </w:rPr>
              <w:t>Most sensitive test and simultaneously therapeutic (sphincterotomy + extraction) and drainage</w:t>
            </w:r>
          </w:p>
        </w:tc>
        <w:tc>
          <w:tcPr>
            <w:tcW w:type="dxa" w:w="1036"/>
            <w:vAlign w:val="top"/>
          </w:tcPr>
          <w:p>
            <w:pPr>
              <w:spacing w:after="40" w:before="0" w:line="259" w:lineRule="auto"/>
            </w:pPr>
            <w:r>
              <w:rPr>
                <w:rFonts w:ascii="Calibri" w:hAnsi="Calibri"/>
                <w:b w:val="0"/>
                <w:i w:val="0"/>
                <w:color w:val="212121"/>
                <w:sz w:val="16"/>
              </w:rPr>
              <w:t>High-probability or obstructed/septic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Therapeutic gold standard</w:t>
            </w:r>
          </w:p>
        </w:tc>
        <w:tc>
          <w:tcPr>
            <w:tcW w:type="dxa" w:w="720"/>
            <w:vAlign w:val="top"/>
          </w:tcPr>
          <w:p>
            <w:pPr>
              <w:spacing w:after="40" w:before="0" w:line="259" w:lineRule="auto"/>
            </w:pPr>
            <w:r>
              <w:rPr>
                <w:rFonts w:ascii="Calibri" w:hAnsi="Calibri"/>
                <w:b w:val="0"/>
                <w:i w:val="0"/>
                <w:color w:val="212121"/>
                <w:sz w:val="16"/>
              </w:rPr>
              <w:t>EUS 85-100% for small stones; post-ERCP pancreatitis ~3-10%</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RUQ/epigastric pain, fever with rigors, jaundice (Charcot's triad)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features of obstructing CBD stone and cholangitis</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The full triad is not always present early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Biliary history</w:t>
            </w:r>
          </w:p>
        </w:tc>
        <w:tc>
          <w:tcPr>
            <w:tcW w:type="dxa" w:w="979"/>
            <w:vAlign w:val="top"/>
          </w:tcPr>
          <w:p>
            <w:pPr>
              <w:spacing w:after="40" w:before="0" w:line="259" w:lineRule="auto"/>
            </w:pPr>
            <w:r>
              <w:rPr>
                <w:rFonts w:ascii="Calibri" w:hAnsi="Calibri"/>
                <w:b w:val="0"/>
                <w:i w:val="0"/>
                <w:color w:val="212121"/>
                <w:sz w:val="16"/>
              </w:rPr>
              <w:t>Prior gallstones, biliary colic, cholecystectomy, ERCP/stent</w:t>
            </w:r>
          </w:p>
        </w:tc>
        <w:tc>
          <w:tcPr>
            <w:tcW w:type="dxa" w:w="950"/>
            <w:vAlign w:val="top"/>
          </w:tcPr>
          <w:p>
            <w:pPr>
              <w:spacing w:after="40" w:before="0" w:line="259" w:lineRule="auto"/>
            </w:pPr>
            <w:r>
              <w:rPr>
                <w:rFonts w:ascii="Calibri" w:hAnsi="Calibri"/>
                <w:b w:val="0"/>
                <w:i w:val="0"/>
                <w:color w:val="212121"/>
                <w:sz w:val="16"/>
              </w:rPr>
              <w:t>No biliary history</w:t>
            </w:r>
          </w:p>
        </w:tc>
        <w:tc>
          <w:tcPr>
            <w:tcW w:type="dxa" w:w="950"/>
            <w:vAlign w:val="top"/>
          </w:tcPr>
          <w:p>
            <w:pPr>
              <w:spacing w:after="40" w:before="0" w:line="259" w:lineRule="auto"/>
            </w:pPr>
            <w:r>
              <w:rPr>
                <w:rFonts w:ascii="Calibri" w:hAnsi="Calibri"/>
                <w:b w:val="0"/>
                <w:i w:val="0"/>
                <w:color w:val="212121"/>
                <w:sz w:val="16"/>
              </w:rPr>
              <w:t>Known gallstones or prior biliary intervention</w:t>
            </w:r>
          </w:p>
        </w:tc>
        <w:tc>
          <w:tcPr>
            <w:tcW w:type="dxa" w:w="1036"/>
            <w:vAlign w:val="top"/>
          </w:tcPr>
          <w:p>
            <w:pPr>
              <w:spacing w:after="40" w:before="0" w:line="259" w:lineRule="auto"/>
            </w:pPr>
            <w:r>
              <w:rPr>
                <w:rFonts w:ascii="Calibri" w:hAnsi="Calibri"/>
                <w:b w:val="0"/>
                <w:i w:val="0"/>
                <w:color w:val="212121"/>
                <w:sz w:val="16"/>
              </w:rPr>
              <w:t>Identifies the source and predisposition to duct stones</w:t>
            </w:r>
          </w:p>
        </w:tc>
        <w:tc>
          <w:tcPr>
            <w:tcW w:type="dxa" w:w="1036"/>
            <w:vAlign w:val="top"/>
          </w:tcPr>
          <w:p>
            <w:pPr>
              <w:spacing w:after="40" w:before="0" w:line="259" w:lineRule="auto"/>
            </w:pPr>
            <w:r>
              <w:rPr>
                <w:rFonts w:ascii="Calibri" w:hAnsi="Calibri"/>
                <w:b w:val="0"/>
                <w:i w:val="0"/>
                <w:color w:val="212121"/>
                <w:sz w:val="16"/>
              </w:rPr>
              <w:t>Patients with cholelithiasis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Retained/recurrent stones common after intervention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dietary history</w:t>
            </w:r>
          </w:p>
        </w:tc>
        <w:tc>
          <w:tcPr>
            <w:tcW w:type="dxa" w:w="979"/>
            <w:vAlign w:val="top"/>
          </w:tcPr>
          <w:p>
            <w:pPr>
              <w:spacing w:after="40" w:before="0" w:line="259" w:lineRule="auto"/>
            </w:pPr>
            <w:r>
              <w:rPr>
                <w:rFonts w:ascii="Calibri" w:hAnsi="Calibri"/>
                <w:b w:val="0"/>
                <w:i w:val="0"/>
                <w:color w:val="212121"/>
                <w:sz w:val="16"/>
              </w:rPr>
              <w:t>North Indian fried/spicy diet, multiparity, rapid weight loss, region, typhoid</w:t>
            </w:r>
          </w:p>
        </w:tc>
        <w:tc>
          <w:tcPr>
            <w:tcW w:type="dxa" w:w="950"/>
            <w:vAlign w:val="top"/>
          </w:tcPr>
          <w:p>
            <w:pPr>
              <w:spacing w:after="40" w:before="0" w:line="259" w:lineRule="auto"/>
            </w:pPr>
            <w:r>
              <w:rPr>
                <w:rFonts w:ascii="Calibri" w:hAnsi="Calibri"/>
                <w:b w:val="0"/>
                <w:i w:val="0"/>
                <w:color w:val="212121"/>
                <w:sz w:val="16"/>
              </w:rPr>
              <w:t>Low-risk profile</w:t>
            </w:r>
          </w:p>
        </w:tc>
        <w:tc>
          <w:tcPr>
            <w:tcW w:type="dxa" w:w="950"/>
            <w:vAlign w:val="top"/>
          </w:tcPr>
          <w:p>
            <w:pPr>
              <w:spacing w:after="40" w:before="0" w:line="259" w:lineRule="auto"/>
            </w:pPr>
            <w:r>
              <w:rPr>
                <w:rFonts w:ascii="Calibri" w:hAnsi="Calibri"/>
                <w:b w:val="0"/>
                <w:i w:val="0"/>
                <w:color w:val="212121"/>
                <w:sz w:val="16"/>
              </w:rPr>
              <w:t>High-risk diet/region or S. typhi carriage</w:t>
            </w:r>
          </w:p>
        </w:tc>
        <w:tc>
          <w:tcPr>
            <w:tcW w:type="dxa" w:w="1036"/>
            <w:vAlign w:val="top"/>
          </w:tcPr>
          <w:p>
            <w:pPr>
              <w:spacing w:after="40" w:before="0" w:line="259" w:lineRule="auto"/>
            </w:pPr>
            <w:r>
              <w:rPr>
                <w:rFonts w:ascii="Calibri" w:hAnsi="Calibri"/>
                <w:b w:val="0"/>
                <w:i w:val="0"/>
                <w:color w:val="212121"/>
                <w:sz w:val="16"/>
              </w:rPr>
              <w:t>Sets pre-test probability and guides prevention</w:t>
            </w:r>
          </w:p>
        </w:tc>
        <w:tc>
          <w:tcPr>
            <w:tcW w:type="dxa" w:w="1036"/>
            <w:vAlign w:val="top"/>
          </w:tcPr>
          <w:p>
            <w:pPr>
              <w:spacing w:after="40" w:before="0" w:line="259" w:lineRule="auto"/>
            </w:pPr>
            <w:r>
              <w:rPr>
                <w:rFonts w:ascii="Calibri" w:hAnsi="Calibri"/>
                <w:b w:val="0"/>
                <w:i w:val="0"/>
                <w:color w:val="212121"/>
                <w:sz w:val="16"/>
              </w:rPr>
              <w:t>Gangetic-belt and high-risk patients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about parity, crash diets and enteric fever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Icterus</w:t>
            </w:r>
          </w:p>
        </w:tc>
        <w:tc>
          <w:tcPr>
            <w:tcW w:type="dxa" w:w="979"/>
            <w:vAlign w:val="top"/>
          </w:tcPr>
          <w:p>
            <w:pPr>
              <w:spacing w:after="40" w:before="0" w:line="259" w:lineRule="auto"/>
            </w:pPr>
            <w:r>
              <w:rPr>
                <w:rFonts w:ascii="Calibri" w:hAnsi="Calibri"/>
                <w:b w:val="0"/>
                <w:i w:val="0"/>
                <w:color w:val="212121"/>
                <w:sz w:val="16"/>
              </w:rPr>
              <w:t>Scleral and mucosal jaundice</w:t>
            </w:r>
          </w:p>
        </w:tc>
        <w:tc>
          <w:tcPr>
            <w:tcW w:type="dxa" w:w="950"/>
            <w:vAlign w:val="top"/>
          </w:tcPr>
          <w:p>
            <w:pPr>
              <w:spacing w:after="40" w:before="0" w:line="259" w:lineRule="auto"/>
            </w:pPr>
            <w:r>
              <w:rPr>
                <w:rFonts w:ascii="Calibri" w:hAnsi="Calibri"/>
                <w:b w:val="0"/>
                <w:i w:val="0"/>
                <w:color w:val="212121"/>
                <w:sz w:val="16"/>
              </w:rPr>
              <w:t>No icterus</w:t>
            </w:r>
          </w:p>
        </w:tc>
        <w:tc>
          <w:tcPr>
            <w:tcW w:type="dxa" w:w="950"/>
            <w:vAlign w:val="top"/>
          </w:tcPr>
          <w:p>
            <w:pPr>
              <w:spacing w:after="40" w:before="0" w:line="259" w:lineRule="auto"/>
            </w:pPr>
            <w:r>
              <w:rPr>
                <w:rFonts w:ascii="Calibri" w:hAnsi="Calibri"/>
                <w:b w:val="0"/>
                <w:i w:val="0"/>
                <w:color w:val="212121"/>
                <w:sz w:val="16"/>
              </w:rPr>
              <w:t>Yellow sclerae/skin</w:t>
            </w:r>
          </w:p>
        </w:tc>
        <w:tc>
          <w:tcPr>
            <w:tcW w:type="dxa" w:w="1036"/>
            <w:vAlign w:val="top"/>
          </w:tcPr>
          <w:p>
            <w:pPr>
              <w:spacing w:after="40" w:before="0" w:line="259" w:lineRule="auto"/>
            </w:pPr>
            <w:r>
              <w:rPr>
                <w:rFonts w:ascii="Calibri" w:hAnsi="Calibri"/>
                <w:b w:val="0"/>
                <w:i w:val="0"/>
                <w:color w:val="212121"/>
                <w:sz w:val="16"/>
              </w:rPr>
              <w:t>Visible cholestasis from duct obstruction</w:t>
            </w:r>
          </w:p>
        </w:tc>
        <w:tc>
          <w:tcPr>
            <w:tcW w:type="dxa" w:w="1036"/>
            <w:vAlign w:val="top"/>
          </w:tcPr>
          <w:p>
            <w:pPr>
              <w:spacing w:after="40" w:before="0" w:line="259" w:lineRule="auto"/>
            </w:pPr>
            <w:r>
              <w:rPr>
                <w:rFonts w:ascii="Calibri" w:hAnsi="Calibri"/>
                <w:b w:val="0"/>
                <w:i w:val="0"/>
                <w:color w:val="212121"/>
                <w:sz w:val="16"/>
              </w:rPr>
              <w:t>Obstructed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Detectable when bilirubin &gt;2-3 mg/dL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RUQ tenderness +/- Murphy's sign</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RUQ tenderness/guarding</w:t>
            </w:r>
          </w:p>
        </w:tc>
        <w:tc>
          <w:tcPr>
            <w:tcW w:type="dxa" w:w="1036"/>
            <w:vAlign w:val="top"/>
          </w:tcPr>
          <w:p>
            <w:pPr>
              <w:spacing w:after="40" w:before="0" w:line="259" w:lineRule="auto"/>
            </w:pPr>
            <w:r>
              <w:rPr>
                <w:rFonts w:ascii="Calibri" w:hAnsi="Calibri"/>
                <w:b w:val="0"/>
                <w:i w:val="0"/>
                <w:color w:val="212121"/>
                <w:sz w:val="16"/>
              </w:rPr>
              <w:t>Local peritoneal irritation from biliary inflammation</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for coexisting cholecystitis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Haemodynamic &amp; neurological status</w:t>
            </w:r>
          </w:p>
        </w:tc>
        <w:tc>
          <w:tcPr>
            <w:tcW w:type="dxa" w:w="979"/>
            <w:vAlign w:val="top"/>
          </w:tcPr>
          <w:p>
            <w:pPr>
              <w:spacing w:after="40" w:before="0" w:line="259" w:lineRule="auto"/>
            </w:pPr>
            <w:r>
              <w:rPr>
                <w:rFonts w:ascii="Calibri" w:hAnsi="Calibri"/>
                <w:b w:val="0"/>
                <w:i w:val="0"/>
                <w:color w:val="212121"/>
                <w:sz w:val="16"/>
              </w:rPr>
              <w:t>Hypotension + altered mental status (Reynolds' pentad)</w:t>
            </w:r>
          </w:p>
        </w:tc>
        <w:tc>
          <w:tcPr>
            <w:tcW w:type="dxa" w:w="950"/>
            <w:vAlign w:val="top"/>
          </w:tcPr>
          <w:p>
            <w:pPr>
              <w:spacing w:after="40" w:before="0" w:line="259" w:lineRule="auto"/>
            </w:pPr>
            <w:r>
              <w:rPr>
                <w:rFonts w:ascii="Calibri" w:hAnsi="Calibri"/>
                <w:b w:val="0"/>
                <w:i w:val="0"/>
                <w:color w:val="212121"/>
                <w:sz w:val="16"/>
              </w:rPr>
              <w:t>Stable, alert</w:t>
            </w:r>
          </w:p>
        </w:tc>
        <w:tc>
          <w:tcPr>
            <w:tcW w:type="dxa" w:w="950"/>
            <w:vAlign w:val="top"/>
          </w:tcPr>
          <w:p>
            <w:pPr>
              <w:spacing w:after="40" w:before="0" w:line="259" w:lineRule="auto"/>
            </w:pPr>
            <w:r>
              <w:rPr>
                <w:rFonts w:ascii="Calibri" w:hAnsi="Calibri"/>
                <w:b w:val="0"/>
                <w:i w:val="0"/>
                <w:color w:val="212121"/>
                <w:sz w:val="16"/>
              </w:rPr>
              <w:t>Hypotension and/or confusion</w:t>
            </w:r>
          </w:p>
        </w:tc>
        <w:tc>
          <w:tcPr>
            <w:tcW w:type="dxa" w:w="1036"/>
            <w:vAlign w:val="top"/>
          </w:tcPr>
          <w:p>
            <w:pPr>
              <w:spacing w:after="40" w:before="0" w:line="259" w:lineRule="auto"/>
            </w:pPr>
            <w:r>
              <w:rPr>
                <w:rFonts w:ascii="Calibri" w:hAnsi="Calibri"/>
                <w:b w:val="0"/>
                <w:i w:val="0"/>
                <w:color w:val="212121"/>
                <w:sz w:val="16"/>
              </w:rPr>
              <w:t>Marks severe (suppurative) cholangitis / septic shock - an emergency</w:t>
            </w:r>
          </w:p>
        </w:tc>
        <w:tc>
          <w:tcPr>
            <w:tcW w:type="dxa" w:w="1036"/>
            <w:vAlign w:val="top"/>
          </w:tcPr>
          <w:p>
            <w:pPr>
              <w:spacing w:after="40" w:before="0" w:line="259" w:lineRule="auto"/>
            </w:pPr>
            <w:r>
              <w:rPr>
                <w:rFonts w:ascii="Calibri" w:hAnsi="Calibri"/>
                <w:b w:val="0"/>
                <w:i w:val="0"/>
                <w:color w:val="212121"/>
                <w:sz w:val="16"/>
              </w:rPr>
              <w:t>Severe cholangitis, elderly</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Triage (emergency)</w:t>
            </w:r>
          </w:p>
        </w:tc>
        <w:tc>
          <w:tcPr>
            <w:tcW w:type="dxa" w:w="720"/>
            <w:vAlign w:val="top"/>
          </w:tcPr>
          <w:p>
            <w:pPr>
              <w:spacing w:after="40" w:before="0" w:line="259" w:lineRule="auto"/>
            </w:pPr>
            <w:r>
              <w:rPr>
                <w:rFonts w:ascii="Calibri" w:hAnsi="Calibri"/>
                <w:b w:val="0"/>
                <w:i w:val="0"/>
                <w:color w:val="212121"/>
                <w:sz w:val="16"/>
              </w:rPr>
              <w:t>Mandates urgent drainage and critical care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Courvoisier's sign</w:t>
            </w:r>
          </w:p>
        </w:tc>
        <w:tc>
          <w:tcPr>
            <w:tcW w:type="dxa" w:w="979"/>
            <w:vAlign w:val="top"/>
          </w:tcPr>
          <w:p>
            <w:pPr>
              <w:spacing w:after="40" w:before="0" w:line="259" w:lineRule="auto"/>
            </w:pPr>
            <w:r>
              <w:rPr>
                <w:rFonts w:ascii="Calibri" w:hAnsi="Calibri"/>
                <w:b w:val="0"/>
                <w:i w:val="0"/>
                <w:color w:val="212121"/>
                <w:sz w:val="16"/>
              </w:rPr>
              <w:t>Palpable non-tender gallbladder</w:t>
            </w:r>
          </w:p>
        </w:tc>
        <w:tc>
          <w:tcPr>
            <w:tcW w:type="dxa" w:w="950"/>
            <w:vAlign w:val="top"/>
          </w:tcPr>
          <w:p>
            <w:pPr>
              <w:spacing w:after="40" w:before="0" w:line="259" w:lineRule="auto"/>
            </w:pPr>
            <w:r>
              <w:rPr>
                <w:rFonts w:ascii="Calibri" w:hAnsi="Calibri"/>
                <w:b w:val="0"/>
                <w:i w:val="0"/>
                <w:color w:val="212121"/>
                <w:sz w:val="16"/>
              </w:rPr>
              <w:t>Not palpable</w:t>
            </w:r>
          </w:p>
        </w:tc>
        <w:tc>
          <w:tcPr>
            <w:tcW w:type="dxa" w:w="950"/>
            <w:vAlign w:val="top"/>
          </w:tcPr>
          <w:p>
            <w:pPr>
              <w:spacing w:after="40" w:before="0" w:line="259" w:lineRule="auto"/>
            </w:pPr>
            <w:r>
              <w:rPr>
                <w:rFonts w:ascii="Calibri" w:hAnsi="Calibri"/>
                <w:b w:val="0"/>
                <w:i w:val="0"/>
                <w:color w:val="212121"/>
                <w:sz w:val="16"/>
              </w:rPr>
              <w:t>Palpable, non-tender gallbladder</w:t>
            </w:r>
          </w:p>
        </w:tc>
        <w:tc>
          <w:tcPr>
            <w:tcW w:type="dxa" w:w="1036"/>
            <w:vAlign w:val="top"/>
          </w:tcPr>
          <w:p>
            <w:pPr>
              <w:spacing w:after="40" w:before="0" w:line="259" w:lineRule="auto"/>
            </w:pPr>
            <w:r>
              <w:rPr>
                <w:rFonts w:ascii="Calibri" w:hAnsi="Calibri"/>
                <w:b w:val="0"/>
                <w:i w:val="0"/>
                <w:color w:val="212121"/>
                <w:sz w:val="16"/>
              </w:rPr>
              <w:t>Suggests malignant distal obstruction rather than stones</w:t>
            </w:r>
          </w:p>
        </w:tc>
        <w:tc>
          <w:tcPr>
            <w:tcW w:type="dxa" w:w="1036"/>
            <w:vAlign w:val="top"/>
          </w:tcPr>
          <w:p>
            <w:pPr>
              <w:spacing w:after="40" w:before="0" w:line="259" w:lineRule="auto"/>
            </w:pPr>
            <w:r>
              <w:rPr>
                <w:rFonts w:ascii="Calibri" w:hAnsi="Calibri"/>
                <w:b w:val="0"/>
                <w:i w:val="0"/>
                <w:color w:val="212121"/>
                <w:sz w:val="16"/>
              </w:rPr>
              <w:t>Painless jaundice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Differentiating</w:t>
            </w:r>
          </w:p>
        </w:tc>
        <w:tc>
          <w:tcPr>
            <w:tcW w:type="dxa" w:w="720"/>
            <w:vAlign w:val="top"/>
          </w:tcPr>
          <w:p>
            <w:pPr>
              <w:spacing w:after="40" w:before="0" w:line="259" w:lineRule="auto"/>
            </w:pPr>
            <w:r>
              <w:rPr>
                <w:rFonts w:ascii="Calibri" w:hAnsi="Calibri"/>
                <w:b w:val="0"/>
                <w:i w:val="0"/>
                <w:color w:val="212121"/>
                <w:sz w:val="16"/>
              </w:rPr>
              <w:t>Prompts work-up for periampullary/pancreatic cancer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Right upper quadrant / epigastric pain (biliary colic)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Duct obstruction distends the biliary tree; pain is often colicky and may radiate to the right scapula.</w:t>
            </w:r>
          </w:p>
        </w:tc>
      </w:tr>
      <w:tr>
        <w:trPr>
          <w:cantSplit/>
        </w:trPr>
        <w:tc>
          <w:tcPr>
            <w:tcW w:type="dxa" w:w="2304"/>
            <w:vAlign w:val="top"/>
          </w:tcPr>
          <w:p>
            <w:pPr>
              <w:spacing w:after="40" w:before="0" w:line="259" w:lineRule="auto"/>
            </w:pPr>
            <w:r>
              <w:rPr>
                <w:rFonts w:ascii="Calibri" w:hAnsi="Calibri"/>
                <w:b/>
                <w:i w:val="0"/>
                <w:color w:val="212121"/>
                <w:sz w:val="19"/>
              </w:rPr>
              <w:t>Fever with chills and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Bacterial infection of static bile; part of Charcot's triad in cholangitis.</w:t>
            </w:r>
          </w:p>
        </w:tc>
      </w:tr>
      <w:tr>
        <w:trPr>
          <w:cantSplit/>
        </w:trPr>
        <w:tc>
          <w:tcPr>
            <w:tcW w:type="dxa" w:w="2304"/>
            <w:vAlign w:val="top"/>
          </w:tcPr>
          <w:p>
            <w:pPr>
              <w:spacing w:after="40" w:before="0" w:line="259" w:lineRule="auto"/>
            </w:pPr>
            <w:r>
              <w:rPr>
                <w:rFonts w:ascii="Calibri" w:hAnsi="Calibri"/>
                <w:b/>
                <w:i w:val="0"/>
                <w:color w:val="212121"/>
                <w:sz w:val="19"/>
              </w:rPr>
              <w:t>Jaundice (yellow sclerae/skin)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Conjugated hyperbilirubinaemia from common-bile-duct obstruction.</w:t>
            </w:r>
          </w:p>
        </w:tc>
      </w:tr>
      <w:tr>
        <w:trPr>
          <w:cantSplit/>
        </w:trPr>
        <w:tc>
          <w:tcPr>
            <w:tcW w:type="dxa" w:w="2304"/>
            <w:vAlign w:val="top"/>
          </w:tcPr>
          <w:p>
            <w:pPr>
              <w:spacing w:after="40" w:before="0" w:line="259" w:lineRule="auto"/>
            </w:pPr>
            <w:r>
              <w:rPr>
                <w:rFonts w:ascii="Calibri" w:hAnsi="Calibri"/>
                <w:b/>
                <w:i w:val="0"/>
                <w:color w:val="212121"/>
                <w:sz w:val="19"/>
              </w:rPr>
              <w:t>Dark (tea-coloured)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Renal excretion of water-soluble conjugated bilirubin.</w:t>
            </w:r>
          </w:p>
        </w:tc>
      </w:tr>
      <w:tr>
        <w:trPr>
          <w:cantSplit/>
        </w:trPr>
        <w:tc>
          <w:tcPr>
            <w:tcW w:type="dxa" w:w="2304"/>
            <w:vAlign w:val="top"/>
          </w:tcPr>
          <w:p>
            <w:pPr>
              <w:spacing w:after="40" w:before="0" w:line="259" w:lineRule="auto"/>
            </w:pPr>
            <w:r>
              <w:rPr>
                <w:rFonts w:ascii="Calibri" w:hAnsi="Calibri"/>
                <w:b/>
                <w:i w:val="0"/>
                <w:color w:val="212121"/>
                <w:sz w:val="19"/>
              </w:rPr>
              <w:t>Pale / clay-coloured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bile pigment reaching the gut when the duct is blocked.</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response to biliary obstruction and pain.</w:t>
            </w:r>
          </w:p>
        </w:tc>
      </w:tr>
      <w:tr>
        <w:trPr>
          <w:cantSplit/>
        </w:trPr>
        <w:tc>
          <w:tcPr>
            <w:tcW w:type="dxa" w:w="2304"/>
            <w:vAlign w:val="top"/>
          </w:tcPr>
          <w:p>
            <w:pPr>
              <w:spacing w:after="40" w:before="0" w:line="259" w:lineRule="auto"/>
            </w:pPr>
            <w:r>
              <w:rPr>
                <w:rFonts w:ascii="Calibri" w:hAnsi="Calibri"/>
                <w:b/>
                <w:i w:val="0"/>
                <w:color w:val="212121"/>
                <w:sz w:val="19"/>
              </w:rPr>
              <w:t>Anorexia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effect of cholestasis and infection.</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Retained bile salts deposit in the skin during cholestasis.</w:t>
            </w:r>
          </w:p>
        </w:tc>
      </w:tr>
      <w:tr>
        <w:trPr>
          <w:cantSplit/>
        </w:trPr>
        <w:tc>
          <w:tcPr>
            <w:tcW w:type="dxa" w:w="2304"/>
            <w:vAlign w:val="top"/>
          </w:tcPr>
          <w:p>
            <w:pPr>
              <w:spacing w:after="40" w:before="0" w:line="259" w:lineRule="auto"/>
            </w:pPr>
            <w:r>
              <w:rPr>
                <w:rFonts w:ascii="Calibri" w:hAnsi="Calibri"/>
                <w:b/>
                <w:i w:val="0"/>
                <w:color w:val="212121"/>
                <w:sz w:val="19"/>
              </w:rPr>
              <w:t>Fat intolerance / bloating / dyspepsia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underlying gallstone disease and impaired bile delivery.</w:t>
            </w:r>
          </w:p>
        </w:tc>
      </w:tr>
      <w:tr>
        <w:trPr>
          <w:cantSplit/>
        </w:trPr>
        <w:tc>
          <w:tcPr>
            <w:tcW w:type="dxa" w:w="2304"/>
            <w:vAlign w:val="top"/>
          </w:tcPr>
          <w:p>
            <w:pPr>
              <w:spacing w:after="40" w:before="0" w:line="259" w:lineRule="auto"/>
            </w:pPr>
            <w:r>
              <w:rPr>
                <w:rFonts w:ascii="Calibri" w:hAnsi="Calibri"/>
                <w:b/>
                <w:i w:val="0"/>
                <w:color w:val="212121"/>
                <w:sz w:val="19"/>
              </w:rPr>
              <w:t>Confusion / altered mental status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Part of Reynolds' pentad in severe suppurative cholangitis.</w:t>
            </w:r>
          </w:p>
        </w:tc>
      </w:tr>
      <w:tr>
        <w:trPr>
          <w:cantSplit/>
        </w:trPr>
        <w:tc>
          <w:tcPr>
            <w:tcW w:type="dxa" w:w="2304"/>
            <w:vAlign w:val="top"/>
          </w:tcPr>
          <w:p>
            <w:pPr>
              <w:spacing w:after="40" w:before="0" w:line="259" w:lineRule="auto"/>
            </w:pPr>
            <w:r>
              <w:rPr>
                <w:rFonts w:ascii="Calibri" w:hAnsi="Calibri"/>
                <w:b/>
                <w:i w:val="0"/>
                <w:color w:val="212121"/>
                <w:sz w:val="19"/>
              </w:rPr>
              <w:t>Rigor-associated hypotension or collapse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Gram-negative septic shock from biliary sepsis.</w:t>
            </w:r>
          </w:p>
        </w:tc>
      </w:tr>
      <w:tr>
        <w:trPr>
          <w:cantSplit/>
        </w:trPr>
        <w:tc>
          <w:tcPr>
            <w:tcW w:type="dxa" w:w="2304"/>
            <w:vAlign w:val="top"/>
          </w:tcPr>
          <w:p>
            <w:pPr>
              <w:spacing w:after="40" w:before="0" w:line="259" w:lineRule="auto"/>
            </w:pPr>
            <w:r>
              <w:rPr>
                <w:rFonts w:ascii="Calibri" w:hAnsi="Calibri"/>
                <w:b/>
                <w:i w:val="0"/>
                <w:color w:val="212121"/>
                <w:sz w:val="19"/>
              </w:rPr>
              <w:t>Painless jaundice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occur with a slowly obstructing or primary duct stone; malignancy must be excluded.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Clinically visible once serum bilirubin exceeds ~2-3 mg/dL.</w:t>
            </w:r>
          </w:p>
        </w:tc>
      </w:tr>
      <w:tr>
        <w:trPr>
          <w:cantSplit/>
        </w:trPr>
        <w:tc>
          <w:tcPr>
            <w:tcW w:type="dxa" w:w="3456"/>
            <w:vAlign w:val="top"/>
          </w:tcPr>
          <w:p>
            <w:pPr>
              <w:spacing w:after="40" w:before="0" w:line="259" w:lineRule="auto"/>
            </w:pPr>
            <w:r>
              <w:rPr>
                <w:rFonts w:ascii="Calibri" w:hAnsi="Calibri"/>
                <w:b/>
                <w:i w:val="0"/>
                <w:color w:val="212121"/>
                <w:sz w:val="19"/>
              </w:rPr>
              <w:t>Right upper quadrant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peritoneal irritation from biliary inflammation.</w:t>
            </w:r>
          </w:p>
        </w:tc>
      </w:tr>
      <w:tr>
        <w:trPr>
          <w:cantSplit/>
        </w:trPr>
        <w:tc>
          <w:tcPr>
            <w:tcW w:type="dxa" w:w="3456"/>
            <w:vAlign w:val="top"/>
          </w:tcPr>
          <w:p>
            <w:pPr>
              <w:spacing w:after="40" w:before="0" w:line="259" w:lineRule="auto"/>
            </w:pPr>
            <w:r>
              <w:rPr>
                <w:rFonts w:ascii="Calibri" w:hAnsi="Calibri"/>
                <w:b/>
                <w:i w:val="0"/>
                <w:color w:val="212121"/>
                <w:sz w:val="19"/>
              </w:rPr>
              <w:t>Fever / pyrexia (&gt;38 degrees 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inflammatory response to biliary infection.</w:t>
            </w:r>
          </w:p>
        </w:tc>
      </w:tr>
      <w:tr>
        <w:trPr>
          <w:cantSplit/>
        </w:trPr>
        <w:tc>
          <w:tcPr>
            <w:tcW w:type="dxa" w:w="3456"/>
            <w:vAlign w:val="top"/>
          </w:tcPr>
          <w:p>
            <w:pPr>
              <w:spacing w:after="40" w:before="0" w:line="259" w:lineRule="auto"/>
            </w:pPr>
            <w:r>
              <w:rPr>
                <w:rFonts w:ascii="Calibri" w:hAnsi="Calibri"/>
                <w:b/>
                <w:i w:val="0"/>
                <w:color w:val="212121"/>
                <w:sz w:val="19"/>
              </w:rPr>
              <w:t>Charcot's triad (fever + jaundice + RUQ pain)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clinical marker of acute cholangitis; not universally present.</w:t>
            </w:r>
          </w:p>
        </w:tc>
      </w:tr>
      <w:tr>
        <w:trPr>
          <w:cantSplit/>
        </w:trPr>
        <w:tc>
          <w:tcPr>
            <w:tcW w:type="dxa" w:w="3456"/>
            <w:vAlign w:val="top"/>
          </w:tcPr>
          <w:p>
            <w:pPr>
              <w:spacing w:after="40" w:before="0" w:line="259" w:lineRule="auto"/>
            </w:pPr>
            <w:r>
              <w:rPr>
                <w:rFonts w:ascii="Calibri" w:hAnsi="Calibri"/>
                <w:b/>
                <w:i w:val="0"/>
                <w:color w:val="212121"/>
                <w:sz w:val="19"/>
              </w:rPr>
              <w:t>Tachycardia and 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biliary sepsis progressing to septic shock.</w:t>
            </w:r>
          </w:p>
        </w:tc>
      </w:tr>
      <w:tr>
        <w:trPr>
          <w:cantSplit/>
        </w:trPr>
        <w:tc>
          <w:tcPr>
            <w:tcW w:type="dxa" w:w="3456"/>
            <w:vAlign w:val="top"/>
          </w:tcPr>
          <w:p>
            <w:pPr>
              <w:spacing w:after="40" w:before="0" w:line="259" w:lineRule="auto"/>
            </w:pPr>
            <w:r>
              <w:rPr>
                <w:rFonts w:ascii="Calibri" w:hAnsi="Calibri"/>
                <w:b/>
                <w:i w:val="0"/>
                <w:color w:val="212121"/>
                <w:sz w:val="19"/>
              </w:rPr>
              <w:t>Altered sensorium (Reynolds' pentad)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Charcot's triad plus hypotension and confusion - severe cholangitis, poor prognosis.</w:t>
            </w:r>
          </w:p>
        </w:tc>
      </w:tr>
      <w:tr>
        <w:trPr>
          <w:cantSplit/>
        </w:trPr>
        <w:tc>
          <w:tcPr>
            <w:tcW w:type="dxa" w:w="3456"/>
            <w:vAlign w:val="top"/>
          </w:tcPr>
          <w:p>
            <w:pPr>
              <w:spacing w:after="40" w:before="0" w:line="259" w:lineRule="auto"/>
            </w:pPr>
            <w:r>
              <w:rPr>
                <w:rFonts w:ascii="Calibri" w:hAnsi="Calibri"/>
                <w:b/>
                <w:i w:val="0"/>
                <w:color w:val="212121"/>
                <w:sz w:val="19"/>
              </w:rPr>
              <w:t>Excoriation marks from scratching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chronic cholestatic pruritus.</w:t>
            </w:r>
          </w:p>
        </w:tc>
      </w:tr>
      <w:tr>
        <w:trPr>
          <w:cantSplit/>
        </w:trPr>
        <w:tc>
          <w:tcPr>
            <w:tcW w:type="dxa" w:w="3456"/>
            <w:vAlign w:val="top"/>
          </w:tcPr>
          <w:p>
            <w:pPr>
              <w:spacing w:after="40" w:before="0" w:line="259" w:lineRule="auto"/>
            </w:pPr>
            <w:r>
              <w:rPr>
                <w:rFonts w:ascii="Calibri" w:hAnsi="Calibri"/>
                <w:b/>
                <w:i w:val="0"/>
                <w:color w:val="212121"/>
                <w:sz w:val="19"/>
              </w:rPr>
              <w:t>Tender 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Cholangitic hepatic congestion or evolving liver abscess.</w:t>
            </w:r>
          </w:p>
        </w:tc>
      </w:tr>
      <w:tr>
        <w:trPr>
          <w:cantSplit/>
        </w:trPr>
        <w:tc>
          <w:tcPr>
            <w:tcW w:type="dxa" w:w="3456"/>
            <w:vAlign w:val="top"/>
          </w:tcPr>
          <w:p>
            <w:pPr>
              <w:spacing w:after="40" w:before="0" w:line="259" w:lineRule="auto"/>
            </w:pPr>
            <w:r>
              <w:rPr>
                <w:rFonts w:ascii="Calibri" w:hAnsi="Calibri"/>
                <w:b/>
                <w:i w:val="0"/>
                <w:color w:val="212121"/>
                <w:sz w:val="19"/>
              </w:rPr>
              <w:t>Palpable, non-tender gallbladder (Courvoisier's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malignant distal obstruction rather than calculous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(ascending)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jaundice / biliary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biliary (gallstone)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biliary colic and stone impaction</w:t>
            </w:r>
          </w:p>
        </w:tc>
        <w:tc>
          <w:tcPr>
            <w:tcW w:type="dxa" w:w="2980"/>
            <w:vAlign w:val="top"/>
          </w:tcPr>
          <w:p>
            <w:pPr>
              <w:spacing w:after="40" w:before="0" w:line="259" w:lineRule="auto"/>
            </w:pPr>
            <w:r>
              <w:rPr>
                <w:rFonts w:ascii="Calibri" w:hAnsi="Calibri"/>
                <w:b w:val="0"/>
                <w:i w:val="0"/>
                <w:color w:val="212121"/>
                <w:sz w:val="19"/>
              </w:rPr>
              <w:t>Direct consequences of a stone obstructing the common bile duct.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Biliary sepsis / septic shock (Gram-negative bacteraemia)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(cholangitic) liver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and coagulopathy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Retained or recurrent CBD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Post-ERCP pancreatitis, bleeding or perforation</w:t>
            </w:r>
          </w:p>
        </w:tc>
        <w:tc>
          <w:tcPr>
            <w:tcW w:type="dxa" w:w="2980"/>
            <w:vAlign w:val="top"/>
          </w:tcPr>
          <w:p>
            <w:pPr>
              <w:spacing w:after="40" w:before="0" w:line="259" w:lineRule="auto"/>
            </w:pPr>
            <w:r>
              <w:rPr>
                <w:rFonts w:ascii="Calibri" w:hAnsi="Calibri"/>
                <w:b w:val="0"/>
                <w:i w:val="0"/>
                <w:color w:val="212121"/>
                <w:sz w:val="19"/>
              </w:rPr>
              <w:t>Arise from ascending infection, systemic sepsis and therapeutic intervention.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biliary cirrhosis and portal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Hepatolithiasis / recurrent pyogenic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Cholangiocarcinoma (bile-duct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Gallbladder carcinoma (Gangetic belt)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Multi-organ dysfunction and death</w:t>
            </w:r>
          </w:p>
        </w:tc>
        <w:tc>
          <w:tcPr>
            <w:tcW w:type="dxa" w:w="2980"/>
            <w:vAlign w:val="top"/>
          </w:tcPr>
          <w:p>
            <w:pPr>
              <w:spacing w:after="40" w:before="0" w:line="259" w:lineRule="auto"/>
            </w:pPr>
            <w:r>
              <w:rPr>
                <w:rFonts w:ascii="Calibri" w:hAnsi="Calibri"/>
                <w:b w:val="0"/>
                <w:i w:val="0"/>
                <w:color w:val="212121"/>
                <w:sz w:val="19"/>
              </w:rPr>
              <w:t>Irreversible outcomes of longstanding obstruction, chronic infection and inflammation.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Cholelithiasis (gallbladder stones)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primary source of secondary CBD stones; migration produces choledocholithiasis.</w:t>
            </w:r>
          </w:p>
          <w:p>
            <w:pPr>
              <w:spacing w:after="40" w:before="0" w:line="259" w:lineRule="auto"/>
            </w:pPr>
            <w:r>
              <w:rPr>
                <w:rFonts w:ascii="Calibri" w:hAnsi="Calibri"/>
                <w:b/>
                <w:i w:val="0"/>
                <w:color w:val="212121"/>
                <w:sz w:val="19"/>
              </w:rPr>
              <w:t>CBD stones in ~1-15% of gallstone patients</w:t>
            </w:r>
          </w:p>
        </w:tc>
      </w:tr>
      <w:tr>
        <w:trPr>
          <w:cantSplit/>
        </w:trPr>
        <w:tc>
          <w:tcPr>
            <w:tcW w:type="dxa" w:w="2232"/>
            <w:vAlign w:val="top"/>
          </w:tcPr>
          <w:p>
            <w:pPr>
              <w:spacing w:after="40" w:before="0" w:line="259" w:lineRule="auto"/>
            </w:pPr>
            <w:r>
              <w:rPr>
                <w:rFonts w:ascii="Calibri" w:hAnsi="Calibri"/>
                <w:b/>
                <w:i w:val="0"/>
                <w:color w:val="212121"/>
                <w:sz w:val="19"/>
              </w:rPr>
              <w:t>Acute cholangitis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Infective emergency of an obstructing CBD stone; mortality persists despite drainage.</w:t>
            </w:r>
          </w:p>
          <w:p>
            <w:pPr>
              <w:spacing w:after="40" w:before="0" w:line="259" w:lineRule="auto"/>
            </w:pPr>
            <w:r>
              <w:rPr>
                <w:rFonts w:ascii="Calibri" w:hAnsi="Calibri"/>
                <w:b/>
                <w:i w:val="0"/>
                <w:color w:val="212121"/>
                <w:sz w:val="19"/>
              </w:rPr>
              <w:t>~5-10% mortality</w:t>
            </w:r>
          </w:p>
        </w:tc>
      </w:tr>
      <w:tr>
        <w:trPr>
          <w:cantSplit/>
        </w:trPr>
        <w:tc>
          <w:tcPr>
            <w:tcW w:type="dxa" w:w="2232"/>
            <w:vAlign w:val="top"/>
          </w:tcPr>
          <w:p>
            <w:pPr>
              <w:spacing w:after="40" w:before="0" w:line="259" w:lineRule="auto"/>
            </w:pPr>
            <w:r>
              <w:rPr>
                <w:rFonts w:ascii="Calibri" w:hAnsi="Calibri"/>
                <w:b/>
                <w:i w:val="0"/>
                <w:color w:val="212121"/>
                <w:sz w:val="19"/>
              </w:rPr>
              <w:t>Gallstone (biliary) pancreatitis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 impacted ampullary stone triggers acute pancreatitis.</w:t>
            </w:r>
          </w:p>
          <w:p>
            <w:pPr>
              <w:spacing w:after="40" w:before="0" w:line="259" w:lineRule="auto"/>
            </w:pPr>
            <w:r>
              <w:rPr>
                <w:rFonts w:ascii="Calibri" w:hAnsi="Calibri"/>
                <w:b/>
                <w:i w:val="0"/>
                <w:color w:val="212121"/>
                <w:sz w:val="19"/>
              </w:rPr>
              <w:t>Gallstones cause ~50% of acute pancreatitis</w:t>
            </w:r>
          </w:p>
        </w:tc>
      </w:tr>
      <w:tr>
        <w:trPr>
          <w:cantSplit/>
        </w:trPr>
        <w:tc>
          <w:tcPr>
            <w:tcW w:type="dxa" w:w="2232"/>
            <w:vAlign w:val="top"/>
          </w:tcPr>
          <w:p>
            <w:pPr>
              <w:spacing w:after="40" w:before="0" w:line="259" w:lineRule="auto"/>
            </w:pPr>
            <w:r>
              <w:rPr>
                <w:rFonts w:ascii="Calibri" w:hAnsi="Calibri"/>
                <w:b/>
                <w:i w:val="0"/>
                <w:color w:val="212121"/>
                <w:sz w:val="19"/>
              </w:rPr>
              <w:t>Gallbladder carcinoma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Strongly linked to gallstones and chronic biliary infection in the North Indian Gangetic belt.</w:t>
            </w:r>
          </w:p>
          <w:p>
            <w:pPr>
              <w:spacing w:after="40" w:before="0" w:line="259" w:lineRule="auto"/>
            </w:pPr>
            <w:r>
              <w:rPr>
                <w:rFonts w:ascii="Calibri" w:hAnsi="Calibri"/>
                <w:b/>
                <w:i w:val="0"/>
                <w:color w:val="212121"/>
                <w:sz w:val="19"/>
              </w:rPr>
              <w:t>Gallstones in 70-90% of Indian GBC</w:t>
            </w:r>
          </w:p>
        </w:tc>
      </w:tr>
      <w:tr>
        <w:trPr>
          <w:cantSplit/>
        </w:trPr>
        <w:tc>
          <w:tcPr>
            <w:tcW w:type="dxa" w:w="2232"/>
            <w:vAlign w:val="top"/>
          </w:tcPr>
          <w:p>
            <w:pPr>
              <w:spacing w:after="40" w:before="0" w:line="259" w:lineRule="auto"/>
            </w:pPr>
            <w:r>
              <w:rPr>
                <w:rFonts w:ascii="Calibri" w:hAnsi="Calibri"/>
                <w:b/>
                <w:i w:val="0"/>
                <w:color w:val="212121"/>
                <w:sz w:val="19"/>
              </w:rPr>
              <w:t>Chronic Salmonella typhi carriage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Persistent gallbladder colonisation promotes stones, chronic cholangitis and cancer.</w:t>
            </w:r>
          </w:p>
          <w:p>
            <w:pPr>
              <w:spacing w:after="40" w:before="0" w:line="259" w:lineRule="auto"/>
            </w:pPr>
            <w:r>
              <w:rPr>
                <w:rFonts w:ascii="Calibri" w:hAnsi="Calibri"/>
                <w:b/>
                <w:i w:val="0"/>
                <w:color w:val="212121"/>
                <w:sz w:val="19"/>
              </w:rPr>
              <w:t>~3.5-4.1x GBC risk</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Gallbladder hypomotility and impaired immunity worsen stone formation and infection severity.</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Drives cholesterol supersaturation of bile and cholesterol-stone formation.</w:t>
            </w:r>
          </w:p>
        </w:tc>
      </w:tr>
      <w:tr>
        <w:trPr>
          <w:cantSplit/>
        </w:trPr>
        <w:tc>
          <w:tcPr>
            <w:tcW w:type="dxa" w:w="2232"/>
            <w:vAlign w:val="top"/>
          </w:tcPr>
          <w:p>
            <w:pPr>
              <w:spacing w:after="40" w:before="0" w:line="259" w:lineRule="auto"/>
            </w:pPr>
            <w:r>
              <w:rPr>
                <w:rFonts w:ascii="Calibri" w:hAnsi="Calibri"/>
                <w:b/>
                <w:i w:val="0"/>
                <w:color w:val="212121"/>
                <w:sz w:val="19"/>
              </w:rPr>
              <w:t>Cirrhosis / chronic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Increased black-pigment stone formation and higher procedural risk.</w:t>
            </w:r>
          </w:p>
        </w:tc>
      </w:tr>
      <w:tr>
        <w:trPr>
          <w:cantSplit/>
        </w:trPr>
        <w:tc>
          <w:tcPr>
            <w:tcW w:type="dxa" w:w="2232"/>
            <w:vAlign w:val="top"/>
          </w:tcPr>
          <w:p>
            <w:pPr>
              <w:spacing w:after="40" w:before="0" w:line="259" w:lineRule="auto"/>
            </w:pPr>
            <w:r>
              <w:rPr>
                <w:rFonts w:ascii="Calibri" w:hAnsi="Calibri"/>
                <w:b/>
                <w:i w:val="0"/>
                <w:color w:val="212121"/>
                <w:sz w:val="19"/>
              </w:rPr>
              <w:t>Haemolytic anaemia (thalassaemia / sickle-cell)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haemolysis produces pigment stones, often at a younger age.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signs of biliary obstruction and cholangitis - right upper abdominal pain, fever with chills, yellow eyes/skin, dark urine or pale stools - and seek urgent care, because cholangitis is a medical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gallbladder stones can migrate into the bile duct; do not ignore recurrent biliary colic - discuss timely (elective) cholecystectomy with a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the North Indian / Gangetic diet (fried, high-oil, high-spice) with low green-vegetable intake raises bile-duct-stone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typhoid treatment fully and get evaluated for chronic Salmonella carriage after recurrent enteric fever, given its link to biliary stones and gallbladder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safe food and water hygiene to avoid enteric and parasitic (Ascaris, Clonorchis) biliary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North Indian / Gangetic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known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Typhoid-endemic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over 40</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high-fibre diet rich in green leafy vegetables, whole grains (millets, oats), fruit and pulses, which is protective against bile-duct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fried foods, high cooking-oil dishes and excessive spice, which are associated with combined gallbladder and CBD stones in Indian data.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fasting and crash / very-low-calorie diets; aim for gradual, steady weight loss of 0.5-1 kg/week.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dietary cholesterol and refined-carbohydrate intake moderate to reduce cholesterol-stone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healthy bile flow.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North Indian 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gallstones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activity (brisk walking, cycling) to improve gallbladder motility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gradual weight management and avoid rapid weight cycling.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sedentary time with regular movement breaks.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 episode of choledocholithiasis or cholangitis, follow a low-fat diet until definitive stone clearance (ERCP) and cholecystectomy.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fluids and micronutrients to recover from biliary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a balanced, high-fibre diet after treatment to reduce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fatty meals that can trigger further biliary colic while stones remain.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Post-cholangitis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ERCP/cholecystectomy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Recurrent-stone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harms the liver and worsens outcomes of biliary infection; alcohol is not a valid strategy to prevent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during acute cholangitis and in the presence of chronic liver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which is weakly associated with gallstone disease and impairs wound healing and infection control before and after biliary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meal timing and adequate sleep (7-9 hours); avoid erratic eating and circadian disruption that may affect bile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skip meals for long periods, which promotes gallbladder stasis and stone formation.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Irregular eaters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delirium-aware care during acute cholangitis and sepsis, particularly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patients through the anxiety of repeated ERCP or surgery and the possibility of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severe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repeat biliary procedures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medicine.medscape.com/article/774245-overview" TargetMode="External"/><Relationship Id="rId10" Type="http://schemas.openxmlformats.org/officeDocument/2006/relationships/hyperlink" Target="https://www.mdcalc.com/calc/10142/tokyo-guidelines-acute-cholangitis-2018" TargetMode="External"/><Relationship Id="rId11" Type="http://schemas.openxmlformats.org/officeDocument/2006/relationships/hyperlink" Target="https://cco.amegroups.org/article/view/28518/html" TargetMode="External"/><Relationship Id="rId12" Type="http://schemas.openxmlformats.org/officeDocument/2006/relationships/hyperlink" Target="https://www.wjgnet.com/1007-9327/full/v6/iSuppl3/4.htm" TargetMode="External"/><Relationship Id="rId13" Type="http://schemas.openxmlformats.org/officeDocument/2006/relationships/hyperlink" Target="https://link.springer.com/article/10.1007/s12664-013-0354-x" TargetMode="External"/><Relationship Id="rId14" Type="http://schemas.openxmlformats.org/officeDocument/2006/relationships/hyperlink" Target="https://www.ncbi.nlm.nih.gov/books/NBK441961/" TargetMode="External"/><Relationship Id="rId15" Type="http://schemas.openxmlformats.org/officeDocument/2006/relationships/hyperlink" Target="https://www.ncbi.nlm.nih.gov/books/NBK564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