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Chronic Pancreatitis</w:t>
      </w:r>
    </w:p>
    <w:p>
      <w:pPr>
        <w:spacing w:before="0" w:after="160"/>
      </w:pPr>
      <w:r>
        <w:rPr>
          <w:rFonts w:ascii="Calibri" w:hAnsi="Calibri"/>
          <w:b/>
          <w:i w:val="0"/>
          <w:color w:val="212121"/>
          <w:sz w:val="22"/>
        </w:rPr>
        <w:t xml:space="preserve">AKA </w:t>
      </w:r>
      <w:r>
        <w:rPr>
          <w:rFonts w:ascii="Calibri" w:hAnsi="Calibri"/>
          <w:b w:val="0"/>
          <w:i w:val="0"/>
          <w:color w:val="212121"/>
          <w:sz w:val="22"/>
        </w:rPr>
        <w:t>i.e., CP, Chronic calcific pancreatitis, Fibrocalculous pancreatic disease, (in India) Tropical calcific pancreatitis / Fibrocalculous pancreatic diabetes (FCPD)</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Chronic pancreatitis is a progressive, irreversible fibro-inflammatory disease of the pancreas in which repeated or continuous injury replaces functioning glandular tissue with fibrosis, duct strictures and intraductal calculi. This gradual destruction produces the clinical triad of chronic abdominal pain, exocrine insufficiency (maldigestion, steatorrhoea and malnutrition) and endocrine insufficiency (pancreatogenic 'type 3c' diabetes). Unlike acute pancreatitis it is defined by permanent structural and functional loss rather than a single reversible attack, and it substantially raises the long-term risk of pancreatic cancer. India carries one of the highest burdens in the world, with a distinctive young, often non-alcoholic, calcific phenotype.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 has one of the highest burdens of chronic pancreatitis in the world and the disease characteristically presents a decade or two earlier than in the West. In the landmark prospective nationwide Indian study of over 1,000 subjects, the mean age was around 40 years (the youngest of any studied region), roughly three-quarters of patients were male, pancreatic calcification was present in about 65%, diabetes in about 30% and abdominal pain in about 91%, with smoking reported in roughly 28%. The disease phenotype is shifting: the historically dominant 'tropical calcific pancreatitis' has declined to only about 3.8-5.8% of cases, idiopathic chronic pancreatitis (ICP) is now the single commonest form, and alcohol-related disease is rising in men. A Kerala series of 597 patients found idiopathic CP in 65.3% and alcoholic CP in 29.3%, whereas a north Indian series of 225 patients showed alcoholic and idiopathic disease almost equally distributed (about 42% and 43%). Young, lean, non-alcoholic patients - many carrying SPINK1 gene mutations - remain a distinctive Indian feature.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Chronic pancreatitis has no single gold-standard test; diagnosis integrates a compatible clinical picture with structural imaging and pancreatic function testing, after which the cause is sought and severity graded (e.g. by the Cambridge classification):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compatible clinical syndrome - recurrent or persistent epigastric pain radiating to the back, with steatorrhoea, weight loss and/or new diabetes;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cross-sectional imaging showing structural change - pancreatic calcifications (virtually pathognomonic on CT), a dilated or beaded main pancreatic duct, intraductal stones and glandular atrophy;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magnetic resonance cholangiopancreatography (MRCP), ideally secretin-enhanced, to demonstrate main- and side-branch ductal changes and grade severity by the Cambridge classification;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endoscopic ultrasound (EUS) with Rosemont criteria to detect early/minimal-change disease before calcification or ductal dilatation appear;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exocrine function testing - a low faecal elastase-1 (&lt; 200 microg/g, and &lt; 100 microg/g indicating severe insufficiency) or increased 72-hour faecal fat confirming maldigestion;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endocrine assessment - fasting glucose and HbA1c to detect pancreatogenic (type 3c) diabetes;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note that serum amylase and lipase are often NORMAL in established ('burnt-out') chronic pancreatitis and cannot exclude the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aetiological work-up - alcohol and smoking history, serum calcium and fasting triglycerides, serum IgG4 (for autoimmune pancreatitis) and genetic testing (PRSS1, SPINK1, CFTR, CTRC) in young, familial or idiopathic cases.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Chronic pancreatitis is classified by aetiology, by imaging severity and by a few clinically important special forms; the most widely used aetiological framework is TIGAR-O:</w:t>
      </w:r>
    </w:p>
    <w:p>
      <w:pPr>
        <w:spacing w:before="0" w:after="80"/>
      </w:pPr>
      <w:r>
        <w:rPr>
          <w:rFonts w:ascii="Calibri" w:hAnsi="Calibri"/>
          <w:b w:val="0"/>
          <w:i w:val="0"/>
          <w:color w:val="212121"/>
          <w:sz w:val="21"/>
        </w:rPr>
        <w:t>(1) By aetiology (TIGAR-O) - Toxic-metabolic (alcohol, tobacco, hypercalcaemia, hyperlipidaemia, chronic kidney disease); Idiopathic (early- and late-onset, the commonest group in India); Genetic (PRSS1, SPINK1, CFTR, CTRC mutations); Autoimmune; Recurrent and severe acute pancreatitis; and Obstructive (strictures, tumours, pancreas divisum, ductal stones);</w:t>
      </w:r>
    </w:p>
    <w:p>
      <w:pPr>
        <w:spacing w:before="0" w:after="80"/>
      </w:pPr>
      <w:r>
        <w:rPr>
          <w:rFonts w:ascii="Calibri" w:hAnsi="Calibri"/>
          <w:b w:val="0"/>
          <w:i w:val="0"/>
          <w:color w:val="212121"/>
          <w:sz w:val="21"/>
        </w:rPr>
        <w:t>(2) The M-ANNHEIM system, which grades disease by multiple coexisting risk factors, clinical stage and severity, reflecting that chronic pancreatitis is usually multifactorial;</w:t>
      </w:r>
    </w:p>
    <w:p>
      <w:pPr>
        <w:spacing w:before="0" w:after="80"/>
      </w:pPr>
      <w:r>
        <w:rPr>
          <w:rFonts w:ascii="Calibri" w:hAnsi="Calibri"/>
          <w:b w:val="0"/>
          <w:i w:val="0"/>
          <w:color w:val="212121"/>
          <w:sz w:val="21"/>
        </w:rPr>
        <w:t>(3) By imaging severity (Cambridge classification) - graded from normal through equivocal, mild, moderate to marked, based on main- and side-branch ductal changes and parenchymal features on MRCP/CT/ERCP;</w:t>
      </w:r>
    </w:p>
    <w:p>
      <w:pPr>
        <w:spacing w:before="0" w:after="80"/>
      </w:pPr>
      <w:r>
        <w:rPr>
          <w:rFonts w:ascii="Calibri" w:hAnsi="Calibri"/>
          <w:b w:val="0"/>
          <w:i w:val="0"/>
          <w:color w:val="212121"/>
          <w:sz w:val="21"/>
        </w:rPr>
        <w:t>(4) Tropical calcific pancreatitis (TCP) - a distinctive tropical/Indian juvenile, non-alcoholic form with large intraductal calculi that characteristically evolves into fibrocalculous pancreatic diabetes (FCPD), a ketosis-resistant diabetes;</w:t>
      </w:r>
    </w:p>
    <w:p>
      <w:pPr>
        <w:spacing w:before="0" w:after="80"/>
      </w:pPr>
      <w:r>
        <w:rPr>
          <w:rFonts w:ascii="Calibri" w:hAnsi="Calibri"/>
          <w:b w:val="0"/>
          <w:i w:val="0"/>
          <w:color w:val="212121"/>
          <w:sz w:val="21"/>
        </w:rPr>
        <w:t>(5) Autoimmune pancreatitis - type 1 (IgG4-related, part of a systemic disease, typically older men, steroid-responsive) and type 2 (idiopathic duct-centric, often associated with inflammatory bowel disease).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Toxic-metabolic (alcohol and tobacco): Chronic heavy alcohol use is the leading toxic cause worldwide and is rising among Indian men, sensitising acinar cells and promoting protein plugs and fibrosis; tobacco is an independent, dose-dependent cofactor that accelerates calcification and cancer, and fewer than 10% of heavy drinkers develop CP, indicating that smoking and other cofactors are needed.</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Idiopathic: No identifiable cause is found in a large share of Indian patients (early-onset presenting in childhood/adolescence with pain, and late-onset presenting later with diabetes); many 'idiopathic' cases actually carry susceptibility gene variants.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Genetic: Autosomal-dominant PRSS1 (cationic trypsinogen) mutations cause hereditary pancreatitis, while SPINK1 (notably the N34S variant), CFTR and CTRC variants strongly predispose to idiopathic and tropical CP and to early onset.</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Autoimmune: IgG4-related (type 1) and duct-centric (type 2) autoimmune pancreatitis produce a steroid-responsive fibro-inflammatory pancreatitis that can mimic malignancy.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Recurrent / severe acute pancreatitis: Repeated attacks - especially with continued alcohol or smoking - drive the transition from recurrent acute to established chronic pancreatitis (the necrosis-fibrosis sequence).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Obstructive: Main-duct strictures, stones, pancreas divisum, ampullary or pancreatic tumours and post-traumatic ductal injury obstruct outflow and cause upstream chronic inflammation.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Tropical / nutritional and oxidative stress: The classic Indian TCP is linked to childhood malnutrition, micronutrient and antioxidant deficiency and gene-environment interaction (the older cassava/cyanogen hypothesis is now largely discounted), with oxidative stress a proposed final common pathway.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(young to middle-aged)</w:t>
            </w:r>
          </w:p>
        </w:tc>
        <w:tc>
          <w:tcPr>
            <w:tcW w:type="dxa" w:w="4276"/>
            <w:vAlign w:val="top"/>
          </w:tcPr>
          <w:p>
            <w:pPr>
              <w:spacing w:after="60" w:line="259" w:lineRule="auto"/>
            </w:pPr>
            <w:r>
              <w:rPr>
                <w:rFonts w:ascii="Calibri" w:hAnsi="Calibri"/>
                <w:b w:val="0"/>
                <w:i w:val="0"/>
                <w:color w:val="212121"/>
                <w:sz w:val="19"/>
              </w:rPr>
              <w:t>Chronic pancreatitis strikes economically active Indians much earlier than in the West, so years of chronic pain, malnutrition and diabetes accumulate during working life. Early-onset idiopathic and tropical disease can begin in childhood or adolescence.</w:t>
            </w:r>
          </w:p>
          <w:p>
            <w:pPr>
              <w:spacing w:after="40" w:before="60" w:line="259" w:lineRule="auto"/>
            </w:pPr>
            <w:r>
              <w:rPr>
                <w:rFonts w:ascii="Calibri" w:hAnsi="Calibri"/>
                <w:b w:val="0"/>
                <w:i w:val="0"/>
                <w:color w:val="212121"/>
                <w:sz w:val="19"/>
              </w:rPr>
              <w:t>In a pooled Indian cohort of over 1,000 CP patients the mean age was about 40 years - the youngest of any studied region worldwide.</w:t>
            </w:r>
          </w:p>
          <w:p>
            <w:pPr>
              <w:spacing w:after="40" w:line="252" w:lineRule="auto"/>
            </w:pPr>
            <w:hyperlink r:id="rId9">
              <w:r>
                <w:rPr>
                  <w:rFonts w:ascii="Calibri" w:hAnsi="Calibri" w:cs="Calibri"/>
                  <w:sz w:val="18"/>
                  <w:color w:val="1155CC"/>
                  <w:u w:val="single"/>
                </w:rPr>
                <w:t xml:space="preserve">ghadvances.org - epidemiology &amp; characteristics of chronic pancreatitis</w:t>
              </w:r>
            </w:hyperlink>
          </w:p>
          <w:p>
            <w:pPr>
              <w:spacing w:before="60" w:after="40"/>
            </w:pPr>
            <w:r>
              <w:rPr>
                <w:rFonts w:ascii="Calibri" w:hAnsi="Calibri"/>
                <w:b w:val="0"/>
                <w:i w:val="0"/>
                <w:color w:val="5A5A5A"/>
                <w:sz w:val="18"/>
              </w:rPr>
              <w:t>#chronicpancreatitis  #youngonset  #idiopathic  #India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(late-onset)</w:t>
            </w:r>
          </w:p>
        </w:tc>
        <w:tc>
          <w:tcPr>
            <w:tcW w:type="dxa" w:w="4276"/>
            <w:vAlign w:val="top"/>
          </w:tcPr>
          <w:p>
            <w:pPr>
              <w:spacing w:after="60" w:line="259" w:lineRule="auto"/>
            </w:pPr>
            <w:r>
              <w:rPr>
                <w:rFonts w:ascii="Calibri" w:hAnsi="Calibri"/>
                <w:b w:val="0"/>
                <w:i w:val="0"/>
                <w:color w:val="212121"/>
                <w:sz w:val="19"/>
              </w:rPr>
              <w:t>Older patients more often have late-onset idiopathic, obstructive or malignancy-related disease and present with diabetes and weight loss rather than severe pain; new-onset diabetes with weight loss in this group must prompt exclusion of pancreatic cancer.</w:t>
            </w:r>
          </w:p>
          <w:p>
            <w:pPr>
              <w:spacing w:after="40" w:before="60" w:line="259" w:lineRule="auto"/>
            </w:pPr>
            <w:r>
              <w:rPr>
                <w:rFonts w:ascii="Calibri" w:hAnsi="Calibri"/>
                <w:b w:val="0"/>
                <w:i w:val="0"/>
                <w:color w:val="212121"/>
                <w:sz w:val="19"/>
              </w:rPr>
              <w:t>In late-onset idiopathic CP diabetes tends to appear at or near presentation, whereas in early-onset disease it develops roughly 13 years after symptom onset.</w:t>
            </w:r>
          </w:p>
          <w:p>
            <w:pPr>
              <w:spacing w:after="40" w:line="252" w:lineRule="auto"/>
            </w:pPr>
            <w:hyperlink r:id="rId10">
              <w:r>
                <w:rPr>
                  <w:rFonts w:ascii="Calibri" w:hAnsi="Calibri" w:cs="Calibri"/>
                  <w:sz w:val="18"/>
                  <w:color w:val="1155CC"/>
                  <w:u w:val="single"/>
                </w:rPr>
                <w:t xml:space="preserve">springer.com - is the profile of chronic pancreatitis in India changing?</w:t>
              </w:r>
            </w:hyperlink>
          </w:p>
          <w:p>
            <w:pPr>
              <w:spacing w:before="60" w:after="40"/>
            </w:pPr>
            <w:r>
              <w:rPr>
                <w:rFonts w:ascii="Calibri" w:hAnsi="Calibri"/>
                <w:b w:val="0"/>
                <w:i w:val="0"/>
                <w:color w:val="5A5A5A"/>
                <w:sz w:val="18"/>
              </w:rPr>
              <w:t>#elderly  #lateonset  #diabetes  #malignancy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(alcohol- and tobacco-related)</w:t>
            </w:r>
          </w:p>
        </w:tc>
        <w:tc>
          <w:tcPr>
            <w:tcW w:type="dxa" w:w="4276"/>
            <w:vAlign w:val="top"/>
          </w:tcPr>
          <w:p>
            <w:pPr>
              <w:spacing w:after="60" w:line="259" w:lineRule="auto"/>
            </w:pPr>
            <w:r>
              <w:rPr>
                <w:rFonts w:ascii="Calibri" w:hAnsi="Calibri"/>
                <w:b w:val="0"/>
                <w:i w:val="0"/>
                <w:color w:val="212121"/>
                <w:sz w:val="19"/>
              </w:rPr>
              <w:t>Chronic pancreatitis is strongly male-predominant in India, reflecting far higher rates of heavy drinking and smoking in men, which act synergistically to injure the gland and accelerate calcification.</w:t>
            </w:r>
          </w:p>
          <w:p>
            <w:pPr>
              <w:spacing w:after="40" w:before="60" w:line="259" w:lineRule="auto"/>
            </w:pPr>
            <w:r>
              <w:rPr>
                <w:rFonts w:ascii="Calibri" w:hAnsi="Calibri"/>
                <w:b w:val="0"/>
                <w:i w:val="0"/>
                <w:color w:val="212121"/>
                <w:sz w:val="19"/>
              </w:rPr>
              <w:t>Roughly three-quarters of Indian CP patients are male, and hospital series report male-to-female ratios as high as 4.6:1.</w:t>
            </w:r>
          </w:p>
          <w:p>
            <w:pPr>
              <w:spacing w:after="40" w:line="252" w:lineRule="auto"/>
            </w:pPr>
            <w:hyperlink r:id="rId9">
              <w:r>
                <w:rPr>
                  <w:rFonts w:ascii="Calibri" w:hAnsi="Calibri" w:cs="Calibri"/>
                  <w:sz w:val="18"/>
                  <w:color w:val="1155CC"/>
                  <w:u w:val="single"/>
                </w:rPr>
                <w:t xml:space="preserve">ghadvances.org - epidemiology &amp; characteristics of chronic pancreatitis</w:t>
              </w:r>
            </w:hyperlink>
          </w:p>
          <w:p>
            <w:pPr>
              <w:spacing w:before="60" w:after="40"/>
            </w:pPr>
            <w:r>
              <w:rPr>
                <w:rFonts w:ascii="Calibri" w:hAnsi="Calibri"/>
                <w:b w:val="0"/>
                <w:i w:val="0"/>
                <w:color w:val="5A5A5A"/>
                <w:sz w:val="18"/>
              </w:rPr>
              <w:t>#male  #alcohol  #tobacco  #calcification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 / nutrition</w:t>
            </w:r>
          </w:p>
        </w:tc>
        <w:tc>
          <w:tcPr>
            <w:tcW w:type="dxa" w:w="2160"/>
            <w:vAlign w:val="top"/>
          </w:tcPr>
          <w:p>
            <w:pPr>
              <w:spacing w:after="40" w:before="0" w:line="259" w:lineRule="auto"/>
            </w:pPr>
            <w:r>
              <w:rPr>
                <w:rFonts w:ascii="Calibri" w:hAnsi="Calibri"/>
                <w:b w:val="0"/>
                <w:i w:val="0"/>
                <w:color w:val="212121"/>
                <w:sz w:val="19"/>
              </w:rPr>
              <w:t>Lower-income, undernourished individuals</w:t>
            </w:r>
          </w:p>
        </w:tc>
        <w:tc>
          <w:tcPr>
            <w:tcW w:type="dxa" w:w="4276"/>
            <w:vAlign w:val="top"/>
          </w:tcPr>
          <w:p>
            <w:pPr>
              <w:spacing w:after="60" w:line="259" w:lineRule="auto"/>
            </w:pPr>
            <w:r>
              <w:rPr>
                <w:rFonts w:ascii="Calibri" w:hAnsi="Calibri"/>
                <w:b w:val="0"/>
                <w:i w:val="0"/>
                <w:color w:val="212121"/>
                <w:sz w:val="19"/>
              </w:rPr>
              <w:t>Historically tropical calcific pancreatitis clustered in poorer, malnourished populations, and low socioeconomic status still worsens outcomes through antioxidant/micronutrient deficiency, delayed diagnosis and poor access to enzyme replacement and diabetes care.</w:t>
            </w:r>
          </w:p>
          <w:p>
            <w:pPr>
              <w:spacing w:after="40" w:before="60" w:line="259" w:lineRule="auto"/>
            </w:pPr>
            <w:r>
              <w:rPr>
                <w:rFonts w:ascii="Calibri" w:hAnsi="Calibri"/>
                <w:b w:val="0"/>
                <w:i w:val="0"/>
                <w:color w:val="212121"/>
                <w:sz w:val="19"/>
              </w:rPr>
              <w:t>Vitamin D deficiency was found in about 87.6% of an 800-patient north Indian recurrent-acute/chronic pancreatitis cohort, underscoring the heavy nutritional burden.</w:t>
            </w:r>
          </w:p>
          <w:p>
            <w:pPr>
              <w:spacing w:after="40" w:line="252" w:lineRule="auto"/>
            </w:pPr>
            <w:hyperlink r:id="rId11">
              <w:r>
                <w:rPr>
                  <w:rFonts w:ascii="Calibri" w:hAnsi="Calibri" w:cs="Calibri"/>
                  <w:sz w:val="18"/>
                  <w:color w:val="1155CC"/>
                  <w:u w:val="single"/>
                </w:rPr>
                <w:t xml:space="preserve">actascientific.com - changing demography of pancreatitis patients in India</w:t>
              </w:r>
            </w:hyperlink>
          </w:p>
          <w:p>
            <w:pPr>
              <w:spacing w:before="60" w:after="40"/>
            </w:pPr>
            <w:r>
              <w:rPr>
                <w:rFonts w:ascii="Calibri" w:hAnsi="Calibri"/>
                <w:b w:val="0"/>
                <w:i w:val="0"/>
                <w:color w:val="5A5A5A"/>
                <w:sz w:val="18"/>
              </w:rPr>
              <w:t>#socioeconomic  #malnutrition  #vitaminD  #antioxidants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South Indian population (Kerala 'pancreatitis belt')</w:t>
            </w:r>
          </w:p>
        </w:tc>
        <w:tc>
          <w:tcPr>
            <w:tcW w:type="dxa" w:w="4276"/>
            <w:vAlign w:val="top"/>
          </w:tcPr>
          <w:p>
            <w:pPr>
              <w:spacing w:after="60" w:line="259" w:lineRule="auto"/>
            </w:pPr>
            <w:r>
              <w:rPr>
                <w:rFonts w:ascii="Calibri" w:hAnsi="Calibri"/>
                <w:b w:val="0"/>
                <w:i w:val="0"/>
                <w:color w:val="212121"/>
                <w:sz w:val="19"/>
              </w:rPr>
              <w:t>South India, especially Kerala, is the classic high-prevalence region for tropical/idiopathic calcific pancreatitis, historically producing young, non-alcoholic patients with large ductal stones and fibrocalculous pancreatic diabetes.</w:t>
            </w:r>
          </w:p>
          <w:p>
            <w:pPr>
              <w:spacing w:after="40" w:before="60" w:line="259" w:lineRule="auto"/>
            </w:pPr>
            <w:r>
              <w:rPr>
                <w:rFonts w:ascii="Calibri" w:hAnsi="Calibri"/>
                <w:b w:val="0"/>
                <w:i w:val="0"/>
                <w:color w:val="212121"/>
                <w:sz w:val="19"/>
              </w:rPr>
              <w:t>In a Kerala series of 597 CP patients, idiopathic CP accounted for 65.3% and alcoholic CP for 29.3% of cases.</w:t>
            </w:r>
          </w:p>
          <w:p>
            <w:pPr>
              <w:spacing w:after="40" w:line="252" w:lineRule="auto"/>
            </w:pPr>
            <w:hyperlink r:id="rId10">
              <w:r>
                <w:rPr>
                  <w:rFonts w:ascii="Calibri" w:hAnsi="Calibri" w:cs="Calibri"/>
                  <w:sz w:val="18"/>
                  <w:color w:val="1155CC"/>
                  <w:u w:val="single"/>
                </w:rPr>
                <w:t xml:space="preserve">springer.com - is the profile of chronic pancreatitis in India changing?</w:t>
              </w:r>
            </w:hyperlink>
          </w:p>
          <w:p>
            <w:pPr>
              <w:spacing w:before="60" w:after="40"/>
            </w:pPr>
            <w:r>
              <w:rPr>
                <w:rFonts w:ascii="Calibri" w:hAnsi="Calibri"/>
                <w:b w:val="0"/>
                <w:i w:val="0"/>
                <w:color w:val="5A5A5A"/>
                <w:sz w:val="18"/>
              </w:rPr>
              <w:t>#Kerala  #tropical  #idiopathic  #calcific</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North Indian population</w:t>
            </w:r>
          </w:p>
        </w:tc>
        <w:tc>
          <w:tcPr>
            <w:tcW w:type="dxa" w:w="4276"/>
            <w:vAlign w:val="top"/>
          </w:tcPr>
          <w:p>
            <w:pPr>
              <w:spacing w:after="60" w:line="259" w:lineRule="auto"/>
            </w:pPr>
            <w:r>
              <w:rPr>
                <w:rFonts w:ascii="Calibri" w:hAnsi="Calibri"/>
                <w:b w:val="0"/>
                <w:i w:val="0"/>
                <w:color w:val="212121"/>
                <w:sz w:val="19"/>
              </w:rPr>
              <w:t>In north India the phenotype has shifted towards alcohol, so alcoholic and idiopathic disease occur in roughly equal proportions and the classic 'pure' tropical form has become uncommon, reflecting changing drinking patterns.</w:t>
            </w:r>
          </w:p>
          <w:p>
            <w:pPr>
              <w:spacing w:after="40" w:before="60" w:line="259" w:lineRule="auto"/>
            </w:pPr>
            <w:r>
              <w:rPr>
                <w:rFonts w:ascii="Calibri" w:hAnsi="Calibri"/>
                <w:b w:val="0"/>
                <w:i w:val="0"/>
                <w:color w:val="212121"/>
                <w:sz w:val="19"/>
              </w:rPr>
              <w:t>A north Indian series of 225 CP patients found alcoholic and idiopathic CP almost equally distributed (about 42% and 43%), with tropical CP now only 3.8-5.8% of cases nationally.</w:t>
            </w:r>
          </w:p>
          <w:p>
            <w:pPr>
              <w:spacing w:after="40" w:line="252" w:lineRule="auto"/>
            </w:pPr>
            <w:hyperlink r:id="rId10">
              <w:r>
                <w:rPr>
                  <w:rFonts w:ascii="Calibri" w:hAnsi="Calibri" w:cs="Calibri"/>
                  <w:sz w:val="18"/>
                  <w:color w:val="1155CC"/>
                  <w:u w:val="single"/>
                </w:rPr>
                <w:t xml:space="preserve">springer.com - is the profile of chronic pancreatitis in India changing?</w:t>
              </w:r>
            </w:hyperlink>
          </w:p>
          <w:p>
            <w:pPr>
              <w:spacing w:before="60" w:after="40"/>
            </w:pPr>
            <w:r>
              <w:rPr>
                <w:rFonts w:ascii="Calibri" w:hAnsi="Calibri"/>
                <w:b w:val="0"/>
                <w:i w:val="0"/>
                <w:color w:val="5A5A5A"/>
                <w:sz w:val="18"/>
              </w:rPr>
              <w:t>#NorthIndia  #alcohol  #changingphenotype  #idiopathic</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 (mainly men)</w:t>
            </w:r>
          </w:p>
        </w:tc>
        <w:tc>
          <w:tcPr>
            <w:tcW w:type="dxa" w:w="4276"/>
            <w:vAlign w:val="top"/>
          </w:tcPr>
          <w:p>
            <w:pPr>
              <w:spacing w:after="60" w:line="259" w:lineRule="auto"/>
            </w:pPr>
            <w:r>
              <w:rPr>
                <w:rFonts w:ascii="Calibri" w:hAnsi="Calibri"/>
                <w:b w:val="0"/>
                <w:i w:val="0"/>
                <w:color w:val="212121"/>
                <w:sz w:val="19"/>
              </w:rPr>
              <w:t>Chronic heavy alcohol use is the leading modifiable toxic cause, sensitising acinar cells, promoting intraductal protein plugs and driving the fibrosis of established CP; continued drinking accelerates pain, calcification and glandular failure.</w:t>
            </w:r>
          </w:p>
          <w:p>
            <w:pPr>
              <w:spacing w:after="40" w:before="60" w:line="259" w:lineRule="auto"/>
            </w:pPr>
            <w:r>
              <w:rPr>
                <w:rFonts w:ascii="Calibri" w:hAnsi="Calibri"/>
                <w:b w:val="0"/>
                <w:i w:val="0"/>
                <w:color w:val="212121"/>
                <w:sz w:val="19"/>
              </w:rPr>
              <w:t>Fewer than 10% of people with alcohol-use disorder develop chronic pancreatitis, indicating that cofactors such as smoking and genetic susceptibility are usually required.</w:t>
            </w:r>
          </w:p>
          <w:p>
            <w:pPr>
              <w:spacing w:after="40" w:line="252" w:lineRule="auto"/>
            </w:pPr>
            <w:hyperlink r:id="rId12">
              <w:r>
                <w:rPr>
                  <w:rFonts w:ascii="Calibri" w:hAnsi="Calibri" w:cs="Calibri"/>
                  <w:sz w:val="18"/>
                  <w:color w:val="1155CC"/>
                  <w:u w:val="single"/>
                </w:rPr>
                <w:t xml:space="preserve">ncbi.nlm.nih.gov - StatPearls: Chronic Pancreatitis</w:t>
              </w:r>
            </w:hyperlink>
          </w:p>
          <w:p>
            <w:pPr>
              <w:spacing w:before="60" w:after="40"/>
            </w:pPr>
            <w:r>
              <w:rPr>
                <w:rFonts w:ascii="Calibri" w:hAnsi="Calibri"/>
                <w:b w:val="0"/>
                <w:i w:val="0"/>
                <w:color w:val="5A5A5A"/>
                <w:sz w:val="18"/>
              </w:rPr>
              <w:t>#alcohol  #toxicmetabolic  #fibrosis  #progression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tobacco smokers</w:t>
            </w:r>
          </w:p>
        </w:tc>
        <w:tc>
          <w:tcPr>
            <w:tcW w:type="dxa" w:w="4276"/>
            <w:vAlign w:val="top"/>
          </w:tcPr>
          <w:p>
            <w:pPr>
              <w:spacing w:after="60" w:line="259" w:lineRule="auto"/>
            </w:pPr>
            <w:r>
              <w:rPr>
                <w:rFonts w:ascii="Calibri" w:hAnsi="Calibri"/>
                <w:b w:val="0"/>
                <w:i w:val="0"/>
                <w:color w:val="212121"/>
                <w:sz w:val="19"/>
              </w:rPr>
              <w:t>Smoking is an independent, dose-dependent risk factor that accelerates pancreatic calcification, hastens progression from recurrent acute to chronic pancreatitis and further raises the already-elevated pancreatic cancer risk, acting synergistically with alcohol.</w:t>
            </w:r>
          </w:p>
          <w:p>
            <w:pPr>
              <w:spacing w:after="40" w:before="60" w:line="259" w:lineRule="auto"/>
            </w:pPr>
            <w:r>
              <w:rPr>
                <w:rFonts w:ascii="Calibri" w:hAnsi="Calibri"/>
                <w:b w:val="0"/>
                <w:i w:val="0"/>
                <w:color w:val="212121"/>
                <w:sz w:val="19"/>
              </w:rPr>
              <w:t>Smoking was reported in about 28% of Indian CP patients, and meta-analysis confirms tobacco as a dose-dependent risk factor for pancreatitis.</w:t>
            </w:r>
          </w:p>
          <w:p>
            <w:pPr>
              <w:spacing w:after="40" w:line="252" w:lineRule="auto"/>
            </w:pPr>
            <w:hyperlink r:id="rId13">
              <w:r>
                <w:rPr>
                  <w:rFonts w:ascii="Calibri" w:hAnsi="Calibri" w:cs="Calibri"/>
                  <w:sz w:val="18"/>
                  <w:color w:val="1155CC"/>
                  <w:u w:val="single"/>
                </w:rPr>
                <w:t xml:space="preserve">journals.plos.org - smoking &amp; risk of pancreatitis meta-analysis</w:t>
              </w:r>
            </w:hyperlink>
          </w:p>
          <w:p>
            <w:pPr>
              <w:spacing w:before="60" w:after="40"/>
            </w:pPr>
            <w:r>
              <w:rPr>
                <w:rFonts w:ascii="Calibri" w:hAnsi="Calibri"/>
                <w:b w:val="0"/>
                <w:i w:val="0"/>
                <w:color w:val="5A5A5A"/>
                <w:sz w:val="18"/>
              </w:rPr>
              <w:t>#smoking  #tobacco  #calcification  #cancer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low body weight</w:t>
            </w:r>
          </w:p>
        </w:tc>
        <w:tc>
          <w:tcPr>
            <w:tcW w:type="dxa" w:w="2160"/>
            <w:vAlign w:val="top"/>
          </w:tcPr>
          <w:p>
            <w:pPr>
              <w:spacing w:after="40" w:before="0" w:line="259" w:lineRule="auto"/>
            </w:pPr>
            <w:r>
              <w:rPr>
                <w:rFonts w:ascii="Calibri" w:hAnsi="Calibri"/>
                <w:b w:val="0"/>
                <w:i w:val="0"/>
                <w:color w:val="212121"/>
                <w:sz w:val="19"/>
              </w:rPr>
              <w:t>Malnourished, low-BMI patients</w:t>
            </w:r>
          </w:p>
        </w:tc>
        <w:tc>
          <w:tcPr>
            <w:tcW w:type="dxa" w:w="4276"/>
            <w:vAlign w:val="top"/>
          </w:tcPr>
          <w:p>
            <w:pPr>
              <w:spacing w:after="60" w:line="259" w:lineRule="auto"/>
            </w:pPr>
            <w:r>
              <w:rPr>
                <w:rFonts w:ascii="Calibri" w:hAnsi="Calibri"/>
                <w:b w:val="0"/>
                <w:i w:val="0"/>
                <w:color w:val="212121"/>
                <w:sz w:val="19"/>
              </w:rPr>
              <w:t>Unlike many metabolic diseases, chronic pancreatitis typically causes weight loss and a low BMI through maldigestion; sarcopenia and micronutrient deficiency in turn worsen pain, immunity, bone health and survival.</w:t>
            </w:r>
          </w:p>
          <w:p>
            <w:pPr>
              <w:spacing w:after="40" w:before="60" w:line="259" w:lineRule="auto"/>
            </w:pPr>
            <w:r>
              <w:rPr>
                <w:rFonts w:ascii="Calibri" w:hAnsi="Calibri"/>
                <w:b w:val="0"/>
                <w:i w:val="0"/>
                <w:color w:val="212121"/>
                <w:sz w:val="19"/>
              </w:rPr>
              <w:t>Progressive weight loss and malnutrition are core features, and severe exocrine insufficiency develops when over 90% of the gland is lost, affecting up to 85% of patients.</w:t>
            </w:r>
          </w:p>
          <w:p>
            <w:pPr>
              <w:spacing w:after="40" w:line="252" w:lineRule="auto"/>
            </w:pPr>
            <w:hyperlink r:id="rId12">
              <w:r>
                <w:rPr>
                  <w:rFonts w:ascii="Calibri" w:hAnsi="Calibri" w:cs="Calibri"/>
                  <w:sz w:val="18"/>
                  <w:color w:val="1155CC"/>
                  <w:u w:val="single"/>
                </w:rPr>
                <w:t xml:space="preserve">ncbi.nlm.nih.gov - StatPearls: Chronic Pancreatitis</w:t>
              </w:r>
            </w:hyperlink>
          </w:p>
          <w:p>
            <w:pPr>
              <w:spacing w:before="60" w:after="40"/>
            </w:pPr>
            <w:r>
              <w:rPr>
                <w:rFonts w:ascii="Calibri" w:hAnsi="Calibri"/>
                <w:b w:val="0"/>
                <w:i w:val="0"/>
                <w:color w:val="5A5A5A"/>
                <w:sz w:val="18"/>
              </w:rPr>
              <w:t>#malnutrition  #lowBMI  #sarcopenia  #exocrine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Antioxidant-poor, low-protein diets</w:t>
            </w:r>
          </w:p>
        </w:tc>
        <w:tc>
          <w:tcPr>
            <w:tcW w:type="dxa" w:w="4276"/>
            <w:vAlign w:val="top"/>
          </w:tcPr>
          <w:p>
            <w:pPr>
              <w:spacing w:after="60" w:line="259" w:lineRule="auto"/>
            </w:pPr>
            <w:r>
              <w:rPr>
                <w:rFonts w:ascii="Calibri" w:hAnsi="Calibri"/>
                <w:b w:val="0"/>
                <w:i w:val="0"/>
                <w:color w:val="212121"/>
                <w:sz w:val="19"/>
              </w:rPr>
              <w:t>Diets deficient in antioxidant micronutrients (selenium, vitamins C and E, methionine) are implicated in the oxidative-stress pathway of Indian idiopathic/tropical CP, and antioxidant supplementation can reduce pain in some patients.</w:t>
            </w:r>
          </w:p>
          <w:p>
            <w:pPr>
              <w:spacing w:after="40" w:before="60" w:line="259" w:lineRule="auto"/>
            </w:pPr>
            <w:r>
              <w:rPr>
                <w:rFonts w:ascii="Calibri" w:hAnsi="Calibri"/>
                <w:b w:val="0"/>
                <w:i w:val="0"/>
                <w:color w:val="212121"/>
                <w:sz w:val="19"/>
              </w:rPr>
              <w:t>Antioxidant therapy has been shown to give significant pain relief in chronic pancreatitis, and a home-made balanced diet effectively treats CP-related malnutrition.</w:t>
            </w:r>
          </w:p>
          <w:p>
            <w:pPr>
              <w:spacing w:after="40" w:line="252" w:lineRule="auto"/>
            </w:pPr>
            <w:hyperlink r:id="rId14">
              <w:r>
                <w:rPr>
                  <w:rFonts w:ascii="Calibri" w:hAnsi="Calibri" w:cs="Calibri"/>
                  <w:sz w:val="18"/>
                  <w:color w:val="1155CC"/>
                  <w:u w:val="single"/>
                </w:rPr>
                <w:t xml:space="preserve">springer.com - chronic pancreatitis in India and Asia</w:t>
              </w:r>
            </w:hyperlink>
          </w:p>
          <w:p>
            <w:pPr>
              <w:spacing w:before="60" w:after="40"/>
            </w:pPr>
            <w:r>
              <w:rPr>
                <w:rFonts w:ascii="Calibri" w:hAnsi="Calibri"/>
                <w:b w:val="0"/>
                <w:i w:val="0"/>
                <w:color w:val="5A5A5A"/>
                <w:sz w:val="18"/>
              </w:rPr>
              <w:t>#antioxidants  #oxidativestress  #micronutrients  #diet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Metabolic dietary drivers</w:t>
            </w:r>
          </w:p>
        </w:tc>
        <w:tc>
          <w:tcPr>
            <w:tcW w:type="dxa" w:w="2160"/>
            <w:vAlign w:val="top"/>
          </w:tcPr>
          <w:p>
            <w:pPr>
              <w:spacing w:after="40" w:before="0" w:line="259" w:lineRule="auto"/>
            </w:pPr>
            <w:r>
              <w:rPr>
                <w:rFonts w:ascii="Calibri" w:hAnsi="Calibri"/>
                <w:b w:val="0"/>
                <w:i w:val="0"/>
                <w:color w:val="212121"/>
                <w:sz w:val="19"/>
              </w:rPr>
              <w:t>High-fat / hypertriglyceridaemia- and hypercalcaemia-prone intake</w:t>
            </w:r>
          </w:p>
        </w:tc>
        <w:tc>
          <w:tcPr>
            <w:tcW w:type="dxa" w:w="4276"/>
            <w:vAlign w:val="top"/>
          </w:tcPr>
          <w:p>
            <w:pPr>
              <w:spacing w:after="60" w:line="259" w:lineRule="auto"/>
            </w:pPr>
            <w:r>
              <w:rPr>
                <w:rFonts w:ascii="Calibri" w:hAnsi="Calibri"/>
                <w:b w:val="0"/>
                <w:i w:val="0"/>
                <w:color w:val="212121"/>
                <w:sz w:val="19"/>
              </w:rPr>
              <w:t>Diets that sustain very high triglycerides (with obesity, diabetes and alcohol) or that accompany hypercalcaemic states can drive recurrent attacks that progress to chronic disease, and large fatty meals precipitate painful flares in established CP.</w:t>
            </w:r>
          </w:p>
          <w:p>
            <w:pPr>
              <w:spacing w:after="40" w:before="60" w:line="259" w:lineRule="auto"/>
            </w:pPr>
            <w:r>
              <w:rPr>
                <w:rFonts w:ascii="Calibri" w:hAnsi="Calibri"/>
                <w:b w:val="0"/>
                <w:i w:val="0"/>
                <w:color w:val="212121"/>
                <w:sz w:val="19"/>
              </w:rPr>
              <w:t>Toxic-metabolic causes in the TIGAR-O system explicitly include hyperlipidaemia and hypercalcaemia alongside alcohol and tobacco.</w:t>
            </w:r>
          </w:p>
          <w:p>
            <w:pPr>
              <w:spacing w:after="40" w:line="252" w:lineRule="auto"/>
            </w:pPr>
            <w:hyperlink r:id="rId12">
              <w:r>
                <w:rPr>
                  <w:rFonts w:ascii="Calibri" w:hAnsi="Calibri" w:cs="Calibri"/>
                  <w:sz w:val="18"/>
                  <w:color w:val="1155CC"/>
                  <w:u w:val="single"/>
                </w:rPr>
                <w:t xml:space="preserve">ncbi.nlm.nih.gov - StatPearls: Chronic Pancreatitis</w:t>
              </w:r>
            </w:hyperlink>
          </w:p>
          <w:p>
            <w:pPr>
              <w:spacing w:before="60" w:after="40"/>
            </w:pPr>
            <w:r>
              <w:rPr>
                <w:rFonts w:ascii="Calibri" w:hAnsi="Calibri"/>
                <w:b w:val="0"/>
                <w:i w:val="0"/>
                <w:color w:val="5A5A5A"/>
                <w:sz w:val="18"/>
              </w:rPr>
              <w:t>#hypertriglyceridaemia  #hypercalcaemia  #fattymeal  #flares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hereditary pancreatitis</w:t>
            </w:r>
          </w:p>
        </w:tc>
        <w:tc>
          <w:tcPr>
            <w:tcW w:type="dxa" w:w="2160"/>
            <w:vAlign w:val="top"/>
          </w:tcPr>
          <w:p>
            <w:pPr>
              <w:spacing w:after="40" w:before="0" w:line="259" w:lineRule="auto"/>
            </w:pPr>
            <w:r>
              <w:rPr>
                <w:rFonts w:ascii="Calibri" w:hAnsi="Calibri"/>
                <w:b w:val="0"/>
                <w:i w:val="0"/>
                <w:color w:val="212121"/>
                <w:sz w:val="19"/>
              </w:rPr>
              <w:t>Carriers of PRSS1, SPINK1 (N34S), CFTR or CTRC variants</w:t>
            </w:r>
          </w:p>
        </w:tc>
        <w:tc>
          <w:tcPr>
            <w:tcW w:type="dxa" w:w="4276"/>
            <w:vAlign w:val="top"/>
          </w:tcPr>
          <w:p>
            <w:pPr>
              <w:spacing w:after="60" w:line="259" w:lineRule="auto"/>
            </w:pPr>
            <w:r>
              <w:rPr>
                <w:rFonts w:ascii="Calibri" w:hAnsi="Calibri"/>
                <w:b w:val="0"/>
                <w:i w:val="0"/>
                <w:color w:val="212121"/>
                <w:sz w:val="19"/>
              </w:rPr>
              <w:t>Inherited variants affecting trypsin activation and its control cause hereditary and familial pancreatitis and strongly predispose to idiopathic and tropical CP in India, presenting with young-onset recurrent disease and a high lifetime risk of calcification, diabetes and cancer.</w:t>
            </w:r>
          </w:p>
          <w:p>
            <w:pPr>
              <w:spacing w:after="40" w:before="60" w:line="259" w:lineRule="auto"/>
            </w:pPr>
            <w:r>
              <w:rPr>
                <w:rFonts w:ascii="Calibri" w:hAnsi="Calibri"/>
                <w:b w:val="0"/>
                <w:i w:val="0"/>
                <w:color w:val="212121"/>
                <w:sz w:val="19"/>
              </w:rPr>
              <w:t>SPINK1 and CFTR mutations are strongly associated with idiopathic chronic pancreatitis across ethnic groups, and PRSS1 underlies autosomal-dominant hereditary pancreatitis.</w:t>
            </w:r>
          </w:p>
          <w:p>
            <w:pPr>
              <w:spacing w:after="40" w:line="252" w:lineRule="auto"/>
            </w:pPr>
            <w:hyperlink r:id="rId14">
              <w:r>
                <w:rPr>
                  <w:rFonts w:ascii="Calibri" w:hAnsi="Calibri" w:cs="Calibri"/>
                  <w:sz w:val="18"/>
                  <w:color w:val="1155CC"/>
                  <w:u w:val="single"/>
                </w:rPr>
                <w:t xml:space="preserve">springer.com - chronic pancreatitis in India and Asia</w:t>
              </w:r>
            </w:hyperlink>
          </w:p>
          <w:p>
            <w:pPr>
              <w:spacing w:before="60" w:after="40"/>
            </w:pPr>
            <w:r>
              <w:rPr>
                <w:rFonts w:ascii="Calibri" w:hAnsi="Calibri"/>
                <w:b w:val="0"/>
                <w:i w:val="0"/>
                <w:color w:val="5A5A5A"/>
                <w:sz w:val="18"/>
              </w:rPr>
              <w:t>#SPINK1  #PRSS1  #CFTR  #hereditary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Recurrent acute pancreatitis</w:t>
            </w:r>
          </w:p>
        </w:tc>
        <w:tc>
          <w:tcPr>
            <w:tcW w:type="dxa" w:w="2160"/>
            <w:vAlign w:val="top"/>
          </w:tcPr>
          <w:p>
            <w:pPr>
              <w:spacing w:after="40" w:before="0" w:line="259" w:lineRule="auto"/>
            </w:pPr>
            <w:r>
              <w:rPr>
                <w:rFonts w:ascii="Calibri" w:hAnsi="Calibri"/>
                <w:b w:val="0"/>
                <w:i w:val="0"/>
                <w:color w:val="212121"/>
                <w:sz w:val="19"/>
              </w:rPr>
              <w:t>Patients with repeated acute attacks</w:t>
            </w:r>
          </w:p>
        </w:tc>
        <w:tc>
          <w:tcPr>
            <w:tcW w:type="dxa" w:w="4276"/>
            <w:vAlign w:val="top"/>
          </w:tcPr>
          <w:p>
            <w:pPr>
              <w:spacing w:after="60" w:line="259" w:lineRule="auto"/>
            </w:pPr>
            <w:r>
              <w:rPr>
                <w:rFonts w:ascii="Calibri" w:hAnsi="Calibri"/>
                <w:b w:val="0"/>
                <w:i w:val="0"/>
                <w:color w:val="212121"/>
                <w:sz w:val="19"/>
              </w:rPr>
              <w:t>Recurrent acute pancreatitis - especially with continued alcohol and smoking - is a principal route to chronic pancreatitis through the necrosis-fibrosis sequence, so preventing further attacks is central to preventing chronic disease.</w:t>
            </w:r>
          </w:p>
          <w:p>
            <w:pPr>
              <w:spacing w:after="40" w:before="60" w:line="259" w:lineRule="auto"/>
            </w:pPr>
            <w:r>
              <w:rPr>
                <w:rFonts w:ascii="Calibri" w:hAnsi="Calibri"/>
                <w:b w:val="0"/>
                <w:i w:val="0"/>
                <w:color w:val="212121"/>
                <w:sz w:val="19"/>
              </w:rPr>
              <w:t>After three episodes of acute pancreatitis the risk of developing chronic pancreatitis rises from about 16% to about 50%.</w:t>
            </w:r>
          </w:p>
          <w:p>
            <w:pPr>
              <w:spacing w:after="40" w:line="252" w:lineRule="auto"/>
            </w:pPr>
            <w:hyperlink r:id="rId12">
              <w:r>
                <w:rPr>
                  <w:rFonts w:ascii="Calibri" w:hAnsi="Calibri" w:cs="Calibri"/>
                  <w:sz w:val="18"/>
                  <w:color w:val="1155CC"/>
                  <w:u w:val="single"/>
                </w:rPr>
                <w:t xml:space="preserve">ncbi.nlm.nih.gov - StatPearls: Chronic Pancreatitis</w:t>
              </w:r>
            </w:hyperlink>
          </w:p>
          <w:p>
            <w:pPr>
              <w:spacing w:before="60" w:after="40"/>
            </w:pPr>
            <w:r>
              <w:rPr>
                <w:rFonts w:ascii="Calibri" w:hAnsi="Calibri"/>
                <w:b w:val="0"/>
                <w:i w:val="0"/>
                <w:color w:val="5A5A5A"/>
                <w:sz w:val="18"/>
              </w:rPr>
              <w:t>#recurrentAP  #necrosisfibrosis  #progression  #prevention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Pancreatogenic (type 3c) diabetes / FCPD</w:t>
            </w:r>
          </w:p>
        </w:tc>
        <w:tc>
          <w:tcPr>
            <w:tcW w:type="dxa" w:w="2160"/>
            <w:vAlign w:val="top"/>
          </w:tcPr>
          <w:p>
            <w:pPr>
              <w:spacing w:after="40" w:before="0" w:line="259" w:lineRule="auto"/>
            </w:pPr>
            <w:r>
              <w:rPr>
                <w:rFonts w:ascii="Calibri" w:hAnsi="Calibri"/>
                <w:b w:val="0"/>
                <w:i w:val="0"/>
                <w:color w:val="212121"/>
                <w:sz w:val="19"/>
              </w:rPr>
              <w:t>Patients with CP-related diabetes</w:t>
            </w:r>
          </w:p>
        </w:tc>
        <w:tc>
          <w:tcPr>
            <w:tcW w:type="dxa" w:w="4276"/>
            <w:vAlign w:val="top"/>
          </w:tcPr>
          <w:p>
            <w:pPr>
              <w:spacing w:after="60" w:line="259" w:lineRule="auto"/>
            </w:pPr>
            <w:r>
              <w:rPr>
                <w:rFonts w:ascii="Calibri" w:hAnsi="Calibri"/>
                <w:b w:val="0"/>
                <w:i w:val="0"/>
                <w:color w:val="212121"/>
                <w:sz w:val="19"/>
              </w:rPr>
              <w:t>Progressive islet loss causes pancreatogenic 'type 3c' diabetes (fibrocalculous pancreatic diabetes in the tropical form); it is both a marker of advanced disease and a driver of morbidity, and combined loss of insulin and glucagon makes glycaemic control brittle.</w:t>
            </w:r>
          </w:p>
          <w:p>
            <w:pPr>
              <w:spacing w:after="40" w:before="60" w:line="259" w:lineRule="auto"/>
            </w:pPr>
            <w:r>
              <w:rPr>
                <w:rFonts w:ascii="Calibri" w:hAnsi="Calibri"/>
                <w:b w:val="0"/>
                <w:i w:val="0"/>
                <w:color w:val="212121"/>
                <w:sz w:val="19"/>
              </w:rPr>
              <w:t>Diabetes affects about 30% of CP patients overall, rising to roughly 50% at 10 years and 83% at 25 years in alcoholic CP; CP accounts for the majority of type 3c diabetes, which itself may be up to ~10% of all diabetes.</w:t>
            </w:r>
          </w:p>
          <w:p>
            <w:pPr>
              <w:spacing w:after="40" w:line="252" w:lineRule="auto"/>
            </w:pPr>
            <w:hyperlink r:id="rId15">
              <w:r>
                <w:rPr>
                  <w:rFonts w:ascii="Calibri" w:hAnsi="Calibri" w:cs="Calibri"/>
                  <w:sz w:val="18"/>
                  <w:color w:val="1155CC"/>
                  <w:u w:val="single"/>
                </w:rPr>
                <w:t xml:space="preserve">pancreapedia.org - pancreatogenic (type 3c) diabetes</w:t>
              </w:r>
            </w:hyperlink>
          </w:p>
          <w:p>
            <w:pPr>
              <w:spacing w:before="60" w:after="40"/>
            </w:pPr>
            <w:r>
              <w:rPr>
                <w:rFonts w:ascii="Calibri" w:hAnsi="Calibri"/>
                <w:b w:val="0"/>
                <w:i w:val="0"/>
                <w:color w:val="5A5A5A"/>
                <w:sz w:val="18"/>
              </w:rPr>
              <w:t>#type3c  #FCPD  #brittlediabetes  #isletloss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Exocrine pancreatic insufficiency / malnutrition</w:t>
            </w:r>
          </w:p>
        </w:tc>
        <w:tc>
          <w:tcPr>
            <w:tcW w:type="dxa" w:w="2160"/>
            <w:vAlign w:val="top"/>
          </w:tcPr>
          <w:p>
            <w:pPr>
              <w:spacing w:after="40" w:before="0" w:line="259" w:lineRule="auto"/>
            </w:pPr>
            <w:r>
              <w:rPr>
                <w:rFonts w:ascii="Calibri" w:hAnsi="Calibri"/>
                <w:b w:val="0"/>
                <w:i w:val="0"/>
                <w:color w:val="212121"/>
                <w:sz w:val="19"/>
              </w:rPr>
              <w:t>Patients with steatorrhoea and maldigestion</w:t>
            </w:r>
          </w:p>
        </w:tc>
        <w:tc>
          <w:tcPr>
            <w:tcW w:type="dxa" w:w="4276"/>
            <w:vAlign w:val="top"/>
          </w:tcPr>
          <w:p>
            <w:pPr>
              <w:spacing w:after="60" w:line="259" w:lineRule="auto"/>
            </w:pPr>
            <w:r>
              <w:rPr>
                <w:rFonts w:ascii="Calibri" w:hAnsi="Calibri"/>
                <w:b w:val="0"/>
                <w:i w:val="0"/>
                <w:color w:val="212121"/>
                <w:sz w:val="19"/>
              </w:rPr>
              <w:t>Loss of acinar tissue causes exocrine pancreatic insufficiency with steatorrhoea, weight loss and deficiency of fat-soluble vitamins (A, D, E, K) and B12, driving osteoporosis, immune impairment and poor quality of life unless enzymes are replaced.</w:t>
            </w:r>
          </w:p>
          <w:p>
            <w:pPr>
              <w:spacing w:after="40" w:before="60" w:line="259" w:lineRule="auto"/>
            </w:pPr>
            <w:r>
              <w:rPr>
                <w:rFonts w:ascii="Calibri" w:hAnsi="Calibri"/>
                <w:b w:val="0"/>
                <w:i w:val="0"/>
                <w:color w:val="212121"/>
                <w:sz w:val="19"/>
              </w:rPr>
              <w:t>Exocrine pancreatic insufficiency develops in 60-90% of chronic pancreatitis patients within 10-12 years of diagnosis.</w:t>
            </w:r>
          </w:p>
          <w:p>
            <w:pPr>
              <w:spacing w:after="40" w:line="252" w:lineRule="auto"/>
            </w:pPr>
            <w:hyperlink r:id="rId16">
              <w:r>
                <w:rPr>
                  <w:rFonts w:ascii="Calibri" w:hAnsi="Calibri" w:cs="Calibri"/>
                  <w:sz w:val="18"/>
                  <w:color w:val="1155CC"/>
                  <w:u w:val="single"/>
                </w:rPr>
                <w:t xml:space="preserve">ncbi.nlm.nih.gov - StatPearls: Exocrine Pancreatic Insufficiency</w:t>
              </w:r>
            </w:hyperlink>
          </w:p>
          <w:p>
            <w:pPr>
              <w:spacing w:before="60" w:after="40"/>
            </w:pPr>
            <w:r>
              <w:rPr>
                <w:rFonts w:ascii="Calibri" w:hAnsi="Calibri"/>
                <w:b w:val="0"/>
                <w:i w:val="0"/>
                <w:color w:val="5A5A5A"/>
                <w:sz w:val="18"/>
              </w:rPr>
              <w:t>#EPI  #steatorrhoea  #malnutrition  #PERT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Pancreatic ductal adenocarcinoma</w:t>
            </w:r>
          </w:p>
        </w:tc>
        <w:tc>
          <w:tcPr>
            <w:tcW w:type="dxa" w:w="2160"/>
            <w:vAlign w:val="top"/>
          </w:tcPr>
          <w:p>
            <w:pPr>
              <w:spacing w:after="40" w:before="0" w:line="259" w:lineRule="auto"/>
            </w:pPr>
            <w:r>
              <w:rPr>
                <w:rFonts w:ascii="Calibri" w:hAnsi="Calibri"/>
                <w:b w:val="0"/>
                <w:i w:val="0"/>
                <w:color w:val="212121"/>
                <w:sz w:val="19"/>
              </w:rPr>
              <w:t>Patients with long-standing CP (esp. hereditary/tropical)</w:t>
            </w:r>
          </w:p>
        </w:tc>
        <w:tc>
          <w:tcPr>
            <w:tcW w:type="dxa" w:w="4276"/>
            <w:vAlign w:val="top"/>
          </w:tcPr>
          <w:p>
            <w:pPr>
              <w:spacing w:after="60" w:line="259" w:lineRule="auto"/>
            </w:pPr>
            <w:r>
              <w:rPr>
                <w:rFonts w:ascii="Calibri" w:hAnsi="Calibri"/>
                <w:b w:val="0"/>
                <w:i w:val="0"/>
                <w:color w:val="212121"/>
                <w:sz w:val="19"/>
              </w:rPr>
              <w:t>Chronic inflammation is a strong risk factor for pancreatic cancer; risk is highest in hereditary and tropical calcific pancreatitis and is compounded by continued smoking, warranting vigilance for new weight loss, jaundice or a mass.</w:t>
            </w:r>
          </w:p>
          <w:p>
            <w:pPr>
              <w:spacing w:after="40" w:before="60" w:line="259" w:lineRule="auto"/>
            </w:pPr>
            <w:r>
              <w:rPr>
                <w:rFonts w:ascii="Calibri" w:hAnsi="Calibri"/>
                <w:b w:val="0"/>
                <w:i w:val="0"/>
                <w:color w:val="212121"/>
                <w:sz w:val="19"/>
              </w:rPr>
              <w:t>The cumulative risk of pancreatic cancer in chronic pancreatitis is about 1.8% at 10 years and 4.0% at 20 years, with a standardised incidence ratio of roughly 14-16.</w:t>
            </w:r>
          </w:p>
          <w:p>
            <w:pPr>
              <w:spacing w:after="40" w:line="252" w:lineRule="auto"/>
            </w:pPr>
            <w:hyperlink r:id="rId17">
              <w:r>
                <w:rPr>
                  <w:rFonts w:ascii="Calibri" w:hAnsi="Calibri" w:cs="Calibri"/>
                  <w:sz w:val="18"/>
                  <w:color w:val="1155CC"/>
                  <w:u w:val="single"/>
                </w:rPr>
                <w:t xml:space="preserve">pubmed.ncbi.nlm.nih.gov/8479461 - pancreatitis &amp; risk of pancreatic cancer</w:t>
              </w:r>
            </w:hyperlink>
          </w:p>
          <w:p>
            <w:pPr>
              <w:spacing w:before="60" w:after="40"/>
            </w:pPr>
            <w:r>
              <w:rPr>
                <w:rFonts w:ascii="Calibri" w:hAnsi="Calibri"/>
                <w:b w:val="0"/>
                <w:i w:val="0"/>
                <w:color w:val="5A5A5A"/>
                <w:sz w:val="18"/>
              </w:rPr>
              <w:t>#pancreaticcancer  #surveillance  #hereditary  #smoking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is less central than in acute pancreatitis, but in chronic disease maintaining muscle mass and weight-bearing activity protects against the sarcopenia, osteoporosis and poor glycaemic control that accompany malnutrition and type 3c diabetes.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is pivotal: antioxidant- and protein-poor diets are implicated in Indian idiopathic/tropical CP, large fatty meals precipitate pain, and management centres on small frequent low-fat meals, pancreatic enzyme replacement, and correction of fat-soluble vitamin and micronutrient deficiencies.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There is no strong direct link between sleep and chronic pancreatitis, though chronic pain, opioid use and coexisting alcohol-use disorder commonly disrupt sleep and worsen quality of life.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is an independent, dose-dependent risk factor that accelerates pancreatic calcification and the progression from recurrent acute to chronic pancreatitis, and it further increases the elevated pancreatic cancer risk, acting synergistically with alcohol.</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Chronic heavy drinking is the leading toxic-metabolic cause and is rising among Indian men; continued use after diagnosis accelerates pain, calcification and exocrine/endocrine failure, so abstinence is the single most important disease-modifying step.</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Alcohol-use disorder, unremitting chronic pain, opioid dependence and disability make depression and anxiety common in CP, and psychological distress in turn amplifies pain perception and undermines abstinence and self-care.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is supportive during painful flares and for managing diabetes, but water intake is not a primary driver of chronic disease as it can be in the resuscitation of acute pancreatitis.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There is no established causal link between caffeine or coffee intake and chronic pancreatitis.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General hygiene has little direct role, although the poverty and undernutrition associated with poor living conditions contribute to the tropical/nutritional phenotype and to worse outcomes.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Painful flares and progression are provoked by continued alcohol and tobacco, large fatty meals, ductal obstruction (strictures/stones), severe hypertriglyceridaemia, hypercalcaemia and offending drugs; each recurrent attack drives further fibrosis.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(drinks/day, years)</w:t>
            </w:r>
          </w:p>
        </w:tc>
        <w:tc>
          <w:tcPr>
            <w:tcW w:type="dxa" w:w="1655"/>
            <w:vAlign w:val="top"/>
          </w:tcPr>
          <w:p>
            <w:pPr>
              <w:spacing w:after="40" w:before="0" w:line="259" w:lineRule="auto"/>
            </w:pPr>
            <w:r>
              <w:rPr>
                <w:rFonts w:ascii="Calibri" w:hAnsi="Calibri"/>
                <w:b w:val="0"/>
                <w:i w:val="0"/>
                <w:color w:val="212121"/>
                <w:sz w:val="19"/>
              </w:rPr>
              <w:t>Men with alcohol-use disorder</w:t>
            </w:r>
          </w:p>
        </w:tc>
        <w:tc>
          <w:tcPr>
            <w:tcW w:type="dxa" w:w="1512"/>
            <w:vAlign w:val="top"/>
          </w:tcPr>
          <w:p>
            <w:pPr>
              <w:spacing w:after="40" w:before="0" w:line="259" w:lineRule="auto"/>
            </w:pPr>
            <w:r>
              <w:rPr>
                <w:rFonts w:ascii="Calibri" w:hAnsi="Calibri"/>
                <w:b w:val="0"/>
                <w:i w:val="0"/>
                <w:color w:val="212121"/>
                <w:sz w:val="19"/>
              </w:rPr>
              <w:t>0 (abstinence)</w:t>
            </w:r>
          </w:p>
        </w:tc>
        <w:tc>
          <w:tcPr>
            <w:tcW w:type="dxa" w:w="1512"/>
            <w:vAlign w:val="top"/>
          </w:tcPr>
          <w:p>
            <w:pPr>
              <w:spacing w:after="40" w:before="0" w:line="259" w:lineRule="auto"/>
            </w:pPr>
            <w:r>
              <w:rPr>
                <w:rFonts w:ascii="Calibri" w:hAnsi="Calibri"/>
                <w:b w:val="0"/>
                <w:i w:val="0"/>
                <w:color w:val="212121"/>
                <w:sz w:val="19"/>
              </w:rPr>
              <w:t>Chronic heavy intake (e.g. &gt;= 4-5 drinks/day for years)</w:t>
            </w:r>
          </w:p>
        </w:tc>
        <w:tc>
          <w:tcPr>
            <w:tcW w:type="dxa" w:w="1468"/>
            <w:vAlign w:val="top"/>
          </w:tcPr>
          <w:p>
            <w:pPr>
              <w:spacing w:after="60" w:line="259" w:lineRule="auto"/>
            </w:pPr>
            <w:r>
              <w:rPr>
                <w:rFonts w:ascii="Calibri" w:hAnsi="Calibri"/>
                <w:b w:val="0"/>
                <w:i w:val="0"/>
                <w:color w:val="212121"/>
                <w:sz w:val="19"/>
              </w:rPr>
              <w:t>Leading toxic cause; abstinence slows pain, calcification and glandular failure</w:t>
            </w:r>
          </w:p>
          <w:p>
            <w:pPr>
              <w:spacing w:after="40" w:line="252" w:lineRule="auto"/>
            </w:pPr>
            <w:hyperlink r:id="rId12">
              <w:r>
                <w:rPr>
                  <w:rFonts w:ascii="Calibri" w:hAnsi="Calibri" w:cs="Calibri"/>
                  <w:sz w:val="18"/>
                  <w:color w:val="1155CC"/>
                  <w:u w:val="single"/>
                </w:rPr>
                <w:t xml:space="preserve">https://www.ncbi.nlm.nih.gov/books/NBK482325/</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 / pack-years</w:t>
            </w:r>
          </w:p>
        </w:tc>
        <w:tc>
          <w:tcPr>
            <w:tcW w:type="dxa" w:w="1655"/>
            <w:vAlign w:val="top"/>
          </w:tcPr>
          <w:p>
            <w:pPr>
              <w:spacing w:after="40" w:before="0" w:line="259" w:lineRule="auto"/>
            </w:pPr>
            <w:r>
              <w:rPr>
                <w:rFonts w:ascii="Calibri" w:hAnsi="Calibri"/>
                <w:b w:val="0"/>
                <w:i w:val="0"/>
                <w:color w:val="212121"/>
                <w:sz w:val="19"/>
              </w:rPr>
              <w:t>Current smokers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 (risk rises with pack-years)</w:t>
            </w:r>
          </w:p>
        </w:tc>
        <w:tc>
          <w:tcPr>
            <w:tcW w:type="dxa" w:w="1468"/>
            <w:vAlign w:val="top"/>
          </w:tcPr>
          <w:p>
            <w:pPr>
              <w:spacing w:after="60" w:line="259" w:lineRule="auto"/>
            </w:pPr>
            <w:r>
              <w:rPr>
                <w:rFonts w:ascii="Calibri" w:hAnsi="Calibri"/>
                <w:b w:val="0"/>
                <w:i w:val="0"/>
                <w:color w:val="212121"/>
                <w:sz w:val="19"/>
              </w:rPr>
              <w:t>Independent, dose-dependent driver of calcification, progression and cancer</w:t>
            </w:r>
          </w:p>
          <w:p>
            <w:pPr>
              <w:spacing w:after="40" w:line="252" w:lineRule="auto"/>
            </w:pPr>
            <w:hyperlink r:id="rId13">
              <w:r>
                <w:rPr>
                  <w:rFonts w:ascii="Calibri" w:hAnsi="Calibri" w:cs="Calibri"/>
                  <w:sz w:val="18"/>
                  <w:color w:val="1155CC"/>
                  <w:u w:val="single"/>
                </w:rPr>
                <w:t xml:space="preserve">https://journals.plos.org/plosone/article?id=10.1371/journal.pone.0124075</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(Asian-Indian, kg/m2)</w:t>
            </w:r>
          </w:p>
        </w:tc>
        <w:tc>
          <w:tcPr>
            <w:tcW w:type="dxa" w:w="1655"/>
            <w:vAlign w:val="top"/>
          </w:tcPr>
          <w:p>
            <w:pPr>
              <w:spacing w:after="40" w:before="0" w:line="259" w:lineRule="auto"/>
            </w:pPr>
            <w:r>
              <w:rPr>
                <w:rFonts w:ascii="Calibri" w:hAnsi="Calibri"/>
                <w:b w:val="0"/>
                <w:i w:val="0"/>
                <w:color w:val="212121"/>
                <w:sz w:val="19"/>
              </w:rPr>
              <w:t>Malnourished CP patients</w:t>
            </w:r>
          </w:p>
        </w:tc>
        <w:tc>
          <w:tcPr>
            <w:tcW w:type="dxa" w:w="1512"/>
            <w:vAlign w:val="top"/>
          </w:tcPr>
          <w:p>
            <w:pPr>
              <w:spacing w:after="40" w:before="0" w:line="259" w:lineRule="auto"/>
            </w:pPr>
            <w:r>
              <w:rPr>
                <w:rFonts w:ascii="Calibri" w:hAnsi="Calibri"/>
                <w:b w:val="0"/>
                <w:i w:val="0"/>
                <w:color w:val="212121"/>
                <w:sz w:val="19"/>
              </w:rPr>
              <w:t>18.5-22.9 kg/m2</w:t>
            </w:r>
          </w:p>
        </w:tc>
        <w:tc>
          <w:tcPr>
            <w:tcW w:type="dxa" w:w="1512"/>
            <w:vAlign w:val="top"/>
          </w:tcPr>
          <w:p>
            <w:pPr>
              <w:spacing w:after="40" w:before="0" w:line="259" w:lineRule="auto"/>
            </w:pPr>
            <w:r>
              <w:rPr>
                <w:rFonts w:ascii="Calibri" w:hAnsi="Calibri"/>
                <w:b w:val="0"/>
                <w:i w:val="0"/>
                <w:color w:val="212121"/>
                <w:sz w:val="19"/>
              </w:rPr>
              <w:t>&lt; 18.5 (undernutrition); falling weight</w:t>
            </w:r>
          </w:p>
        </w:tc>
        <w:tc>
          <w:tcPr>
            <w:tcW w:type="dxa" w:w="1468"/>
            <w:vAlign w:val="top"/>
          </w:tcPr>
          <w:p>
            <w:pPr>
              <w:spacing w:after="40" w:before="0" w:line="259" w:lineRule="auto"/>
            </w:pPr>
            <w:r>
              <w:rPr>
                <w:rFonts w:ascii="Calibri" w:hAnsi="Calibri"/>
                <w:b w:val="0"/>
                <w:i w:val="0"/>
                <w:color w:val="212121"/>
                <w:sz w:val="19"/>
              </w:rPr>
              <w:t>CP typically causes weight loss; low BMI and sarcopenia worsen outcomes</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Faecal elastase-1 (microg/g)</w:t>
            </w:r>
          </w:p>
        </w:tc>
        <w:tc>
          <w:tcPr>
            <w:tcW w:type="dxa" w:w="1655"/>
            <w:vAlign w:val="top"/>
          </w:tcPr>
          <w:p>
            <w:pPr>
              <w:spacing w:after="40" w:before="0" w:line="259" w:lineRule="auto"/>
            </w:pPr>
            <w:r>
              <w:rPr>
                <w:rFonts w:ascii="Calibri" w:hAnsi="Calibri"/>
                <w:b w:val="0"/>
                <w:i w:val="0"/>
                <w:color w:val="212121"/>
                <w:sz w:val="19"/>
              </w:rPr>
              <w:t>Patients with suspected maldigestion</w:t>
            </w:r>
          </w:p>
        </w:tc>
        <w:tc>
          <w:tcPr>
            <w:tcW w:type="dxa" w:w="1512"/>
            <w:vAlign w:val="top"/>
          </w:tcPr>
          <w:p>
            <w:pPr>
              <w:spacing w:after="40" w:before="0" w:line="259" w:lineRule="auto"/>
            </w:pPr>
            <w:r>
              <w:rPr>
                <w:rFonts w:ascii="Calibri" w:hAnsi="Calibri"/>
                <w:b w:val="0"/>
                <w:i w:val="0"/>
                <w:color w:val="212121"/>
                <w:sz w:val="19"/>
              </w:rPr>
              <w:t>&gt; 200 microg/g</w:t>
            </w:r>
          </w:p>
        </w:tc>
        <w:tc>
          <w:tcPr>
            <w:tcW w:type="dxa" w:w="1512"/>
            <w:vAlign w:val="top"/>
          </w:tcPr>
          <w:p>
            <w:pPr>
              <w:spacing w:after="40" w:before="0" w:line="259" w:lineRule="auto"/>
            </w:pPr>
            <w:r>
              <w:rPr>
                <w:rFonts w:ascii="Calibri" w:hAnsi="Calibri"/>
                <w:b w:val="0"/>
                <w:i w:val="0"/>
                <w:color w:val="212121"/>
                <w:sz w:val="19"/>
              </w:rPr>
              <w:t>&lt; 200 (insufficiency); &lt; 100 (severe)</w:t>
            </w:r>
          </w:p>
        </w:tc>
        <w:tc>
          <w:tcPr>
            <w:tcW w:type="dxa" w:w="1468"/>
            <w:vAlign w:val="top"/>
          </w:tcPr>
          <w:p>
            <w:pPr>
              <w:spacing w:after="60" w:line="259" w:lineRule="auto"/>
            </w:pPr>
            <w:r>
              <w:rPr>
                <w:rFonts w:ascii="Calibri" w:hAnsi="Calibri"/>
                <w:b w:val="0"/>
                <w:i w:val="0"/>
                <w:color w:val="212121"/>
                <w:sz w:val="19"/>
              </w:rPr>
              <w:t>Non-invasive marker of exocrine insufficiency; guides enzyme replacement</w:t>
            </w:r>
          </w:p>
          <w:p>
            <w:pPr>
              <w:spacing w:after="40" w:line="252" w:lineRule="auto"/>
            </w:pPr>
            <w:hyperlink r:id="rId16">
              <w:r>
                <w:rPr>
                  <w:rFonts w:ascii="Calibri" w:hAnsi="Calibri" w:cs="Calibri"/>
                  <w:sz w:val="18"/>
                  <w:color w:val="1155CC"/>
                  <w:u w:val="single"/>
                </w:rPr>
                <w:t xml:space="preserve">https://www.ncbi.nlm.nih.gov/books/NBK555926/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glucose / HbA1c</w:t>
            </w:r>
          </w:p>
        </w:tc>
        <w:tc>
          <w:tcPr>
            <w:tcW w:type="dxa" w:w="1655"/>
            <w:vAlign w:val="top"/>
          </w:tcPr>
          <w:p>
            <w:pPr>
              <w:spacing w:after="40" w:before="0" w:line="259" w:lineRule="auto"/>
            </w:pPr>
            <w:r>
              <w:rPr>
                <w:rFonts w:ascii="Calibri" w:hAnsi="Calibri"/>
                <w:b w:val="0"/>
                <w:i w:val="0"/>
                <w:color w:val="212121"/>
                <w:sz w:val="19"/>
              </w:rPr>
              <w:t>Patients at risk of type 3c diabetes</w:t>
            </w:r>
          </w:p>
        </w:tc>
        <w:tc>
          <w:tcPr>
            <w:tcW w:type="dxa" w:w="1512"/>
            <w:vAlign w:val="top"/>
          </w:tcPr>
          <w:p>
            <w:pPr>
              <w:spacing w:after="40" w:before="0" w:line="259" w:lineRule="auto"/>
            </w:pPr>
            <w:r>
              <w:rPr>
                <w:rFonts w:ascii="Calibri" w:hAnsi="Calibri"/>
                <w:b w:val="0"/>
                <w:i w:val="0"/>
                <w:color w:val="212121"/>
                <w:sz w:val="19"/>
              </w:rPr>
              <w:t>FBS 70-99 mg/dL; HbA1c &lt; 5.7%</w:t>
            </w:r>
          </w:p>
        </w:tc>
        <w:tc>
          <w:tcPr>
            <w:tcW w:type="dxa" w:w="1512"/>
            <w:vAlign w:val="top"/>
          </w:tcPr>
          <w:p>
            <w:pPr>
              <w:spacing w:after="40" w:before="0" w:line="259" w:lineRule="auto"/>
            </w:pPr>
            <w:r>
              <w:rPr>
                <w:rFonts w:ascii="Calibri" w:hAnsi="Calibri"/>
                <w:b w:val="0"/>
                <w:i w:val="0"/>
                <w:color w:val="212121"/>
                <w:sz w:val="19"/>
              </w:rPr>
              <w:t>FBS &gt;= 126 mg/dL; HbA1c &gt;= 6.5%</w:t>
            </w:r>
          </w:p>
        </w:tc>
        <w:tc>
          <w:tcPr>
            <w:tcW w:type="dxa" w:w="1468"/>
            <w:vAlign w:val="top"/>
          </w:tcPr>
          <w:p>
            <w:pPr>
              <w:spacing w:after="60" w:line="259" w:lineRule="auto"/>
            </w:pPr>
            <w:r>
              <w:rPr>
                <w:rFonts w:ascii="Calibri" w:hAnsi="Calibri"/>
                <w:b w:val="0"/>
                <w:i w:val="0"/>
                <w:color w:val="212121"/>
                <w:sz w:val="19"/>
              </w:rPr>
              <w:t>Detects pancreatogenic (type 3c)/fibrocalculous diabetes; screen periodically</w:t>
            </w:r>
          </w:p>
          <w:p>
            <w:pPr>
              <w:spacing w:after="40" w:line="252" w:lineRule="auto"/>
            </w:pPr>
            <w:hyperlink r:id="rId15">
              <w:r>
                <w:rPr>
                  <w:rFonts w:ascii="Calibri" w:hAnsi="Calibri" w:cs="Calibri"/>
                  <w:sz w:val="18"/>
                  <w:color w:val="1155CC"/>
                  <w:u w:val="single"/>
                </w:rPr>
                <w:t xml:space="preserve">https://pancreapedia.org/reviews/pancreatogenic-type-3c-diabetes</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Fasting serum triglycerides (mg/dL)</w:t>
            </w:r>
          </w:p>
        </w:tc>
        <w:tc>
          <w:tcPr>
            <w:tcW w:type="dxa" w:w="1655"/>
            <w:vAlign w:val="top"/>
          </w:tcPr>
          <w:p>
            <w:pPr>
              <w:spacing w:after="40" w:before="0" w:line="259" w:lineRule="auto"/>
            </w:pPr>
            <w:r>
              <w:rPr>
                <w:rFonts w:ascii="Calibri" w:hAnsi="Calibri"/>
                <w:b w:val="0"/>
                <w:i w:val="0"/>
                <w:color w:val="212121"/>
                <w:sz w:val="19"/>
              </w:rPr>
              <w:t>Diabetic, obese, alcohol-using patients</w:t>
            </w:r>
          </w:p>
        </w:tc>
        <w:tc>
          <w:tcPr>
            <w:tcW w:type="dxa" w:w="1512"/>
            <w:vAlign w:val="top"/>
          </w:tcPr>
          <w:p>
            <w:pPr>
              <w:spacing w:after="40" w:before="0" w:line="259" w:lineRule="auto"/>
            </w:pPr>
            <w:r>
              <w:rPr>
                <w:rFonts w:ascii="Calibri" w:hAnsi="Calibri"/>
                <w:b w:val="0"/>
                <w:i w:val="0"/>
                <w:color w:val="212121"/>
                <w:sz w:val="19"/>
              </w:rPr>
              <w:t>&lt; 150 mg/dL</w:t>
            </w:r>
          </w:p>
        </w:tc>
        <w:tc>
          <w:tcPr>
            <w:tcW w:type="dxa" w:w="1512"/>
            <w:vAlign w:val="top"/>
          </w:tcPr>
          <w:p>
            <w:pPr>
              <w:spacing w:after="40" w:before="0" w:line="259" w:lineRule="auto"/>
            </w:pPr>
            <w:r>
              <w:rPr>
                <w:rFonts w:ascii="Calibri" w:hAnsi="Calibri"/>
                <w:b w:val="0"/>
                <w:i w:val="0"/>
                <w:color w:val="212121"/>
                <w:sz w:val="19"/>
              </w:rPr>
              <w:t>&gt;= 500 mg/dL (risk); &gt;= 1000 mg/dL (high risk)</w:t>
            </w:r>
          </w:p>
        </w:tc>
        <w:tc>
          <w:tcPr>
            <w:tcW w:type="dxa" w:w="1468"/>
            <w:vAlign w:val="top"/>
          </w:tcPr>
          <w:p>
            <w:pPr>
              <w:spacing w:after="60" w:line="259" w:lineRule="auto"/>
            </w:pPr>
            <w:r>
              <w:rPr>
                <w:rFonts w:ascii="Calibri" w:hAnsi="Calibri"/>
                <w:b w:val="0"/>
                <w:i w:val="0"/>
                <w:color w:val="212121"/>
                <w:sz w:val="19"/>
              </w:rPr>
              <w:t>A recognised toxic-metabolic cause and a precipitant of recurrent attacks</w:t>
            </w:r>
          </w:p>
          <w:p>
            <w:pPr>
              <w:spacing w:after="40" w:line="252" w:lineRule="auto"/>
            </w:pPr>
            <w:hyperlink r:id="rId12">
              <w:r>
                <w:rPr>
                  <w:rFonts w:ascii="Calibri" w:hAnsi="Calibri" w:cs="Calibri"/>
                  <w:sz w:val="18"/>
                  <w:color w:val="1155CC"/>
                  <w:u w:val="single"/>
                </w:rPr>
                <w:t xml:space="preserve">https://www.ncbi.nlm.nih.gov/books/NBK482325/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calcium (mg/dL)</w:t>
            </w:r>
          </w:p>
        </w:tc>
        <w:tc>
          <w:tcPr>
            <w:tcW w:type="dxa" w:w="1655"/>
            <w:vAlign w:val="top"/>
          </w:tcPr>
          <w:p>
            <w:pPr>
              <w:spacing w:after="40" w:before="0" w:line="259" w:lineRule="auto"/>
            </w:pPr>
            <w:r>
              <w:rPr>
                <w:rFonts w:ascii="Calibri" w:hAnsi="Calibri"/>
                <w:b w:val="0"/>
                <w:i w:val="0"/>
                <w:color w:val="212121"/>
                <w:sz w:val="19"/>
              </w:rPr>
              <w:t>Hyperparathyroidism / at-risk adults</w:t>
            </w:r>
          </w:p>
        </w:tc>
        <w:tc>
          <w:tcPr>
            <w:tcW w:type="dxa" w:w="1512"/>
            <w:vAlign w:val="top"/>
          </w:tcPr>
          <w:p>
            <w:pPr>
              <w:spacing w:after="40" w:before="0" w:line="259" w:lineRule="auto"/>
            </w:pPr>
            <w:r>
              <w:rPr>
                <w:rFonts w:ascii="Calibri" w:hAnsi="Calibri"/>
                <w:b w:val="0"/>
                <w:i w:val="0"/>
                <w:color w:val="212121"/>
                <w:sz w:val="19"/>
              </w:rPr>
              <w:t>8.5-10.5 mg/dL</w:t>
            </w:r>
          </w:p>
        </w:tc>
        <w:tc>
          <w:tcPr>
            <w:tcW w:type="dxa" w:w="1512"/>
            <w:vAlign w:val="top"/>
          </w:tcPr>
          <w:p>
            <w:pPr>
              <w:spacing w:after="40" w:before="0" w:line="259" w:lineRule="auto"/>
            </w:pPr>
            <w:r>
              <w:rPr>
                <w:rFonts w:ascii="Calibri" w:hAnsi="Calibri"/>
                <w:b w:val="0"/>
                <w:i w:val="0"/>
                <w:color w:val="212121"/>
                <w:sz w:val="19"/>
              </w:rPr>
              <w:t>&gt; 10.5 mg/dL</w:t>
            </w:r>
          </w:p>
        </w:tc>
        <w:tc>
          <w:tcPr>
            <w:tcW w:type="dxa" w:w="1468"/>
            <w:vAlign w:val="top"/>
          </w:tcPr>
          <w:p>
            <w:pPr>
              <w:spacing w:after="60" w:line="259" w:lineRule="auto"/>
            </w:pPr>
            <w:r>
              <w:rPr>
                <w:rFonts w:ascii="Calibri" w:hAnsi="Calibri"/>
                <w:b w:val="0"/>
                <w:i w:val="0"/>
                <w:color w:val="212121"/>
                <w:sz w:val="19"/>
              </w:rPr>
              <w:t>Hypercalcaemia is a toxic-metabolic cause promoting enzyme activation and ductal stones</w:t>
            </w:r>
          </w:p>
          <w:p>
            <w:pPr>
              <w:spacing w:after="40" w:line="252" w:lineRule="auto"/>
            </w:pPr>
            <w:hyperlink r:id="rId12">
              <w:r>
                <w:rPr>
                  <w:rFonts w:ascii="Calibri" w:hAnsi="Calibri" w:cs="Calibri"/>
                  <w:sz w:val="18"/>
                  <w:color w:val="1155CC"/>
                  <w:u w:val="single"/>
                </w:rPr>
                <w:t xml:space="preserve">https://www.ncbi.nlm.nih.gov/books/NBK482325/</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25-hydroxy vitamin D (ng/mL)</w:t>
            </w:r>
          </w:p>
        </w:tc>
        <w:tc>
          <w:tcPr>
            <w:tcW w:type="dxa" w:w="1655"/>
            <w:vAlign w:val="top"/>
          </w:tcPr>
          <w:p>
            <w:pPr>
              <w:spacing w:after="40" w:before="0" w:line="259" w:lineRule="auto"/>
            </w:pPr>
            <w:r>
              <w:rPr>
                <w:rFonts w:ascii="Calibri" w:hAnsi="Calibri"/>
                <w:b w:val="0"/>
                <w:i w:val="0"/>
                <w:color w:val="212121"/>
                <w:sz w:val="19"/>
              </w:rPr>
              <w:t>Malabsorbing / malnourished CP patients</w:t>
            </w:r>
          </w:p>
        </w:tc>
        <w:tc>
          <w:tcPr>
            <w:tcW w:type="dxa" w:w="1512"/>
            <w:vAlign w:val="top"/>
          </w:tcPr>
          <w:p>
            <w:pPr>
              <w:spacing w:after="40" w:before="0" w:line="259" w:lineRule="auto"/>
            </w:pPr>
            <w:r>
              <w:rPr>
                <w:rFonts w:ascii="Calibri" w:hAnsi="Calibri"/>
                <w:b w:val="0"/>
                <w:i w:val="0"/>
                <w:color w:val="212121"/>
                <w:sz w:val="19"/>
              </w:rPr>
              <w:t>&gt;= 30 ng/mL</w:t>
            </w:r>
          </w:p>
        </w:tc>
        <w:tc>
          <w:tcPr>
            <w:tcW w:type="dxa" w:w="1512"/>
            <w:vAlign w:val="top"/>
          </w:tcPr>
          <w:p>
            <w:pPr>
              <w:spacing w:after="40" w:before="0" w:line="259" w:lineRule="auto"/>
            </w:pPr>
            <w:r>
              <w:rPr>
                <w:rFonts w:ascii="Calibri" w:hAnsi="Calibri"/>
                <w:b w:val="0"/>
                <w:i w:val="0"/>
                <w:color w:val="212121"/>
                <w:sz w:val="19"/>
              </w:rPr>
              <w:t>&lt; 20 ng/mL (deficiency)</w:t>
            </w:r>
          </w:p>
        </w:tc>
        <w:tc>
          <w:tcPr>
            <w:tcW w:type="dxa" w:w="1468"/>
            <w:vAlign w:val="top"/>
          </w:tcPr>
          <w:p>
            <w:pPr>
              <w:spacing w:after="60" w:line="259" w:lineRule="auto"/>
            </w:pPr>
            <w:r>
              <w:rPr>
                <w:rFonts w:ascii="Calibri" w:hAnsi="Calibri"/>
                <w:b w:val="0"/>
                <w:i w:val="0"/>
                <w:color w:val="212121"/>
                <w:sz w:val="19"/>
              </w:rPr>
              <w:t>Fat-soluble vitamin loss drives metabolic bone disease; supplement and monitor</w:t>
            </w:r>
          </w:p>
          <w:p>
            <w:pPr>
              <w:spacing w:after="40" w:line="252" w:lineRule="auto"/>
            </w:pPr>
            <w:hyperlink r:id="rId11">
              <w:r>
                <w:rPr>
                  <w:rFonts w:ascii="Calibri" w:hAnsi="Calibri" w:cs="Calibri"/>
                  <w:sz w:val="18"/>
                  <w:color w:val="1155CC"/>
                  <w:u w:val="single"/>
                </w:rPr>
                <w:t xml:space="preserve">https://actascientific.com/ASGIS/pdf/ASGIS-02-0070.pdf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albumin / nutritional status</w:t>
            </w:r>
          </w:p>
        </w:tc>
        <w:tc>
          <w:tcPr>
            <w:tcW w:type="dxa" w:w="1655"/>
            <w:vAlign w:val="top"/>
          </w:tcPr>
          <w:p>
            <w:pPr>
              <w:spacing w:after="40" w:before="0" w:line="259" w:lineRule="auto"/>
            </w:pPr>
            <w:r>
              <w:rPr>
                <w:rFonts w:ascii="Calibri" w:hAnsi="Calibri"/>
                <w:b w:val="0"/>
                <w:i w:val="0"/>
                <w:color w:val="212121"/>
                <w:sz w:val="19"/>
              </w:rPr>
              <w:t>Patients with steatorrhoea and weight loss</w:t>
            </w:r>
          </w:p>
        </w:tc>
        <w:tc>
          <w:tcPr>
            <w:tcW w:type="dxa" w:w="1512"/>
            <w:vAlign w:val="top"/>
          </w:tcPr>
          <w:p>
            <w:pPr>
              <w:spacing w:after="40" w:before="0" w:line="259" w:lineRule="auto"/>
            </w:pPr>
            <w:r>
              <w:rPr>
                <w:rFonts w:ascii="Calibri" w:hAnsi="Calibri"/>
                <w:b w:val="0"/>
                <w:i w:val="0"/>
                <w:color w:val="212121"/>
                <w:sz w:val="19"/>
              </w:rPr>
              <w:t>&gt;= 3.5 g/dL; stable weight</w:t>
            </w:r>
          </w:p>
        </w:tc>
        <w:tc>
          <w:tcPr>
            <w:tcW w:type="dxa" w:w="1512"/>
            <w:vAlign w:val="top"/>
          </w:tcPr>
          <w:p>
            <w:pPr>
              <w:spacing w:after="40" w:before="0" w:line="259" w:lineRule="auto"/>
            </w:pPr>
            <w:r>
              <w:rPr>
                <w:rFonts w:ascii="Calibri" w:hAnsi="Calibri"/>
                <w:b w:val="0"/>
                <w:i w:val="0"/>
                <w:color w:val="212121"/>
                <w:sz w:val="19"/>
              </w:rPr>
              <w:t>&lt; 3.5 g/dL; ongoing weight loss</w:t>
            </w:r>
          </w:p>
        </w:tc>
        <w:tc>
          <w:tcPr>
            <w:tcW w:type="dxa" w:w="1468"/>
            <w:vAlign w:val="top"/>
          </w:tcPr>
          <w:p>
            <w:pPr>
              <w:spacing w:after="60" w:line="259" w:lineRule="auto"/>
            </w:pPr>
            <w:r>
              <w:rPr>
                <w:rFonts w:ascii="Calibri" w:hAnsi="Calibri"/>
                <w:b w:val="0"/>
                <w:i w:val="0"/>
                <w:color w:val="212121"/>
                <w:sz w:val="19"/>
              </w:rPr>
              <w:t>Marks protein-energy malnutrition; triggers dietitian input and PERT</w:t>
            </w:r>
          </w:p>
          <w:p>
            <w:pPr>
              <w:spacing w:after="40" w:line="252" w:lineRule="auto"/>
            </w:pPr>
            <w:hyperlink r:id="rId16">
              <w:r>
                <w:rPr>
                  <w:rFonts w:ascii="Calibri" w:hAnsi="Calibri" w:cs="Calibri"/>
                  <w:sz w:val="18"/>
                  <w:color w:val="1155CC"/>
                  <w:u w:val="single"/>
                </w:rPr>
                <w:t xml:space="preserve">https://www.ncbi.nlm.nih.gov/books/NBK555926/</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Faecal fat (72-hour) / steatorrhoea</w:t>
            </w:r>
          </w:p>
        </w:tc>
        <w:tc>
          <w:tcPr>
            <w:tcW w:type="dxa" w:w="1655"/>
            <w:vAlign w:val="top"/>
          </w:tcPr>
          <w:p>
            <w:pPr>
              <w:spacing w:after="40" w:before="0" w:line="259" w:lineRule="auto"/>
            </w:pPr>
            <w:r>
              <w:rPr>
                <w:rFonts w:ascii="Calibri" w:hAnsi="Calibri"/>
                <w:b w:val="0"/>
                <w:i w:val="0"/>
                <w:color w:val="212121"/>
                <w:sz w:val="19"/>
              </w:rPr>
              <w:t>Patients with greasy, foul stools</w:t>
            </w:r>
          </w:p>
        </w:tc>
        <w:tc>
          <w:tcPr>
            <w:tcW w:type="dxa" w:w="1512"/>
            <w:vAlign w:val="top"/>
          </w:tcPr>
          <w:p>
            <w:pPr>
              <w:spacing w:after="40" w:before="0" w:line="259" w:lineRule="auto"/>
            </w:pPr>
            <w:r>
              <w:rPr>
                <w:rFonts w:ascii="Calibri" w:hAnsi="Calibri"/>
                <w:b w:val="0"/>
                <w:i w:val="0"/>
                <w:color w:val="212121"/>
                <w:sz w:val="19"/>
              </w:rPr>
              <w:t>&lt; 7 g fat/day</w:t>
            </w:r>
          </w:p>
        </w:tc>
        <w:tc>
          <w:tcPr>
            <w:tcW w:type="dxa" w:w="1512"/>
            <w:vAlign w:val="top"/>
          </w:tcPr>
          <w:p>
            <w:pPr>
              <w:spacing w:after="40" w:before="0" w:line="259" w:lineRule="auto"/>
            </w:pPr>
            <w:r>
              <w:rPr>
                <w:rFonts w:ascii="Calibri" w:hAnsi="Calibri"/>
                <w:b w:val="0"/>
                <w:i w:val="0"/>
                <w:color w:val="212121"/>
                <w:sz w:val="19"/>
              </w:rPr>
              <w:t>&gt; 7 g/day (steatorrhoea)</w:t>
            </w:r>
          </w:p>
        </w:tc>
        <w:tc>
          <w:tcPr>
            <w:tcW w:type="dxa" w:w="1468"/>
            <w:vAlign w:val="top"/>
          </w:tcPr>
          <w:p>
            <w:pPr>
              <w:spacing w:after="60" w:line="259" w:lineRule="auto"/>
            </w:pPr>
            <w:r>
              <w:rPr>
                <w:rFonts w:ascii="Calibri" w:hAnsi="Calibri"/>
                <w:b w:val="0"/>
                <w:i w:val="0"/>
                <w:color w:val="212121"/>
                <w:sz w:val="19"/>
              </w:rPr>
              <w:t>Confirms clinically significant fat maldigestion needing enzyme replacement</w:t>
            </w:r>
          </w:p>
          <w:p>
            <w:pPr>
              <w:spacing w:after="40" w:line="252" w:lineRule="auto"/>
            </w:pPr>
            <w:hyperlink r:id="rId16">
              <w:r>
                <w:rPr>
                  <w:rFonts w:ascii="Calibri" w:hAnsi="Calibri" w:cs="Calibri"/>
                  <w:sz w:val="18"/>
                  <w:color w:val="1155CC"/>
                  <w:u w:val="single"/>
                </w:rPr>
                <w:t xml:space="preserve">https://www.ncbi.nlm.nih.gov/books/NBK555926/</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Faecal elastase-1 (FE-1)</w:t>
            </w:r>
          </w:p>
        </w:tc>
        <w:tc>
          <w:tcPr>
            <w:tcW w:type="dxa" w:w="892"/>
            <w:vAlign w:val="top"/>
          </w:tcPr>
          <w:p>
            <w:pPr>
              <w:spacing w:after="40" w:before="0" w:line="259" w:lineRule="auto"/>
            </w:pPr>
            <w:r>
              <w:rPr>
                <w:rFonts w:ascii="Calibri" w:hAnsi="Calibri"/>
                <w:b w:val="0"/>
                <w:i w:val="0"/>
                <w:color w:val="212121"/>
                <w:sz w:val="16"/>
              </w:rPr>
              <w:t>Pancreatic exocrine function test</w:t>
            </w:r>
          </w:p>
        </w:tc>
        <w:tc>
          <w:tcPr>
            <w:tcW w:type="dxa" w:w="950"/>
            <w:vAlign w:val="top"/>
          </w:tcPr>
          <w:p>
            <w:pPr>
              <w:spacing w:after="40" w:before="0" w:line="259" w:lineRule="auto"/>
            </w:pPr>
            <w:r>
              <w:rPr>
                <w:rFonts w:ascii="Calibri" w:hAnsi="Calibri"/>
                <w:b w:val="0"/>
                <w:i w:val="0"/>
                <w:color w:val="212121"/>
                <w:sz w:val="16"/>
              </w:rPr>
              <w:t>&gt; 200 microg/g stool</w:t>
            </w:r>
          </w:p>
        </w:tc>
        <w:tc>
          <w:tcPr>
            <w:tcW w:type="dxa" w:w="950"/>
            <w:vAlign w:val="top"/>
          </w:tcPr>
          <w:p>
            <w:pPr>
              <w:spacing w:after="40" w:before="0" w:line="259" w:lineRule="auto"/>
            </w:pPr>
            <w:r>
              <w:rPr>
                <w:rFonts w:ascii="Calibri" w:hAnsi="Calibri"/>
                <w:b w:val="0"/>
                <w:i w:val="0"/>
                <w:color w:val="212121"/>
                <w:sz w:val="16"/>
              </w:rPr>
              <w:t>&lt; 200 (insufficiency); &lt; 100 (severe)</w:t>
            </w:r>
          </w:p>
        </w:tc>
        <w:tc>
          <w:tcPr>
            <w:tcW w:type="dxa" w:w="1036"/>
            <w:vAlign w:val="top"/>
          </w:tcPr>
          <w:p>
            <w:pPr>
              <w:spacing w:after="40" w:before="0" w:line="259" w:lineRule="auto"/>
            </w:pPr>
            <w:r>
              <w:rPr>
                <w:rFonts w:ascii="Calibri" w:hAnsi="Calibri"/>
                <w:b w:val="0"/>
                <w:i w:val="0"/>
                <w:color w:val="212121"/>
                <w:sz w:val="16"/>
              </w:rPr>
              <w:t>Non-invasive test for exocrine insufficiency; low levels confirm maldigestion</w:t>
            </w:r>
          </w:p>
        </w:tc>
        <w:tc>
          <w:tcPr>
            <w:tcW w:type="dxa" w:w="1036"/>
            <w:vAlign w:val="top"/>
          </w:tcPr>
          <w:p>
            <w:pPr>
              <w:spacing w:after="40" w:before="0" w:line="259" w:lineRule="auto"/>
            </w:pPr>
            <w:r>
              <w:rPr>
                <w:rFonts w:ascii="Calibri" w:hAnsi="Calibri"/>
                <w:b w:val="0"/>
                <w:i w:val="0"/>
                <w:color w:val="212121"/>
                <w:sz w:val="16"/>
              </w:rPr>
              <w:t>Patients with steatorrhoea, weight loss, established CP</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First-line function test</w:t>
            </w:r>
          </w:p>
        </w:tc>
        <w:tc>
          <w:tcPr>
            <w:tcW w:type="dxa" w:w="720"/>
            <w:vAlign w:val="top"/>
          </w:tcPr>
          <w:p>
            <w:pPr>
              <w:spacing w:after="40" w:before="0" w:line="259" w:lineRule="auto"/>
            </w:pPr>
            <w:r>
              <w:rPr>
                <w:rFonts w:ascii="Calibri" w:hAnsi="Calibri"/>
                <w:b w:val="0"/>
                <w:i w:val="0"/>
                <w:color w:val="212121"/>
                <w:sz w:val="16"/>
              </w:rPr>
              <w:t>Falsely low in watery/diluted stool; unaffected by exogenous enzymes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&amp; HbA1c</w:t>
            </w:r>
          </w:p>
        </w:tc>
        <w:tc>
          <w:tcPr>
            <w:tcW w:type="dxa" w:w="892"/>
            <w:vAlign w:val="top"/>
          </w:tcPr>
          <w:p>
            <w:pPr>
              <w:spacing w:after="40" w:before="0" w:line="259" w:lineRule="auto"/>
            </w:pPr>
            <w:r>
              <w:rPr>
                <w:rFonts w:ascii="Calibri" w:hAnsi="Calibri"/>
                <w:b w:val="0"/>
                <w:i w:val="0"/>
                <w:color w:val="212121"/>
                <w:sz w:val="16"/>
              </w:rPr>
              <w:t>Glycaemic assessment</w:t>
            </w:r>
          </w:p>
        </w:tc>
        <w:tc>
          <w:tcPr>
            <w:tcW w:type="dxa" w:w="950"/>
            <w:vAlign w:val="top"/>
          </w:tcPr>
          <w:p>
            <w:pPr>
              <w:spacing w:after="40" w:before="0" w:line="259" w:lineRule="auto"/>
            </w:pPr>
            <w:r>
              <w:rPr>
                <w:rFonts w:ascii="Calibri" w:hAnsi="Calibri"/>
                <w:b w:val="0"/>
                <w:i w:val="0"/>
                <w:color w:val="212121"/>
                <w:sz w:val="16"/>
              </w:rPr>
              <w:t>FBS 70-99 mg/dL; HbA1c &lt; 5.7%</w:t>
            </w:r>
          </w:p>
        </w:tc>
        <w:tc>
          <w:tcPr>
            <w:tcW w:type="dxa" w:w="950"/>
            <w:vAlign w:val="top"/>
          </w:tcPr>
          <w:p>
            <w:pPr>
              <w:spacing w:after="40" w:before="0" w:line="259" w:lineRule="auto"/>
            </w:pPr>
            <w:r>
              <w:rPr>
                <w:rFonts w:ascii="Calibri" w:hAnsi="Calibri"/>
                <w:b w:val="0"/>
                <w:i w:val="0"/>
                <w:color w:val="212121"/>
                <w:sz w:val="16"/>
              </w:rPr>
              <w:t>FBS &gt;= 126 mg/dL; HbA1c &gt;= 6.5%</w:t>
            </w:r>
          </w:p>
        </w:tc>
        <w:tc>
          <w:tcPr>
            <w:tcW w:type="dxa" w:w="1036"/>
            <w:vAlign w:val="top"/>
          </w:tcPr>
          <w:p>
            <w:pPr>
              <w:spacing w:after="40" w:before="0" w:line="259" w:lineRule="auto"/>
            </w:pPr>
            <w:r>
              <w:rPr>
                <w:rFonts w:ascii="Calibri" w:hAnsi="Calibri"/>
                <w:b w:val="0"/>
                <w:i w:val="0"/>
                <w:color w:val="212121"/>
                <w:sz w:val="16"/>
              </w:rPr>
              <w:t>Detects pancreatogenic (type 3c)/fibrocalculous diabetes from islet loss</w:t>
            </w:r>
          </w:p>
        </w:tc>
        <w:tc>
          <w:tcPr>
            <w:tcW w:type="dxa" w:w="1036"/>
            <w:vAlign w:val="top"/>
          </w:tcPr>
          <w:p>
            <w:pPr>
              <w:spacing w:after="40" w:before="0" w:line="259" w:lineRule="auto"/>
            </w:pPr>
            <w:r>
              <w:rPr>
                <w:rFonts w:ascii="Calibri" w:hAnsi="Calibri"/>
                <w:b w:val="0"/>
                <w:i w:val="0"/>
                <w:color w:val="212121"/>
                <w:sz w:val="16"/>
              </w:rPr>
              <w:t>All CP patients, tropical/FCPD, long-standing disease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Type 3c diabetes is brittle (glucagon also deficient); watch for hypoglycaemia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amylase / lipase</w:t>
            </w:r>
          </w:p>
        </w:tc>
        <w:tc>
          <w:tcPr>
            <w:tcW w:type="dxa" w:w="892"/>
            <w:vAlign w:val="top"/>
          </w:tcPr>
          <w:p>
            <w:pPr>
              <w:spacing w:after="40" w:before="0" w:line="259" w:lineRule="auto"/>
            </w:pPr>
            <w:r>
              <w:rPr>
                <w:rFonts w:ascii="Calibri" w:hAnsi="Calibri"/>
                <w:b w:val="0"/>
                <w:i w:val="0"/>
                <w:color w:val="212121"/>
                <w:sz w:val="16"/>
              </w:rPr>
              <w:t>Pancreatic enzyme assay</w:t>
            </w:r>
          </w:p>
        </w:tc>
        <w:tc>
          <w:tcPr>
            <w:tcW w:type="dxa" w:w="950"/>
            <w:vAlign w:val="top"/>
          </w:tcPr>
          <w:p>
            <w:pPr>
              <w:spacing w:after="40" w:before="0" w:line="259" w:lineRule="auto"/>
            </w:pPr>
            <w:r>
              <w:rPr>
                <w:rFonts w:ascii="Calibri" w:hAnsi="Calibri"/>
                <w:b w:val="0"/>
                <w:i w:val="0"/>
                <w:color w:val="212121"/>
                <w:sz w:val="16"/>
              </w:rPr>
              <w:t>Within lab reference range</w:t>
            </w:r>
          </w:p>
        </w:tc>
        <w:tc>
          <w:tcPr>
            <w:tcW w:type="dxa" w:w="950"/>
            <w:vAlign w:val="top"/>
          </w:tcPr>
          <w:p>
            <w:pPr>
              <w:spacing w:after="40" w:before="0" w:line="259" w:lineRule="auto"/>
            </w:pPr>
            <w:r>
              <w:rPr>
                <w:rFonts w:ascii="Calibri" w:hAnsi="Calibri"/>
                <w:b w:val="0"/>
                <w:i w:val="0"/>
                <w:color w:val="212121"/>
                <w:sz w:val="16"/>
              </w:rPr>
              <w:t>Often NORMAL in established CP; may rise in flares</w:t>
            </w:r>
          </w:p>
        </w:tc>
        <w:tc>
          <w:tcPr>
            <w:tcW w:type="dxa" w:w="1036"/>
            <w:vAlign w:val="top"/>
          </w:tcPr>
          <w:p>
            <w:pPr>
              <w:spacing w:after="40" w:before="0" w:line="259" w:lineRule="auto"/>
            </w:pPr>
            <w:r>
              <w:rPr>
                <w:rFonts w:ascii="Calibri" w:hAnsi="Calibri"/>
                <w:b w:val="0"/>
                <w:i w:val="0"/>
                <w:color w:val="212121"/>
                <w:sz w:val="16"/>
              </w:rPr>
              <w:t>Not diagnostic for CP - a normal level does not exclude it (burnt-out gland)</w:t>
            </w:r>
          </w:p>
        </w:tc>
        <w:tc>
          <w:tcPr>
            <w:tcW w:type="dxa" w:w="1036"/>
            <w:vAlign w:val="top"/>
          </w:tcPr>
          <w:p>
            <w:pPr>
              <w:spacing w:after="40" w:before="0" w:line="259" w:lineRule="auto"/>
            </w:pPr>
            <w:r>
              <w:rPr>
                <w:rFonts w:ascii="Calibri" w:hAnsi="Calibri"/>
                <w:b w:val="0"/>
                <w:i w:val="0"/>
                <w:color w:val="212121"/>
                <w:sz w:val="16"/>
              </w:rPr>
              <w:t>Patients with acute-on-chronic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Useful mainly to detect superimposed acute attacks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Triglycerides, calcium, IgG4</w:t>
            </w:r>
          </w:p>
        </w:tc>
        <w:tc>
          <w:tcPr>
            <w:tcW w:type="dxa" w:w="892"/>
            <w:vAlign w:val="top"/>
          </w:tcPr>
          <w:p>
            <w:pPr>
              <w:spacing w:after="40" w:before="0" w:line="259" w:lineRule="auto"/>
            </w:pPr>
            <w:r>
              <w:rPr>
                <w:rFonts w:ascii="Calibri" w:hAnsi="Calibri"/>
                <w:b w:val="0"/>
                <w:i w:val="0"/>
                <w:color w:val="212121"/>
                <w:sz w:val="16"/>
              </w:rPr>
              <w:t>Aetiology panel</w:t>
            </w:r>
          </w:p>
        </w:tc>
        <w:tc>
          <w:tcPr>
            <w:tcW w:type="dxa" w:w="950"/>
            <w:vAlign w:val="top"/>
          </w:tcPr>
          <w:p>
            <w:pPr>
              <w:spacing w:after="40" w:before="0" w:line="259" w:lineRule="auto"/>
            </w:pPr>
            <w:r>
              <w:rPr>
                <w:rFonts w:ascii="Calibri" w:hAnsi="Calibri"/>
                <w:b w:val="0"/>
                <w:i w:val="0"/>
                <w:color w:val="212121"/>
                <w:sz w:val="16"/>
              </w:rPr>
              <w:t>TG &lt; 150 mg/dL; Ca 8.5-10.5; IgG4 normal</w:t>
            </w:r>
          </w:p>
        </w:tc>
        <w:tc>
          <w:tcPr>
            <w:tcW w:type="dxa" w:w="950"/>
            <w:vAlign w:val="top"/>
          </w:tcPr>
          <w:p>
            <w:pPr>
              <w:spacing w:after="40" w:before="0" w:line="259" w:lineRule="auto"/>
            </w:pPr>
            <w:r>
              <w:rPr>
                <w:rFonts w:ascii="Calibri" w:hAnsi="Calibri"/>
                <w:b w:val="0"/>
                <w:i w:val="0"/>
                <w:color w:val="212121"/>
                <w:sz w:val="16"/>
              </w:rPr>
              <w:t>TG &gt;= 1000; Ca &gt; 10.5; raised IgG4</w:t>
            </w:r>
          </w:p>
        </w:tc>
        <w:tc>
          <w:tcPr>
            <w:tcW w:type="dxa" w:w="1036"/>
            <w:vAlign w:val="top"/>
          </w:tcPr>
          <w:p>
            <w:pPr>
              <w:spacing w:after="40" w:before="0" w:line="259" w:lineRule="auto"/>
            </w:pPr>
            <w:r>
              <w:rPr>
                <w:rFonts w:ascii="Calibri" w:hAnsi="Calibri"/>
                <w:b w:val="0"/>
                <w:i w:val="0"/>
                <w:color w:val="212121"/>
                <w:sz w:val="16"/>
              </w:rPr>
              <w:t>Identifies toxic-metabolic and autoimmune (type 1) causes</w:t>
            </w:r>
          </w:p>
        </w:tc>
        <w:tc>
          <w:tcPr>
            <w:tcW w:type="dxa" w:w="1036"/>
            <w:vAlign w:val="top"/>
          </w:tcPr>
          <w:p>
            <w:pPr>
              <w:spacing w:after="40" w:before="0" w:line="259" w:lineRule="auto"/>
            </w:pPr>
            <w:r>
              <w:rPr>
                <w:rFonts w:ascii="Calibri" w:hAnsi="Calibri"/>
                <w:b w:val="0"/>
                <w:i w:val="0"/>
                <w:color w:val="212121"/>
                <w:sz w:val="16"/>
              </w:rPr>
              <w:t>Non-alcoholic, recurrent, or steroid-responsive cases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Raised IgG4 suggests autoimmune pancreatitis; consider a steroid trial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Nutritional panel (albumin, vit A/D/E/K, B12)</w:t>
            </w:r>
          </w:p>
        </w:tc>
        <w:tc>
          <w:tcPr>
            <w:tcW w:type="dxa" w:w="892"/>
            <w:vAlign w:val="top"/>
          </w:tcPr>
          <w:p>
            <w:pPr>
              <w:spacing w:after="40" w:before="0" w:line="259" w:lineRule="auto"/>
            </w:pPr>
            <w:r>
              <w:rPr>
                <w:rFonts w:ascii="Calibri" w:hAnsi="Calibri"/>
                <w:b w:val="0"/>
                <w:i w:val="0"/>
                <w:color w:val="212121"/>
                <w:sz w:val="16"/>
              </w:rPr>
              <w:t>Nutritional &amp; fat-soluble vitamin assessment</w:t>
            </w:r>
          </w:p>
        </w:tc>
        <w:tc>
          <w:tcPr>
            <w:tcW w:type="dxa" w:w="950"/>
            <w:vAlign w:val="top"/>
          </w:tcPr>
          <w:p>
            <w:pPr>
              <w:spacing w:after="40" w:before="0" w:line="259" w:lineRule="auto"/>
            </w:pPr>
            <w:r>
              <w:rPr>
                <w:rFonts w:ascii="Calibri" w:hAnsi="Calibri"/>
                <w:b w:val="0"/>
                <w:i w:val="0"/>
                <w:color w:val="212121"/>
                <w:sz w:val="16"/>
              </w:rPr>
              <w:t>All within reference range</w:t>
            </w:r>
          </w:p>
        </w:tc>
        <w:tc>
          <w:tcPr>
            <w:tcW w:type="dxa" w:w="950"/>
            <w:vAlign w:val="top"/>
          </w:tcPr>
          <w:p>
            <w:pPr>
              <w:spacing w:after="40" w:before="0" w:line="259" w:lineRule="auto"/>
            </w:pPr>
            <w:r>
              <w:rPr>
                <w:rFonts w:ascii="Calibri" w:hAnsi="Calibri"/>
                <w:b w:val="0"/>
                <w:i w:val="0"/>
                <w:color w:val="212121"/>
                <w:sz w:val="16"/>
              </w:rPr>
              <w:t>Low albumin and fat-soluble vitamin/B12 levels</w:t>
            </w:r>
          </w:p>
        </w:tc>
        <w:tc>
          <w:tcPr>
            <w:tcW w:type="dxa" w:w="1036"/>
            <w:vAlign w:val="top"/>
          </w:tcPr>
          <w:p>
            <w:pPr>
              <w:spacing w:after="40" w:before="0" w:line="259" w:lineRule="auto"/>
            </w:pPr>
            <w:r>
              <w:rPr>
                <w:rFonts w:ascii="Calibri" w:hAnsi="Calibri"/>
                <w:b w:val="0"/>
                <w:i w:val="0"/>
                <w:color w:val="212121"/>
                <w:sz w:val="16"/>
              </w:rPr>
              <w:t>Quantifies malnutrition and deficiencies from exocrine insufficiency</w:t>
            </w:r>
          </w:p>
        </w:tc>
        <w:tc>
          <w:tcPr>
            <w:tcW w:type="dxa" w:w="1036"/>
            <w:vAlign w:val="top"/>
          </w:tcPr>
          <w:p>
            <w:pPr>
              <w:spacing w:after="40" w:before="0" w:line="259" w:lineRule="auto"/>
            </w:pPr>
            <w:r>
              <w:rPr>
                <w:rFonts w:ascii="Calibri" w:hAnsi="Calibri"/>
                <w:b w:val="0"/>
                <w:i w:val="0"/>
                <w:color w:val="212121"/>
                <w:sz w:val="16"/>
              </w:rPr>
              <w:t>Patients with steatorrhoea, weight loss, low BMI</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Management-critical</w:t>
            </w:r>
          </w:p>
        </w:tc>
        <w:tc>
          <w:tcPr>
            <w:tcW w:type="dxa" w:w="720"/>
            <w:vAlign w:val="top"/>
          </w:tcPr>
          <w:p>
            <w:pPr>
              <w:spacing w:after="40" w:before="0" w:line="259" w:lineRule="auto"/>
            </w:pPr>
            <w:r>
              <w:rPr>
                <w:rFonts w:ascii="Calibri" w:hAnsi="Calibri"/>
                <w:b w:val="0"/>
                <w:i w:val="0"/>
                <w:color w:val="212121"/>
                <w:sz w:val="16"/>
              </w:rPr>
              <w:t>Guides supplementation and bone-health (DEXA) assessment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CA 19-9 (with clinical correlation)</w:t>
            </w:r>
          </w:p>
        </w:tc>
        <w:tc>
          <w:tcPr>
            <w:tcW w:type="dxa" w:w="892"/>
            <w:vAlign w:val="top"/>
          </w:tcPr>
          <w:p>
            <w:pPr>
              <w:spacing w:after="40" w:before="0" w:line="259" w:lineRule="auto"/>
            </w:pPr>
            <w:r>
              <w:rPr>
                <w:rFonts w:ascii="Calibri" w:hAnsi="Calibri"/>
                <w:b w:val="0"/>
                <w:i w:val="0"/>
                <w:color w:val="212121"/>
                <w:sz w:val="16"/>
              </w:rPr>
              <w:t>Tumour marker</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Rising / markedly elevated</w:t>
            </w:r>
          </w:p>
        </w:tc>
        <w:tc>
          <w:tcPr>
            <w:tcW w:type="dxa" w:w="1036"/>
            <w:vAlign w:val="top"/>
          </w:tcPr>
          <w:p>
            <w:pPr>
              <w:spacing w:after="40" w:before="0" w:line="259" w:lineRule="auto"/>
            </w:pPr>
            <w:r>
              <w:rPr>
                <w:rFonts w:ascii="Calibri" w:hAnsi="Calibri"/>
                <w:b w:val="0"/>
                <w:i w:val="0"/>
                <w:color w:val="212121"/>
                <w:sz w:val="16"/>
              </w:rPr>
              <w:t>Aids evaluation for pancreatic cancer in longstanding CP</w:t>
            </w:r>
          </w:p>
        </w:tc>
        <w:tc>
          <w:tcPr>
            <w:tcW w:type="dxa" w:w="1036"/>
            <w:vAlign w:val="top"/>
          </w:tcPr>
          <w:p>
            <w:pPr>
              <w:spacing w:after="40" w:before="0" w:line="259" w:lineRule="auto"/>
            </w:pPr>
            <w:r>
              <w:rPr>
                <w:rFonts w:ascii="Calibri" w:hAnsi="Calibri"/>
                <w:b w:val="0"/>
                <w:i w:val="0"/>
                <w:color w:val="212121"/>
                <w:sz w:val="16"/>
              </w:rPr>
              <w:t>New weight loss/jaundice/mass, hereditary or tropical CP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Surveillance adjunct</w:t>
            </w:r>
          </w:p>
        </w:tc>
        <w:tc>
          <w:tcPr>
            <w:tcW w:type="dxa" w:w="720"/>
            <w:vAlign w:val="top"/>
          </w:tcPr>
          <w:p>
            <w:pPr>
              <w:spacing w:after="40" w:before="0" w:line="259" w:lineRule="auto"/>
            </w:pPr>
            <w:r>
              <w:rPr>
                <w:rFonts w:ascii="Calibri" w:hAnsi="Calibri"/>
                <w:b w:val="0"/>
                <w:i w:val="0"/>
                <w:color w:val="212121"/>
                <w:sz w:val="16"/>
              </w:rPr>
              <w:t>Also raised by benign biliary obstruction; not a screening test alone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Contrast-enhanced CT abdomen</w:t>
            </w:r>
          </w:p>
        </w:tc>
        <w:tc>
          <w:tcPr>
            <w:tcW w:type="dxa" w:w="892"/>
            <w:vAlign w:val="top"/>
          </w:tcPr>
          <w:p>
            <w:pPr>
              <w:spacing w:after="40" w:before="0" w:line="259" w:lineRule="auto"/>
            </w:pPr>
            <w:r>
              <w:rPr>
                <w:rFonts w:ascii="Calibri" w:hAnsi="Calibri"/>
                <w:b w:val="0"/>
                <w:i w:val="0"/>
                <w:color w:val="212121"/>
                <w:sz w:val="16"/>
              </w:rPr>
              <w:t>Cross-sectional imaging</w:t>
            </w:r>
          </w:p>
        </w:tc>
        <w:tc>
          <w:tcPr>
            <w:tcW w:type="dxa" w:w="950"/>
            <w:vAlign w:val="top"/>
          </w:tcPr>
          <w:p>
            <w:pPr>
              <w:spacing w:after="40" w:before="0" w:line="259" w:lineRule="auto"/>
            </w:pPr>
            <w:r>
              <w:rPr>
                <w:rFonts w:ascii="Calibri" w:hAnsi="Calibri"/>
                <w:b w:val="0"/>
                <w:i w:val="0"/>
                <w:color w:val="212121"/>
                <w:sz w:val="16"/>
              </w:rPr>
              <w:t>Normal gland, no calcification</w:t>
            </w:r>
          </w:p>
        </w:tc>
        <w:tc>
          <w:tcPr>
            <w:tcW w:type="dxa" w:w="950"/>
            <w:vAlign w:val="top"/>
          </w:tcPr>
          <w:p>
            <w:pPr>
              <w:spacing w:after="40" w:before="0" w:line="259" w:lineRule="auto"/>
            </w:pPr>
            <w:r>
              <w:rPr>
                <w:rFonts w:ascii="Calibri" w:hAnsi="Calibri"/>
                <w:b w:val="0"/>
                <w:i w:val="0"/>
                <w:color w:val="212121"/>
                <w:sz w:val="16"/>
              </w:rPr>
              <w:t>Parenchymal calcification, atrophy, dilated duct, stones, mass</w:t>
            </w:r>
          </w:p>
        </w:tc>
        <w:tc>
          <w:tcPr>
            <w:tcW w:type="dxa" w:w="1036"/>
            <w:vAlign w:val="top"/>
          </w:tcPr>
          <w:p>
            <w:pPr>
              <w:spacing w:after="40" w:before="0" w:line="259" w:lineRule="auto"/>
            </w:pPr>
            <w:r>
              <w:rPr>
                <w:rFonts w:ascii="Calibri" w:hAnsi="Calibri"/>
                <w:b w:val="0"/>
                <w:i w:val="0"/>
                <w:color w:val="212121"/>
                <w:sz w:val="16"/>
              </w:rPr>
              <w:t>Detects the calcification pathognomonic of CP and screens for complications/cancer</w:t>
            </w:r>
          </w:p>
        </w:tc>
        <w:tc>
          <w:tcPr>
            <w:tcW w:type="dxa" w:w="1036"/>
            <w:vAlign w:val="top"/>
          </w:tcPr>
          <w:p>
            <w:pPr>
              <w:spacing w:after="40" w:before="0" w:line="259" w:lineRule="auto"/>
            </w:pPr>
            <w:r>
              <w:rPr>
                <w:rFonts w:ascii="Calibri" w:hAnsi="Calibri"/>
                <w:b w:val="0"/>
                <w:i w:val="0"/>
                <w:color w:val="212121"/>
                <w:sz w:val="16"/>
              </w:rPr>
              <w:t>Most patients at diagnosis and on follow-up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Primary imaging</w:t>
            </w:r>
          </w:p>
        </w:tc>
        <w:tc>
          <w:tcPr>
            <w:tcW w:type="dxa" w:w="720"/>
            <w:vAlign w:val="top"/>
          </w:tcPr>
          <w:p>
            <w:pPr>
              <w:spacing w:after="40" w:before="0" w:line="259" w:lineRule="auto"/>
            </w:pPr>
            <w:r>
              <w:rPr>
                <w:rFonts w:ascii="Calibri" w:hAnsi="Calibri"/>
                <w:b w:val="0"/>
                <w:i w:val="0"/>
                <w:color w:val="212121"/>
                <w:sz w:val="16"/>
              </w:rPr>
              <w:t>Calcification is virtually diagnostic; a mass warrants cancer work-up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MRCP (secretin-enhanced)</w:t>
            </w:r>
          </w:p>
        </w:tc>
        <w:tc>
          <w:tcPr>
            <w:tcW w:type="dxa" w:w="892"/>
            <w:vAlign w:val="top"/>
          </w:tcPr>
          <w:p>
            <w:pPr>
              <w:spacing w:after="40" w:before="0" w:line="259" w:lineRule="auto"/>
            </w:pPr>
            <w:r>
              <w:rPr>
                <w:rFonts w:ascii="Calibri" w:hAnsi="Calibri"/>
                <w:b w:val="0"/>
                <w:i w:val="0"/>
                <w:color w:val="212121"/>
                <w:sz w:val="16"/>
              </w:rPr>
              <w:t>Ductal imaging (Cambridge grading)</w:t>
            </w:r>
          </w:p>
        </w:tc>
        <w:tc>
          <w:tcPr>
            <w:tcW w:type="dxa" w:w="950"/>
            <w:vAlign w:val="top"/>
          </w:tcPr>
          <w:p>
            <w:pPr>
              <w:spacing w:after="40" w:before="0" w:line="259" w:lineRule="auto"/>
            </w:pPr>
            <w:r>
              <w:rPr>
                <w:rFonts w:ascii="Calibri" w:hAnsi="Calibri"/>
                <w:b w:val="0"/>
                <w:i w:val="0"/>
                <w:color w:val="212121"/>
                <w:sz w:val="16"/>
              </w:rPr>
              <w:t>Normal main/side branches</w:t>
            </w:r>
          </w:p>
        </w:tc>
        <w:tc>
          <w:tcPr>
            <w:tcW w:type="dxa" w:w="950"/>
            <w:vAlign w:val="top"/>
          </w:tcPr>
          <w:p>
            <w:pPr>
              <w:spacing w:after="40" w:before="0" w:line="259" w:lineRule="auto"/>
            </w:pPr>
            <w:r>
              <w:rPr>
                <w:rFonts w:ascii="Calibri" w:hAnsi="Calibri"/>
                <w:b w:val="0"/>
                <w:i w:val="0"/>
                <w:color w:val="212121"/>
                <w:sz w:val="16"/>
              </w:rPr>
              <w:t>Main-duct dilatation/beading, side-branch changes, strictures</w:t>
            </w:r>
          </w:p>
        </w:tc>
        <w:tc>
          <w:tcPr>
            <w:tcW w:type="dxa" w:w="1036"/>
            <w:vAlign w:val="top"/>
          </w:tcPr>
          <w:p>
            <w:pPr>
              <w:spacing w:after="40" w:before="0" w:line="259" w:lineRule="auto"/>
            </w:pPr>
            <w:r>
              <w:rPr>
                <w:rFonts w:ascii="Calibri" w:hAnsi="Calibri"/>
                <w:b w:val="0"/>
                <w:i w:val="0"/>
                <w:color w:val="212121"/>
                <w:sz w:val="16"/>
              </w:rPr>
              <w:t>Maps ductal anatomy, grades severity and plans endotherapy/surgery</w:t>
            </w:r>
          </w:p>
        </w:tc>
        <w:tc>
          <w:tcPr>
            <w:tcW w:type="dxa" w:w="1036"/>
            <w:vAlign w:val="top"/>
          </w:tcPr>
          <w:p>
            <w:pPr>
              <w:spacing w:after="40" w:before="0" w:line="259" w:lineRule="auto"/>
            </w:pPr>
            <w:r>
              <w:rPr>
                <w:rFonts w:ascii="Calibri" w:hAnsi="Calibri"/>
                <w:b w:val="0"/>
                <w:i w:val="0"/>
                <w:color w:val="212121"/>
                <w:sz w:val="16"/>
              </w:rPr>
              <w:t>Patients considered for intervention; equivocal CT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Ductal assessment</w:t>
            </w:r>
          </w:p>
        </w:tc>
        <w:tc>
          <w:tcPr>
            <w:tcW w:type="dxa" w:w="720"/>
            <w:vAlign w:val="top"/>
          </w:tcPr>
          <w:p>
            <w:pPr>
              <w:spacing w:after="40" w:before="0" w:line="259" w:lineRule="auto"/>
            </w:pPr>
            <w:r>
              <w:rPr>
                <w:rFonts w:ascii="Calibri" w:hAnsi="Calibri"/>
                <w:b w:val="0"/>
                <w:i w:val="0"/>
                <w:color w:val="212121"/>
                <w:sz w:val="16"/>
              </w:rPr>
              <w:t>Secretin enhancement improves detection of early side-branch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Endoscopic ultrasound (EUS)</w:t>
            </w:r>
          </w:p>
        </w:tc>
        <w:tc>
          <w:tcPr>
            <w:tcW w:type="dxa" w:w="892"/>
            <w:vAlign w:val="top"/>
          </w:tcPr>
          <w:p>
            <w:pPr>
              <w:spacing w:after="40" w:before="0" w:line="259" w:lineRule="auto"/>
            </w:pPr>
            <w:r>
              <w:rPr>
                <w:rFonts w:ascii="Calibri" w:hAnsi="Calibri"/>
                <w:b w:val="0"/>
                <w:i w:val="0"/>
                <w:color w:val="212121"/>
                <w:sz w:val="16"/>
              </w:rPr>
              <w:t>High-resolution imaging (Rosemont criteria)</w:t>
            </w:r>
          </w:p>
        </w:tc>
        <w:tc>
          <w:tcPr>
            <w:tcW w:type="dxa" w:w="950"/>
            <w:vAlign w:val="top"/>
          </w:tcPr>
          <w:p>
            <w:pPr>
              <w:spacing w:after="40" w:before="0" w:line="259" w:lineRule="auto"/>
            </w:pPr>
            <w:r>
              <w:rPr>
                <w:rFonts w:ascii="Calibri" w:hAnsi="Calibri"/>
                <w:b w:val="0"/>
                <w:i w:val="0"/>
                <w:color w:val="212121"/>
                <w:sz w:val="16"/>
              </w:rPr>
              <w:t>No parenchymal/ductal features</w:t>
            </w:r>
          </w:p>
        </w:tc>
        <w:tc>
          <w:tcPr>
            <w:tcW w:type="dxa" w:w="950"/>
            <w:vAlign w:val="top"/>
          </w:tcPr>
          <w:p>
            <w:pPr>
              <w:spacing w:after="40" w:before="0" w:line="259" w:lineRule="auto"/>
            </w:pPr>
            <w:r>
              <w:rPr>
                <w:rFonts w:ascii="Calibri" w:hAnsi="Calibri"/>
                <w:b w:val="0"/>
                <w:i w:val="0"/>
                <w:color w:val="212121"/>
                <w:sz w:val="16"/>
              </w:rPr>
              <w:t>&gt;= Rosemont features; hypoechoic mass</w:t>
            </w:r>
          </w:p>
        </w:tc>
        <w:tc>
          <w:tcPr>
            <w:tcW w:type="dxa" w:w="1036"/>
            <w:vAlign w:val="top"/>
          </w:tcPr>
          <w:p>
            <w:pPr>
              <w:spacing w:after="40" w:before="0" w:line="259" w:lineRule="auto"/>
            </w:pPr>
            <w:r>
              <w:rPr>
                <w:rFonts w:ascii="Calibri" w:hAnsi="Calibri"/>
                <w:b w:val="0"/>
                <w:i w:val="0"/>
                <w:color w:val="212121"/>
                <w:sz w:val="16"/>
              </w:rPr>
              <w:t>Most sensitive for early/minimal-change CP and enables FNA of masses</w:t>
            </w:r>
          </w:p>
        </w:tc>
        <w:tc>
          <w:tcPr>
            <w:tcW w:type="dxa" w:w="1036"/>
            <w:vAlign w:val="top"/>
          </w:tcPr>
          <w:p>
            <w:pPr>
              <w:spacing w:after="40" w:before="0" w:line="259" w:lineRule="auto"/>
            </w:pPr>
            <w:r>
              <w:rPr>
                <w:rFonts w:ascii="Calibri" w:hAnsi="Calibri"/>
                <w:b w:val="0"/>
                <w:i w:val="0"/>
                <w:color w:val="212121"/>
                <w:sz w:val="16"/>
              </w:rPr>
              <w:t>Suspected early CP, indeterminate mass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Early-disease &amp; tissue diagnosis</w:t>
            </w:r>
          </w:p>
        </w:tc>
        <w:tc>
          <w:tcPr>
            <w:tcW w:type="dxa" w:w="720"/>
            <w:vAlign w:val="top"/>
          </w:tcPr>
          <w:p>
            <w:pPr>
              <w:spacing w:after="40" w:before="0" w:line="259" w:lineRule="auto"/>
            </w:pPr>
            <w:r>
              <w:rPr>
                <w:rFonts w:ascii="Calibri" w:hAnsi="Calibri"/>
                <w:b w:val="0"/>
                <w:i w:val="0"/>
                <w:color w:val="212121"/>
                <w:sz w:val="16"/>
              </w:rPr>
              <w:t>Operator-dependent; FNA distinguishes cancer from inflammatory mass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Recurrent epigastric pain radiating to back</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Persistent/recurrent boring pain, worse after meals, eased leaning forward</w:t>
            </w:r>
          </w:p>
        </w:tc>
        <w:tc>
          <w:tcPr>
            <w:tcW w:type="dxa" w:w="1036"/>
            <w:vAlign w:val="top"/>
          </w:tcPr>
          <w:p>
            <w:pPr>
              <w:spacing w:after="40" w:before="0" w:line="259" w:lineRule="auto"/>
            </w:pPr>
            <w:r>
              <w:rPr>
                <w:rFonts w:ascii="Calibri" w:hAnsi="Calibri"/>
                <w:b w:val="0"/>
                <w:i w:val="0"/>
                <w:color w:val="212121"/>
                <w:sz w:val="16"/>
              </w:rPr>
              <w:t>Cardinal symptom of CP; some (especially tropical/idiopathic) present painlessly</w:t>
            </w:r>
          </w:p>
        </w:tc>
        <w:tc>
          <w:tcPr>
            <w:tcW w:type="dxa" w:w="1036"/>
            <w:vAlign w:val="top"/>
          </w:tcPr>
          <w:p>
            <w:pPr>
              <w:spacing w:after="40" w:before="0" w:line="259" w:lineRule="auto"/>
            </w:pPr>
            <w:r>
              <w:rPr>
                <w:rFonts w:ascii="Calibri" w:hAnsi="Calibri"/>
                <w:b w:val="0"/>
                <w:i w:val="0"/>
                <w:color w:val="212121"/>
                <w:sz w:val="16"/>
              </w:rPr>
              <w:t>All patients presenting with chronic upper-abdominal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Pain may paradoxically lessen as the gland 'burns out'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Alcohol &amp; smoking history</w:t>
            </w:r>
          </w:p>
        </w:tc>
        <w:tc>
          <w:tcPr>
            <w:tcW w:type="dxa" w:w="979"/>
            <w:vAlign w:val="top"/>
          </w:tcPr>
          <w:p>
            <w:pPr>
              <w:spacing w:after="40" w:before="0" w:line="259" w:lineRule="auto"/>
            </w:pPr>
            <w:r>
              <w:rPr>
                <w:rFonts w:ascii="Calibri" w:hAnsi="Calibri"/>
                <w:b w:val="0"/>
                <w:i w:val="0"/>
                <w:color w:val="212121"/>
                <w:sz w:val="16"/>
              </w:rPr>
              <w:t>Quantity/duration of alcohol; tobacco use</w:t>
            </w:r>
          </w:p>
        </w:tc>
        <w:tc>
          <w:tcPr>
            <w:tcW w:type="dxa" w:w="950"/>
            <w:vAlign w:val="top"/>
          </w:tcPr>
          <w:p>
            <w:pPr>
              <w:spacing w:after="40" w:before="0" w:line="259" w:lineRule="auto"/>
            </w:pPr>
            <w:r>
              <w:rPr>
                <w:rFonts w:ascii="Calibri" w:hAnsi="Calibri"/>
                <w:b w:val="0"/>
                <w:i w:val="0"/>
                <w:color w:val="212121"/>
                <w:sz w:val="16"/>
              </w:rPr>
              <w:t>No/low intake</w:t>
            </w:r>
          </w:p>
        </w:tc>
        <w:tc>
          <w:tcPr>
            <w:tcW w:type="dxa" w:w="950"/>
            <w:vAlign w:val="top"/>
          </w:tcPr>
          <w:p>
            <w:pPr>
              <w:spacing w:after="40" w:before="0" w:line="259" w:lineRule="auto"/>
            </w:pPr>
            <w:r>
              <w:rPr>
                <w:rFonts w:ascii="Calibri" w:hAnsi="Calibri"/>
                <w:b w:val="0"/>
                <w:i w:val="0"/>
                <w:color w:val="212121"/>
                <w:sz w:val="16"/>
              </w:rPr>
              <w:t>Chronic heavy use; current smoker</w:t>
            </w:r>
          </w:p>
        </w:tc>
        <w:tc>
          <w:tcPr>
            <w:tcW w:type="dxa" w:w="1036"/>
            <w:vAlign w:val="top"/>
          </w:tcPr>
          <w:p>
            <w:pPr>
              <w:spacing w:after="40" w:before="0" w:line="259" w:lineRule="auto"/>
            </w:pPr>
            <w:r>
              <w:rPr>
                <w:rFonts w:ascii="Calibri" w:hAnsi="Calibri"/>
                <w:b w:val="0"/>
                <w:i w:val="0"/>
                <w:color w:val="212121"/>
                <w:sz w:val="16"/>
              </w:rPr>
              <w:t>Identifies the leading modifiable cause and the key targets for slowing progression</w:t>
            </w:r>
          </w:p>
        </w:tc>
        <w:tc>
          <w:tcPr>
            <w:tcW w:type="dxa" w:w="1036"/>
            <w:vAlign w:val="top"/>
          </w:tcPr>
          <w:p>
            <w:pPr>
              <w:spacing w:after="40" w:before="0" w:line="259" w:lineRule="auto"/>
            </w:pPr>
            <w:r>
              <w:rPr>
                <w:rFonts w:ascii="Calibri" w:hAnsi="Calibri"/>
                <w:b w:val="0"/>
                <w:i w:val="0"/>
                <w:color w:val="212121"/>
                <w:sz w:val="16"/>
              </w:rPr>
              <w:t>Young/middle-aged men</w:t>
            </w:r>
          </w:p>
        </w:tc>
        <w:tc>
          <w:tcPr>
            <w:tcW w:type="dxa" w:w="720"/>
            <w:vAlign w:val="top"/>
          </w:tcPr>
          <w:p>
            <w:pPr>
              <w:spacing w:after="40" w:before="0" w:line="259" w:lineRule="auto"/>
            </w:pPr>
            <w:r>
              <w:rPr>
                <w:rFonts w:ascii="Calibri" w:hAnsi="Calibri"/>
                <w:b w:val="0"/>
                <w:i w:val="0"/>
                <w:color w:val="212121"/>
                <w:sz w:val="16"/>
              </w:rPr>
              <w:t>Alcohol; Smoking</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Central to abstinence-based disease modification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Malabsorption &amp; weight history</w:t>
            </w:r>
          </w:p>
        </w:tc>
        <w:tc>
          <w:tcPr>
            <w:tcW w:type="dxa" w:w="979"/>
            <w:vAlign w:val="top"/>
          </w:tcPr>
          <w:p>
            <w:pPr>
              <w:spacing w:after="40" w:before="0" w:line="259" w:lineRule="auto"/>
            </w:pPr>
            <w:r>
              <w:rPr>
                <w:rFonts w:ascii="Calibri" w:hAnsi="Calibri"/>
                <w:b w:val="0"/>
                <w:i w:val="0"/>
                <w:color w:val="212121"/>
                <w:sz w:val="16"/>
              </w:rPr>
              <w:t>Steatorrhoea, weight loss, appetite</w:t>
            </w:r>
          </w:p>
        </w:tc>
        <w:tc>
          <w:tcPr>
            <w:tcW w:type="dxa" w:w="950"/>
            <w:vAlign w:val="top"/>
          </w:tcPr>
          <w:p>
            <w:pPr>
              <w:spacing w:after="40" w:before="0" w:line="259" w:lineRule="auto"/>
            </w:pPr>
            <w:r>
              <w:rPr>
                <w:rFonts w:ascii="Calibri" w:hAnsi="Calibri"/>
                <w:b w:val="0"/>
                <w:i w:val="0"/>
                <w:color w:val="212121"/>
                <w:sz w:val="16"/>
              </w:rPr>
              <w:t>Normal stools and stable weight</w:t>
            </w:r>
          </w:p>
        </w:tc>
        <w:tc>
          <w:tcPr>
            <w:tcW w:type="dxa" w:w="950"/>
            <w:vAlign w:val="top"/>
          </w:tcPr>
          <w:p>
            <w:pPr>
              <w:spacing w:after="40" w:before="0" w:line="259" w:lineRule="auto"/>
            </w:pPr>
            <w:r>
              <w:rPr>
                <w:rFonts w:ascii="Calibri" w:hAnsi="Calibri"/>
                <w:b w:val="0"/>
                <w:i w:val="0"/>
                <w:color w:val="212121"/>
                <w:sz w:val="16"/>
              </w:rPr>
              <w:t>Greasy, foul, floating stools; progressive weight loss</w:t>
            </w:r>
          </w:p>
        </w:tc>
        <w:tc>
          <w:tcPr>
            <w:tcW w:type="dxa" w:w="1036"/>
            <w:vAlign w:val="top"/>
          </w:tcPr>
          <w:p>
            <w:pPr>
              <w:spacing w:after="40" w:before="0" w:line="259" w:lineRule="auto"/>
            </w:pPr>
            <w:r>
              <w:rPr>
                <w:rFonts w:ascii="Calibri" w:hAnsi="Calibri"/>
                <w:b w:val="0"/>
                <w:i w:val="0"/>
                <w:color w:val="212121"/>
                <w:sz w:val="16"/>
              </w:rPr>
              <w:t>Points to exocrine insufficiency and malnutrition needing enzyme replacement</w:t>
            </w:r>
          </w:p>
        </w:tc>
        <w:tc>
          <w:tcPr>
            <w:tcW w:type="dxa" w:w="1036"/>
            <w:vAlign w:val="top"/>
          </w:tcPr>
          <w:p>
            <w:pPr>
              <w:spacing w:after="40" w:before="0" w:line="259" w:lineRule="auto"/>
            </w:pPr>
            <w:r>
              <w:rPr>
                <w:rFonts w:ascii="Calibri" w:hAnsi="Calibri"/>
                <w:b w:val="0"/>
                <w:i w:val="0"/>
                <w:color w:val="212121"/>
                <w:sz w:val="16"/>
              </w:rPr>
              <w:t>Patients with longstanding or advanced CP</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Management-critical</w:t>
            </w:r>
          </w:p>
        </w:tc>
        <w:tc>
          <w:tcPr>
            <w:tcW w:type="dxa" w:w="720"/>
            <w:vAlign w:val="top"/>
          </w:tcPr>
          <w:p>
            <w:pPr>
              <w:spacing w:after="40" w:before="0" w:line="259" w:lineRule="auto"/>
            </w:pPr>
            <w:r>
              <w:rPr>
                <w:rFonts w:ascii="Calibri" w:hAnsi="Calibri"/>
                <w:b w:val="0"/>
                <w:i w:val="0"/>
                <w:color w:val="212121"/>
                <w:sz w:val="16"/>
              </w:rPr>
              <w:t>Steatorrhoea appears only after &gt;90% exocrine loss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Diabetes &amp; family/genetic history</w:t>
            </w:r>
          </w:p>
        </w:tc>
        <w:tc>
          <w:tcPr>
            <w:tcW w:type="dxa" w:w="979"/>
            <w:vAlign w:val="top"/>
          </w:tcPr>
          <w:p>
            <w:pPr>
              <w:spacing w:after="40" w:before="0" w:line="259" w:lineRule="auto"/>
            </w:pPr>
            <w:r>
              <w:rPr>
                <w:rFonts w:ascii="Calibri" w:hAnsi="Calibri"/>
                <w:b w:val="0"/>
                <w:i w:val="0"/>
                <w:color w:val="212121"/>
                <w:sz w:val="16"/>
              </w:rPr>
              <w:t>Polyuria/polydipsia; young-onset or familial pancreatitis</w:t>
            </w:r>
          </w:p>
        </w:tc>
        <w:tc>
          <w:tcPr>
            <w:tcW w:type="dxa" w:w="950"/>
            <w:vAlign w:val="top"/>
          </w:tcPr>
          <w:p>
            <w:pPr>
              <w:spacing w:after="40" w:before="0" w:line="259" w:lineRule="auto"/>
            </w:pPr>
            <w:r>
              <w:rPr>
                <w:rFonts w:ascii="Calibri" w:hAnsi="Calibri"/>
                <w:b w:val="0"/>
                <w:i w:val="0"/>
                <w:color w:val="212121"/>
                <w:sz w:val="16"/>
              </w:rPr>
              <w:t>No diabetes or family history</w:t>
            </w:r>
          </w:p>
        </w:tc>
        <w:tc>
          <w:tcPr>
            <w:tcW w:type="dxa" w:w="950"/>
            <w:vAlign w:val="top"/>
          </w:tcPr>
          <w:p>
            <w:pPr>
              <w:spacing w:after="40" w:before="0" w:line="259" w:lineRule="auto"/>
            </w:pPr>
            <w:r>
              <w:rPr>
                <w:rFonts w:ascii="Calibri" w:hAnsi="Calibri"/>
                <w:b w:val="0"/>
                <w:i w:val="0"/>
                <w:color w:val="212121"/>
                <w:sz w:val="16"/>
              </w:rPr>
              <w:t>New diabetes; relatives with young-onset pancreatitis</w:t>
            </w:r>
          </w:p>
        </w:tc>
        <w:tc>
          <w:tcPr>
            <w:tcW w:type="dxa" w:w="1036"/>
            <w:vAlign w:val="top"/>
          </w:tcPr>
          <w:p>
            <w:pPr>
              <w:spacing w:after="40" w:before="0" w:line="259" w:lineRule="auto"/>
            </w:pPr>
            <w:r>
              <w:rPr>
                <w:rFonts w:ascii="Calibri" w:hAnsi="Calibri"/>
                <w:b w:val="0"/>
                <w:i w:val="0"/>
                <w:color w:val="212121"/>
                <w:sz w:val="16"/>
              </w:rPr>
              <w:t>Detects type 3c diabetes and hereditary/genetic (PRSS1, SPINK1) disease</w:t>
            </w:r>
          </w:p>
        </w:tc>
        <w:tc>
          <w:tcPr>
            <w:tcW w:type="dxa" w:w="1036"/>
            <w:vAlign w:val="top"/>
          </w:tcPr>
          <w:p>
            <w:pPr>
              <w:spacing w:after="40" w:before="0" w:line="259" w:lineRule="auto"/>
            </w:pPr>
            <w:r>
              <w:rPr>
                <w:rFonts w:ascii="Calibri" w:hAnsi="Calibri"/>
                <w:b w:val="0"/>
                <w:i w:val="0"/>
                <w:color w:val="212121"/>
                <w:sz w:val="16"/>
              </w:rPr>
              <w:t>Young/idiopathic patients, families with pancreatitis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Aetiological &amp; prognostic</w:t>
            </w:r>
          </w:p>
        </w:tc>
        <w:tc>
          <w:tcPr>
            <w:tcW w:type="dxa" w:w="720"/>
            <w:vAlign w:val="top"/>
          </w:tcPr>
          <w:p>
            <w:pPr>
              <w:spacing w:after="40" w:before="0" w:line="259" w:lineRule="auto"/>
            </w:pPr>
            <w:r>
              <w:rPr>
                <w:rFonts w:ascii="Calibri" w:hAnsi="Calibri"/>
                <w:b w:val="0"/>
                <w:i w:val="0"/>
                <w:color w:val="212121"/>
                <w:sz w:val="16"/>
              </w:rPr>
              <w:t>Prompts genetic testing and cancer-risk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Nutritional assessment</w:t>
            </w:r>
          </w:p>
        </w:tc>
        <w:tc>
          <w:tcPr>
            <w:tcW w:type="dxa" w:w="979"/>
            <w:vAlign w:val="top"/>
          </w:tcPr>
          <w:p>
            <w:pPr>
              <w:spacing w:after="40" w:before="0" w:line="259" w:lineRule="auto"/>
            </w:pPr>
            <w:r>
              <w:rPr>
                <w:rFonts w:ascii="Calibri" w:hAnsi="Calibri"/>
                <w:b w:val="0"/>
                <w:i w:val="0"/>
                <w:color w:val="212121"/>
                <w:sz w:val="16"/>
              </w:rPr>
              <w:t>BMI, muscle mass, signs of deficiency</w:t>
            </w:r>
          </w:p>
        </w:tc>
        <w:tc>
          <w:tcPr>
            <w:tcW w:type="dxa" w:w="950"/>
            <w:vAlign w:val="top"/>
          </w:tcPr>
          <w:p>
            <w:pPr>
              <w:spacing w:after="40" w:before="0" w:line="259" w:lineRule="auto"/>
            </w:pPr>
            <w:r>
              <w:rPr>
                <w:rFonts w:ascii="Calibri" w:hAnsi="Calibri"/>
                <w:b w:val="0"/>
                <w:i w:val="0"/>
                <w:color w:val="212121"/>
                <w:sz w:val="16"/>
              </w:rPr>
              <w:t>Well-nourished, normal BMI</w:t>
            </w:r>
          </w:p>
        </w:tc>
        <w:tc>
          <w:tcPr>
            <w:tcW w:type="dxa" w:w="950"/>
            <w:vAlign w:val="top"/>
          </w:tcPr>
          <w:p>
            <w:pPr>
              <w:spacing w:after="40" w:before="0" w:line="259" w:lineRule="auto"/>
            </w:pPr>
            <w:r>
              <w:rPr>
                <w:rFonts w:ascii="Calibri" w:hAnsi="Calibri"/>
                <w:b w:val="0"/>
                <w:i w:val="0"/>
                <w:color w:val="212121"/>
                <w:sz w:val="16"/>
              </w:rPr>
              <w:t>Low BMI, muscle wasting, pallor, glossitis, cheilosis</w:t>
            </w:r>
          </w:p>
        </w:tc>
        <w:tc>
          <w:tcPr>
            <w:tcW w:type="dxa" w:w="1036"/>
            <w:vAlign w:val="top"/>
          </w:tcPr>
          <w:p>
            <w:pPr>
              <w:spacing w:after="40" w:before="0" w:line="259" w:lineRule="auto"/>
            </w:pPr>
            <w:r>
              <w:rPr>
                <w:rFonts w:ascii="Calibri" w:hAnsi="Calibri"/>
                <w:b w:val="0"/>
                <w:i w:val="0"/>
                <w:color w:val="212121"/>
                <w:sz w:val="16"/>
              </w:rPr>
              <w:t>Grades protein-energy malnutrition and micronutrient deficiency</w:t>
            </w:r>
          </w:p>
        </w:tc>
        <w:tc>
          <w:tcPr>
            <w:tcW w:type="dxa" w:w="1036"/>
            <w:vAlign w:val="top"/>
          </w:tcPr>
          <w:p>
            <w:pPr>
              <w:spacing w:after="40" w:before="0" w:line="259" w:lineRule="auto"/>
            </w:pPr>
            <w:r>
              <w:rPr>
                <w:rFonts w:ascii="Calibri" w:hAnsi="Calibri"/>
                <w:b w:val="0"/>
                <w:i w:val="0"/>
                <w:color w:val="212121"/>
                <w:sz w:val="16"/>
              </w:rPr>
              <w:t>Advanced CP, low-income/undernourished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Management-critical</w:t>
            </w:r>
          </w:p>
        </w:tc>
        <w:tc>
          <w:tcPr>
            <w:tcW w:type="dxa" w:w="720"/>
            <w:vAlign w:val="top"/>
          </w:tcPr>
          <w:p>
            <w:pPr>
              <w:spacing w:after="40" w:before="0" w:line="259" w:lineRule="auto"/>
            </w:pPr>
            <w:r>
              <w:rPr>
                <w:rFonts w:ascii="Calibri" w:hAnsi="Calibri"/>
                <w:b w:val="0"/>
                <w:i w:val="0"/>
                <w:color w:val="212121"/>
                <w:sz w:val="16"/>
              </w:rPr>
              <w:t>Drives dietitian referral and supplementation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Epigastric tenderness, mass, ascites</w:t>
            </w:r>
          </w:p>
        </w:tc>
        <w:tc>
          <w:tcPr>
            <w:tcW w:type="dxa" w:w="950"/>
            <w:vAlign w:val="top"/>
          </w:tcPr>
          <w:p>
            <w:pPr>
              <w:spacing w:after="40" w:before="0" w:line="259" w:lineRule="auto"/>
            </w:pPr>
            <w:r>
              <w:rPr>
                <w:rFonts w:ascii="Calibri" w:hAnsi="Calibri"/>
                <w:b w:val="0"/>
                <w:i w:val="0"/>
                <w:color w:val="212121"/>
                <w:sz w:val="16"/>
              </w:rPr>
              <w:t>Soft, non-tender abdomen</w:t>
            </w:r>
          </w:p>
        </w:tc>
        <w:tc>
          <w:tcPr>
            <w:tcW w:type="dxa" w:w="950"/>
            <w:vAlign w:val="top"/>
          </w:tcPr>
          <w:p>
            <w:pPr>
              <w:spacing w:after="40" w:before="0" w:line="259" w:lineRule="auto"/>
            </w:pPr>
            <w:r>
              <w:rPr>
                <w:rFonts w:ascii="Calibri" w:hAnsi="Calibri"/>
                <w:b w:val="0"/>
                <w:i w:val="0"/>
                <w:color w:val="212121"/>
                <w:sz w:val="16"/>
              </w:rPr>
              <w:t>Epigastric tenderness, palpable mass (pseudocyst), ascites</w:t>
            </w:r>
          </w:p>
        </w:tc>
        <w:tc>
          <w:tcPr>
            <w:tcW w:type="dxa" w:w="1036"/>
            <w:vAlign w:val="top"/>
          </w:tcPr>
          <w:p>
            <w:pPr>
              <w:spacing w:after="40" w:before="0" w:line="259" w:lineRule="auto"/>
            </w:pPr>
            <w:r>
              <w:rPr>
                <w:rFonts w:ascii="Calibri" w:hAnsi="Calibri"/>
                <w:b w:val="0"/>
                <w:i w:val="0"/>
                <w:color w:val="212121"/>
                <w:sz w:val="16"/>
              </w:rPr>
              <w:t>Detects tenderness, pseudocyst or pancreatic ascites</w:t>
            </w:r>
          </w:p>
        </w:tc>
        <w:tc>
          <w:tcPr>
            <w:tcW w:type="dxa" w:w="1036"/>
            <w:vAlign w:val="top"/>
          </w:tcPr>
          <w:p>
            <w:pPr>
              <w:spacing w:after="40" w:before="0" w:line="259" w:lineRule="auto"/>
            </w:pPr>
            <w:r>
              <w:rPr>
                <w:rFonts w:ascii="Calibri" w:hAnsi="Calibri"/>
                <w:b w:val="0"/>
                <w:i w:val="0"/>
                <w:color w:val="212121"/>
                <w:sz w:val="16"/>
              </w:rPr>
              <w:t>All patients; those with complications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firm mass raises concern for pseudocyst or malignancy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Signs of complications / deficiency</w:t>
            </w:r>
          </w:p>
        </w:tc>
        <w:tc>
          <w:tcPr>
            <w:tcW w:type="dxa" w:w="979"/>
            <w:vAlign w:val="top"/>
          </w:tcPr>
          <w:p>
            <w:pPr>
              <w:spacing w:after="40" w:before="0" w:line="259" w:lineRule="auto"/>
            </w:pPr>
            <w:r>
              <w:rPr>
                <w:rFonts w:ascii="Calibri" w:hAnsi="Calibri"/>
                <w:b w:val="0"/>
                <w:i w:val="0"/>
                <w:color w:val="212121"/>
                <w:sz w:val="16"/>
              </w:rPr>
              <w:t>Jaundice, bruising, bone tenderness, night blindness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Scleral icterus; easy bruising; bone pain; poor night vision</w:t>
            </w:r>
          </w:p>
        </w:tc>
        <w:tc>
          <w:tcPr>
            <w:tcW w:type="dxa" w:w="1036"/>
            <w:vAlign w:val="top"/>
          </w:tcPr>
          <w:p>
            <w:pPr>
              <w:spacing w:after="40" w:before="0" w:line="259" w:lineRule="auto"/>
            </w:pPr>
            <w:r>
              <w:rPr>
                <w:rFonts w:ascii="Calibri" w:hAnsi="Calibri"/>
                <w:b w:val="0"/>
                <w:i w:val="0"/>
                <w:color w:val="212121"/>
                <w:sz w:val="16"/>
              </w:rPr>
              <w:t>Indicates biliary obstruction or fat-soluble vitamin (K, D, A) deficiency</w:t>
            </w:r>
          </w:p>
        </w:tc>
        <w:tc>
          <w:tcPr>
            <w:tcW w:type="dxa" w:w="1036"/>
            <w:vAlign w:val="top"/>
          </w:tcPr>
          <w:p>
            <w:pPr>
              <w:spacing w:after="40" w:before="0" w:line="259" w:lineRule="auto"/>
            </w:pPr>
            <w:r>
              <w:rPr>
                <w:rFonts w:ascii="Calibri" w:hAnsi="Calibri"/>
                <w:b w:val="0"/>
                <w:i w:val="0"/>
                <w:color w:val="212121"/>
                <w:sz w:val="16"/>
              </w:rPr>
              <w:t>Advanced/malabsorbing patients, biliary stricture</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Red-flag</w:t>
            </w:r>
          </w:p>
        </w:tc>
        <w:tc>
          <w:tcPr>
            <w:tcW w:type="dxa" w:w="720"/>
            <w:vAlign w:val="top"/>
          </w:tcPr>
          <w:p>
            <w:pPr>
              <w:spacing w:after="40" w:before="0" w:line="259" w:lineRule="auto"/>
            </w:pPr>
            <w:r>
              <w:rPr>
                <w:rFonts w:ascii="Calibri" w:hAnsi="Calibri"/>
                <w:b w:val="0"/>
                <w:i w:val="0"/>
                <w:color w:val="212121"/>
                <w:sz w:val="16"/>
              </w:rPr>
              <w:t>Painless jaundice mandates exclusion of pancreatic cancer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Signs of portal hypertension / bleeding</w:t>
            </w:r>
          </w:p>
        </w:tc>
        <w:tc>
          <w:tcPr>
            <w:tcW w:type="dxa" w:w="979"/>
            <w:vAlign w:val="top"/>
          </w:tcPr>
          <w:p>
            <w:pPr>
              <w:spacing w:after="40" w:before="0" w:line="259" w:lineRule="auto"/>
            </w:pPr>
            <w:r>
              <w:rPr>
                <w:rFonts w:ascii="Calibri" w:hAnsi="Calibri"/>
                <w:b w:val="0"/>
                <w:i w:val="0"/>
                <w:color w:val="212121"/>
                <w:sz w:val="16"/>
              </w:rPr>
              <w:t>Splenomegaly, gastric varices, GI bleeding</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Splenomegaly, haematemesis/melaena</w:t>
            </w:r>
          </w:p>
        </w:tc>
        <w:tc>
          <w:tcPr>
            <w:tcW w:type="dxa" w:w="1036"/>
            <w:vAlign w:val="top"/>
          </w:tcPr>
          <w:p>
            <w:pPr>
              <w:spacing w:after="40" w:before="0" w:line="259" w:lineRule="auto"/>
            </w:pPr>
            <w:r>
              <w:rPr>
                <w:rFonts w:ascii="Calibri" w:hAnsi="Calibri"/>
                <w:b w:val="0"/>
                <w:i w:val="0"/>
                <w:color w:val="212121"/>
                <w:sz w:val="16"/>
              </w:rPr>
              <w:t>Suggests splenic-vein thrombosis with left-sided (sinistral) portal hypertension</w:t>
            </w:r>
          </w:p>
        </w:tc>
        <w:tc>
          <w:tcPr>
            <w:tcW w:type="dxa" w:w="1036"/>
            <w:vAlign w:val="top"/>
          </w:tcPr>
          <w:p>
            <w:pPr>
              <w:spacing w:after="40" w:before="0" w:line="259" w:lineRule="auto"/>
            </w:pPr>
            <w:r>
              <w:rPr>
                <w:rFonts w:ascii="Calibri" w:hAnsi="Calibri"/>
                <w:b w:val="0"/>
                <w:i w:val="0"/>
                <w:color w:val="212121"/>
                <w:sz w:val="16"/>
              </w:rPr>
              <w:t>Patients with peripancreatic inflammation/pseudocyst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May require splenectomy or embolisation for variceal bleeding</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Recurrent epigastric pain radiating to the back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Boring upper-abdominal pain, often worse after meals and eased by sitting up and leaning forward.</w:t>
            </w:r>
          </w:p>
        </w:tc>
      </w:tr>
      <w:tr>
        <w:trPr>
          <w:cantSplit/>
        </w:trPr>
        <w:tc>
          <w:tcPr>
            <w:tcW w:type="dxa" w:w="2304"/>
            <w:vAlign w:val="top"/>
          </w:tcPr>
          <w:p>
            <w:pPr>
              <w:spacing w:after="40" w:before="0" w:line="259" w:lineRule="auto"/>
            </w:pPr>
            <w:r>
              <w:rPr>
                <w:rFonts w:ascii="Calibri" w:hAnsi="Calibri"/>
                <w:b/>
                <w:i w:val="0"/>
                <w:color w:val="212121"/>
                <w:sz w:val="19"/>
              </w:rPr>
              <w:t>Pain worse after eating / relieved leaning forward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Postprandial exacerbation leads to fear of eating (sitophobia) and further weight loss.</w:t>
            </w:r>
          </w:p>
        </w:tc>
      </w:tr>
      <w:tr>
        <w:trPr>
          <w:cantSplit/>
        </w:trPr>
        <w:tc>
          <w:tcPr>
            <w:tcW w:type="dxa" w:w="2304"/>
            <w:vAlign w:val="top"/>
          </w:tcPr>
          <w:p>
            <w:pPr>
              <w:spacing w:after="40" w:before="0" w:line="259" w:lineRule="auto"/>
            </w:pPr>
            <w:r>
              <w:rPr>
                <w:rFonts w:ascii="Calibri" w:hAnsi="Calibri"/>
                <w:b/>
                <w:i w:val="0"/>
                <w:color w:val="212121"/>
                <w:sz w:val="19"/>
              </w:rPr>
              <w:t>Steatorrhoea (greasy, foul, floating stools)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Pale, oily, difficult-to-flush stools from fat maldigestion once exocrine loss exceeds ~90%.</w:t>
            </w:r>
          </w:p>
        </w:tc>
      </w:tr>
      <w:tr>
        <w:trPr>
          <w:cantSplit/>
        </w:trPr>
        <w:tc>
          <w:tcPr>
            <w:tcW w:type="dxa" w:w="2304"/>
            <w:vAlign w:val="top"/>
          </w:tcPr>
          <w:p>
            <w:pPr>
              <w:spacing w:after="40" w:before="0" w:line="259" w:lineRule="auto"/>
            </w:pPr>
            <w:r>
              <w:rPr>
                <w:rFonts w:ascii="Calibri" w:hAnsi="Calibri"/>
                <w:b/>
                <w:i w:val="0"/>
                <w:color w:val="212121"/>
                <w:sz w:val="19"/>
              </w:rPr>
              <w:t>Progressive 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maldigestion, reduced intake due to pain, and coexisting diabetes.</w:t>
            </w:r>
          </w:p>
        </w:tc>
      </w:tr>
      <w:tr>
        <w:trPr>
          <w:cantSplit/>
        </w:trPr>
        <w:tc>
          <w:tcPr>
            <w:tcW w:type="dxa" w:w="2304"/>
            <w:vAlign w:val="top"/>
          </w:tcPr>
          <w:p>
            <w:pPr>
              <w:spacing w:after="40" w:before="0" w:line="259" w:lineRule="auto"/>
            </w:pPr>
            <w:r>
              <w:rPr>
                <w:rFonts w:ascii="Calibri" w:hAnsi="Calibri"/>
                <w:b/>
                <w:i w:val="0"/>
                <w:color w:val="212121"/>
                <w:sz w:val="19"/>
              </w:rPr>
              <w:t>Anorexia / early satiety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appetite compounds malnutrition.</w:t>
            </w:r>
          </w:p>
        </w:tc>
      </w:tr>
      <w:tr>
        <w:trPr>
          <w:cantSplit/>
        </w:trPr>
        <w:tc>
          <w:tcPr>
            <w:tcW w:type="dxa" w:w="2304"/>
            <w:vAlign w:val="top"/>
          </w:tcPr>
          <w:p>
            <w:pPr>
              <w:spacing w:after="40" w:before="0" w:line="259" w:lineRule="auto"/>
            </w:pPr>
            <w:r>
              <w:rPr>
                <w:rFonts w:ascii="Calibri" w:hAnsi="Calibri"/>
                <w:b/>
                <w:i w:val="0"/>
                <w:color w:val="212121"/>
                <w:sz w:val="19"/>
              </w:rPr>
              <w:t>Bloating and excess flatulence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maldigested nutrients fermenting in the gut.</w:t>
            </w:r>
          </w:p>
        </w:tc>
      </w:tr>
      <w:tr>
        <w:trPr>
          <w:cantSplit/>
        </w:trPr>
        <w:tc>
          <w:tcPr>
            <w:tcW w:type="dxa" w:w="2304"/>
            <w:vAlign w:val="top"/>
          </w:tcPr>
          <w:p>
            <w:pPr>
              <w:spacing w:after="40" w:before="0" w:line="259" w:lineRule="auto"/>
            </w:pPr>
            <w:r>
              <w:rPr>
                <w:rFonts w:ascii="Calibri" w:hAnsi="Calibri"/>
                <w:b/>
                <w:i w:val="0"/>
                <w:color w:val="212121"/>
                <w:sz w:val="19"/>
              </w:rPr>
              <w:t>Nausea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Frequently accompanies painful episodes.</w:t>
            </w:r>
          </w:p>
        </w:tc>
      </w:tr>
      <w:tr>
        <w:trPr>
          <w:cantSplit/>
        </w:trPr>
        <w:tc>
          <w:tcPr>
            <w:tcW w:type="dxa" w:w="2304"/>
            <w:vAlign w:val="top"/>
          </w:tcPr>
          <w:p>
            <w:pPr>
              <w:spacing w:after="40" w:before="0" w:line="259" w:lineRule="auto"/>
            </w:pPr>
            <w:r>
              <w:rPr>
                <w:rFonts w:ascii="Calibri" w:hAnsi="Calibri"/>
                <w:b/>
                <w:i w:val="0"/>
                <w:color w:val="212121"/>
                <w:sz w:val="19"/>
              </w:rPr>
              <w:t>Vomiting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occur during acute-on-chronic attacks or with duodenal/gastric outlet obstruction.</w:t>
            </w:r>
          </w:p>
        </w:tc>
      </w:tr>
      <w:tr>
        <w:trPr>
          <w:cantSplit/>
        </w:trPr>
        <w:tc>
          <w:tcPr>
            <w:tcW w:type="dxa" w:w="2304"/>
            <w:vAlign w:val="top"/>
          </w:tcPr>
          <w:p>
            <w:pPr>
              <w:spacing w:after="40" w:before="0" w:line="259" w:lineRule="auto"/>
            </w:pPr>
            <w:r>
              <w:rPr>
                <w:rFonts w:ascii="Calibri" w:hAnsi="Calibri"/>
                <w:b/>
                <w:i w:val="0"/>
                <w:color w:val="212121"/>
                <w:sz w:val="19"/>
              </w:rPr>
              <w:t>Symptoms of diabetes (polyuria, polydipsia)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 pancreatogenic (type 3c)/fibrocalculous diabetes from islet loss.</w:t>
            </w:r>
          </w:p>
        </w:tc>
      </w:tr>
      <w:tr>
        <w:trPr>
          <w:cantSplit/>
        </w:trPr>
        <w:tc>
          <w:tcPr>
            <w:tcW w:type="dxa" w:w="2304"/>
            <w:vAlign w:val="top"/>
          </w:tcPr>
          <w:p>
            <w:pPr>
              <w:spacing w:after="40" w:before="0" w:line="259" w:lineRule="auto"/>
            </w:pPr>
            <w:r>
              <w:rPr>
                <w:rFonts w:ascii="Calibri" w:hAnsi="Calibri"/>
                <w:b/>
                <w:i w:val="0"/>
                <w:color w:val="212121"/>
                <w:sz w:val="19"/>
              </w:rPr>
              <w:t>Fatigue and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Due to malnutrition, chronic pain, anaemia and poor glycaemic control.</w:t>
            </w:r>
          </w:p>
        </w:tc>
      </w:tr>
      <w:tr>
        <w:trPr>
          <w:cantSplit/>
        </w:trPr>
        <w:tc>
          <w:tcPr>
            <w:tcW w:type="dxa" w:w="2304"/>
            <w:vAlign w:val="top"/>
          </w:tcPr>
          <w:p>
            <w:pPr>
              <w:spacing w:after="40" w:before="0" w:line="259" w:lineRule="auto"/>
            </w:pPr>
            <w:r>
              <w:rPr>
                <w:rFonts w:ascii="Calibri" w:hAnsi="Calibri"/>
                <w:b/>
                <w:i w:val="0"/>
                <w:color w:val="212121"/>
                <w:sz w:val="19"/>
              </w:rPr>
              <w:t>Jaundice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a distal common-bile-duct stricture or a pancreatic head mass.</w:t>
            </w:r>
          </w:p>
        </w:tc>
      </w:tr>
      <w:tr>
        <w:trPr>
          <w:cantSplit/>
        </w:trPr>
        <w:tc>
          <w:tcPr>
            <w:tcW w:type="dxa" w:w="2304"/>
            <w:vAlign w:val="top"/>
          </w:tcPr>
          <w:p>
            <w:pPr>
              <w:spacing w:after="40" w:before="0" w:line="259" w:lineRule="auto"/>
            </w:pPr>
            <w:r>
              <w:rPr>
                <w:rFonts w:ascii="Calibri" w:hAnsi="Calibri"/>
                <w:b/>
                <w:i w:val="0"/>
                <w:color w:val="212121"/>
                <w:sz w:val="19"/>
              </w:rPr>
              <w:t>Bone pain / easy fractures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vitamin D deficiency and metabolic bone disease (osteomalacia/osteoporosis).</w:t>
            </w:r>
          </w:p>
        </w:tc>
      </w:tr>
      <w:tr>
        <w:trPr>
          <w:cantSplit/>
        </w:trPr>
        <w:tc>
          <w:tcPr>
            <w:tcW w:type="dxa" w:w="2304"/>
            <w:vAlign w:val="top"/>
          </w:tcPr>
          <w:p>
            <w:pPr>
              <w:spacing w:after="40" w:before="0" w:line="259" w:lineRule="auto"/>
            </w:pPr>
            <w:r>
              <w:rPr>
                <w:rFonts w:ascii="Calibri" w:hAnsi="Calibri"/>
                <w:b/>
                <w:i w:val="0"/>
                <w:color w:val="212121"/>
                <w:sz w:val="19"/>
              </w:rPr>
              <w:t>Painless presentation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Some idiopathic/tropical patients present with diabetes or steatorrhoea rather than pain.</w:t>
            </w:r>
          </w:p>
        </w:tc>
      </w:tr>
      <w:tr>
        <w:trPr>
          <w:cantSplit/>
        </w:trPr>
        <w:tc>
          <w:tcPr>
            <w:tcW w:type="dxa" w:w="2304"/>
            <w:vAlign w:val="top"/>
          </w:tcPr>
          <w:p>
            <w:pPr>
              <w:spacing w:after="40" w:before="0" w:line="259" w:lineRule="auto"/>
            </w:pPr>
            <w:r>
              <w:rPr>
                <w:rFonts w:ascii="Calibri" w:hAnsi="Calibri"/>
                <w:b/>
                <w:i w:val="0"/>
                <w:color w:val="212121"/>
                <w:sz w:val="19"/>
              </w:rPr>
              <w:t>Night blindness or easy bruising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Late signs of vitamin A and vitamin K deficiency from severe malabsorption.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Epigastric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Localised upper-abdominal tenderness, often modest relative to the reported pain.</w:t>
            </w:r>
          </w:p>
        </w:tc>
      </w:tr>
      <w:tr>
        <w:trPr>
          <w:cantSplit/>
        </w:trPr>
        <w:tc>
          <w:tcPr>
            <w:tcW w:type="dxa" w:w="3456"/>
            <w:vAlign w:val="top"/>
          </w:tcPr>
          <w:p>
            <w:pPr>
              <w:spacing w:after="40" w:before="0" w:line="259" w:lineRule="auto"/>
            </w:pPr>
            <w:r>
              <w:rPr>
                <w:rFonts w:ascii="Calibri" w:hAnsi="Calibri"/>
                <w:b/>
                <w:i w:val="0"/>
                <w:color w:val="212121"/>
                <w:sz w:val="19"/>
              </w:rPr>
              <w:t>Weight loss / muscle wasting (cachexia)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loss of subcutaneous fat and muscle from chronic maldigestion.</w:t>
            </w:r>
          </w:p>
        </w:tc>
      </w:tr>
      <w:tr>
        <w:trPr>
          <w:cantSplit/>
        </w:trPr>
        <w:tc>
          <w:tcPr>
            <w:tcW w:type="dxa" w:w="3456"/>
            <w:vAlign w:val="top"/>
          </w:tcPr>
          <w:p>
            <w:pPr>
              <w:spacing w:after="40" w:before="0" w:line="259" w:lineRule="auto"/>
            </w:pPr>
            <w:r>
              <w:rPr>
                <w:rFonts w:ascii="Calibri" w:hAnsi="Calibri"/>
                <w:b/>
                <w:i w:val="0"/>
                <w:color w:val="212121"/>
                <w:sz w:val="19"/>
              </w:rPr>
              <w:t>Signs of malnutrition (pallor, glossitis, cheilosis)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 anaemia and micronutrient/vitamin deficiency.</w:t>
            </w:r>
          </w:p>
        </w:tc>
      </w:tr>
      <w:tr>
        <w:trPr>
          <w:cantSplit/>
        </w:trPr>
        <w:tc>
          <w:tcPr>
            <w:tcW w:type="dxa" w:w="3456"/>
            <w:vAlign w:val="top"/>
          </w:tcPr>
          <w:p>
            <w:pPr>
              <w:spacing w:after="40" w:before="0" w:line="259" w:lineRule="auto"/>
            </w:pPr>
            <w:r>
              <w:rPr>
                <w:rFonts w:ascii="Calibri" w:hAnsi="Calibri"/>
                <w:b/>
                <w:i w:val="0"/>
                <w:color w:val="212121"/>
                <w:sz w:val="19"/>
              </w:rPr>
              <w:t>Steatorrhoea on history/inspection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Greasy, foul-smelling stools that are hard to flush.</w:t>
            </w:r>
          </w:p>
        </w:tc>
      </w:tr>
      <w:tr>
        <w:trPr>
          <w:cantSplit/>
        </w:trPr>
        <w:tc>
          <w:tcPr>
            <w:tcW w:type="dxa" w:w="3456"/>
            <w:vAlign w:val="top"/>
          </w:tcPr>
          <w:p>
            <w:pPr>
              <w:spacing w:after="40" w:before="0" w:line="259" w:lineRule="auto"/>
            </w:pPr>
            <w:r>
              <w:rPr>
                <w:rFonts w:ascii="Calibri" w:hAnsi="Calibri"/>
                <w:b/>
                <w:i w:val="0"/>
                <w:color w:val="212121"/>
                <w:sz w:val="19"/>
              </w:rPr>
              <w:t>Palpable epigastric mass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Usually a pseudocyst; occasionally an inflammatory mass or tumour.</w:t>
            </w:r>
          </w:p>
        </w:tc>
      </w:tr>
      <w:tr>
        <w:trPr>
          <w:cantSplit/>
        </w:trPr>
        <w:tc>
          <w:tcPr>
            <w:tcW w:type="dxa" w:w="3456"/>
            <w:vAlign w:val="top"/>
          </w:tcPr>
          <w:p>
            <w:pPr>
              <w:spacing w:after="40" w:before="0" w:line="259" w:lineRule="auto"/>
            </w:pPr>
            <w:r>
              <w:rPr>
                <w:rFonts w:ascii="Calibri" w:hAnsi="Calibri"/>
                <w:b/>
                <w:i w:val="0"/>
                <w:color w:val="212121"/>
                <w:sz w:val="19"/>
              </w:rPr>
              <w:t>Jaundice / scleral icterus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biliary (CBD) stricture or a pancreatic head lesion.</w:t>
            </w:r>
          </w:p>
        </w:tc>
      </w:tr>
      <w:tr>
        <w:trPr>
          <w:cantSplit/>
        </w:trPr>
        <w:tc>
          <w:tcPr>
            <w:tcW w:type="dxa" w:w="3456"/>
            <w:vAlign w:val="top"/>
          </w:tcPr>
          <w:p>
            <w:pPr>
              <w:spacing w:after="40" w:before="0" w:line="259" w:lineRule="auto"/>
            </w:pPr>
            <w:r>
              <w:rPr>
                <w:rFonts w:ascii="Calibri" w:hAnsi="Calibri"/>
                <w:b/>
                <w:i w:val="0"/>
                <w:color w:val="212121"/>
                <w:sz w:val="19"/>
              </w:rPr>
              <w:t>Hepatomegaly / stigmata of alcohol liver disease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coexisting alcohol-related liver injury.</w:t>
            </w:r>
          </w:p>
        </w:tc>
      </w:tr>
      <w:tr>
        <w:trPr>
          <w:cantSplit/>
        </w:trPr>
        <w:tc>
          <w:tcPr>
            <w:tcW w:type="dxa" w:w="3456"/>
            <w:vAlign w:val="top"/>
          </w:tcPr>
          <w:p>
            <w:pPr>
              <w:spacing w:after="40" w:before="0" w:line="259" w:lineRule="auto"/>
            </w:pPr>
            <w:r>
              <w:rPr>
                <w:rFonts w:ascii="Calibri" w:hAnsi="Calibri"/>
                <w:b/>
                <w:i w:val="0"/>
                <w:color w:val="212121"/>
                <w:sz w:val="19"/>
              </w:rPr>
              <w:t>Ascites or pleural effusion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Pancreatic ascites/effusion from duct disruption, with very high fluid amylase.</w:t>
            </w:r>
          </w:p>
        </w:tc>
      </w:tr>
      <w:tr>
        <w:trPr>
          <w:cantSplit/>
        </w:trPr>
        <w:tc>
          <w:tcPr>
            <w:tcW w:type="dxa" w:w="3456"/>
            <w:vAlign w:val="top"/>
          </w:tcPr>
          <w:p>
            <w:pPr>
              <w:spacing w:after="40" w:before="0" w:line="259" w:lineRule="auto"/>
            </w:pPr>
            <w:r>
              <w:rPr>
                <w:rFonts w:ascii="Calibri" w:hAnsi="Calibri"/>
                <w:b/>
                <w:i w:val="0"/>
                <w:color w:val="212121"/>
                <w:sz w:val="19"/>
              </w:rPr>
              <w:t>Splenomegaly (left-sided portal hypertension)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From splenic-vein thrombosis causing isolated gastric varices.</w:t>
            </w:r>
          </w:p>
        </w:tc>
      </w:tr>
      <w:tr>
        <w:trPr>
          <w:cantSplit/>
        </w:trPr>
        <w:tc>
          <w:tcPr>
            <w:tcW w:type="dxa" w:w="3456"/>
            <w:vAlign w:val="top"/>
          </w:tcPr>
          <w:p>
            <w:pPr>
              <w:spacing w:after="40" w:before="0" w:line="259" w:lineRule="auto"/>
            </w:pPr>
            <w:r>
              <w:rPr>
                <w:rFonts w:ascii="Calibri" w:hAnsi="Calibri"/>
                <w:b/>
                <w:i w:val="0"/>
                <w:color w:val="212121"/>
                <w:sz w:val="19"/>
              </w:rPr>
              <w:t>Positive Chvostek / Trousseau sign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Neuromuscular irritability from hypocalcaemia/vitamin D deficiency.</w:t>
            </w:r>
          </w:p>
        </w:tc>
      </w:tr>
      <w:tr>
        <w:trPr>
          <w:cantSplit/>
        </w:trPr>
        <w:tc>
          <w:tcPr>
            <w:tcW w:type="dxa" w:w="3456"/>
            <w:vAlign w:val="top"/>
          </w:tcPr>
          <w:p>
            <w:pPr>
              <w:spacing w:after="40" w:before="0" w:line="259" w:lineRule="auto"/>
            </w:pPr>
            <w:r>
              <w:rPr>
                <w:rFonts w:ascii="Calibri" w:hAnsi="Calibri"/>
                <w:b/>
                <w:i w:val="0"/>
                <w:color w:val="212121"/>
                <w:sz w:val="19"/>
              </w:rPr>
              <w:t>Subcutaneous fat necrosis / tender skin nodules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Panniculitis from circulating lipase, an uncommon extrapancreatic sign.</w:t>
            </w:r>
          </w:p>
        </w:tc>
      </w:tr>
      <w:tr>
        <w:trPr>
          <w:cantSplit/>
        </w:trPr>
        <w:tc>
          <w:tcPr>
            <w:tcW w:type="dxa" w:w="3456"/>
            <w:vAlign w:val="top"/>
          </w:tcPr>
          <w:p>
            <w:pPr>
              <w:spacing w:after="40" w:before="0" w:line="259" w:lineRule="auto"/>
            </w:pPr>
            <w:r>
              <w:rPr>
                <w:rFonts w:ascii="Calibri" w:hAnsi="Calibri"/>
                <w:b/>
                <w:i w:val="0"/>
                <w:color w:val="212121"/>
                <w:sz w:val="19"/>
              </w:rPr>
              <w:t>Purpura / prolonged bleeding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From vitamin K malabsorption and coagulopathy in advanced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disabling abdominal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Exocrine pancreatic insufficiency with steatorrhoea and maldigestion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Protein-energy malnutrition and weight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Fat-soluble vitamin (A, D, E, K) and B12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Pancreatogenic (type 3c) / fibrocalculous pancreatic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bone disease (osteopenia, osteomalacia, osteoporosis)</w:t>
            </w:r>
          </w:p>
        </w:tc>
        <w:tc>
          <w:tcPr>
            <w:tcW w:type="dxa" w:w="2980"/>
            <w:vAlign w:val="top"/>
          </w:tcPr>
          <w:p>
            <w:pPr>
              <w:spacing w:after="40" w:before="0" w:line="259" w:lineRule="auto"/>
            </w:pPr>
            <w:r>
              <w:rPr>
                <w:rFonts w:ascii="Calibri" w:hAnsi="Calibri"/>
                <w:b w:val="0"/>
                <w:i w:val="0"/>
                <w:color w:val="212121"/>
                <w:sz w:val="19"/>
              </w:rPr>
              <w:t>Direct consequences of progressive loss of exocrine and endocrine pancreatic tissue and chronic pain.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Pancreatic pseudocyst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Pancreatic ascites and pleural effusion (ductal disruption)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Distal common-bile-duct stricture with obstructive jaundice / cholangitis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Duodenal (gastric outlet)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Splenic-vein thrombosis with left-sided portal hypertension and gastric varices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Pseudoaneurysm and gastrointestinal / intracystic haemorrhage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Main-duct strictures and obstructing intraductal stones</w:t>
            </w:r>
          </w:p>
        </w:tc>
        <w:tc>
          <w:tcPr>
            <w:tcW w:type="dxa" w:w="2980"/>
            <w:vAlign w:val="top"/>
          </w:tcPr>
          <w:p>
            <w:pPr>
              <w:spacing w:after="40" w:before="0" w:line="259" w:lineRule="auto"/>
            </w:pPr>
            <w:r>
              <w:rPr>
                <w:rFonts w:ascii="Calibri" w:hAnsi="Calibri"/>
                <w:b w:val="0"/>
                <w:i w:val="0"/>
                <w:color w:val="212121"/>
                <w:sz w:val="19"/>
              </w:rPr>
              <w:t>Local structural complications arising from fibrosis, ductal disruption and peripancreatic inflammation.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Pancreatic ductal adenocarcinoma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Brittle diabetes with recurrent hypoglycaemia (combined insulin and glucagon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Osteoporotic fragility fractures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Opioid dependence and chronic-pain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hospitalisation and poor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death from malnutrition, complications or malignancy</w:t>
            </w:r>
          </w:p>
        </w:tc>
        <w:tc>
          <w:tcPr>
            <w:tcW w:type="dxa" w:w="2980"/>
            <w:vAlign w:val="top"/>
          </w:tcPr>
          <w:p>
            <w:pPr>
              <w:spacing w:after="40" w:before="0" w:line="259" w:lineRule="auto"/>
            </w:pPr>
            <w:r>
              <w:rPr>
                <w:rFonts w:ascii="Calibri" w:hAnsi="Calibri"/>
                <w:b w:val="0"/>
                <w:i w:val="0"/>
                <w:color w:val="212121"/>
                <w:sz w:val="19"/>
              </w:rPr>
              <w:t>Irreversible, long-term outcomes driven by continued alcohol and smoking and by disease duration.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Pancreatogenic (type 3c) diabetes / FCPD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Islet loss causes brittle diabetes; both a marker of advanced disease and a major source of morbidity.</w:t>
            </w:r>
          </w:p>
          <w:p>
            <w:pPr>
              <w:spacing w:after="40" w:before="0" w:line="259" w:lineRule="auto"/>
            </w:pPr>
            <w:r>
              <w:rPr>
                <w:rFonts w:ascii="Calibri" w:hAnsi="Calibri"/>
                <w:b/>
                <w:i w:val="0"/>
                <w:color w:val="212121"/>
                <w:sz w:val="19"/>
              </w:rPr>
              <w:t>~30% overall (up to ~50% at 10 yrs in alcoholic CP)</w:t>
            </w:r>
          </w:p>
        </w:tc>
      </w:tr>
      <w:tr>
        <w:trPr>
          <w:cantSplit/>
        </w:trPr>
        <w:tc>
          <w:tcPr>
            <w:tcW w:type="dxa" w:w="2232"/>
            <w:vAlign w:val="top"/>
          </w:tcPr>
          <w:p>
            <w:pPr>
              <w:spacing w:after="40" w:before="0" w:line="259" w:lineRule="auto"/>
            </w:pPr>
            <w:r>
              <w:rPr>
                <w:rFonts w:ascii="Calibri" w:hAnsi="Calibri"/>
                <w:b/>
                <w:i w:val="0"/>
                <w:color w:val="212121"/>
                <w:sz w:val="19"/>
              </w:rPr>
              <w:t>Exocrine pancreatic insufficiency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Causes steatorrhoea, malnutrition and fat-soluble vitamin deficiency; treated with pancreatic enzyme replacement.</w:t>
            </w:r>
          </w:p>
          <w:p>
            <w:pPr>
              <w:spacing w:after="40" w:before="0" w:line="259" w:lineRule="auto"/>
            </w:pPr>
            <w:r>
              <w:rPr>
                <w:rFonts w:ascii="Calibri" w:hAnsi="Calibri"/>
                <w:b/>
                <w:i w:val="0"/>
                <w:color w:val="212121"/>
                <w:sz w:val="19"/>
              </w:rPr>
              <w:t>~60-90% within 10-12 yrs</w:t>
            </w:r>
          </w:p>
        </w:tc>
      </w:tr>
      <w:tr>
        <w:trPr>
          <w:cantSplit/>
        </w:trPr>
        <w:tc>
          <w:tcPr>
            <w:tcW w:type="dxa" w:w="2232"/>
            <w:vAlign w:val="top"/>
          </w:tcPr>
          <w:p>
            <w:pPr>
              <w:spacing w:after="40" w:before="0" w:line="259" w:lineRule="auto"/>
            </w:pPr>
            <w:r>
              <w:rPr>
                <w:rFonts w:ascii="Calibri" w:hAnsi="Calibri"/>
                <w:b/>
                <w:i w:val="0"/>
                <w:color w:val="212121"/>
                <w:sz w:val="19"/>
              </w:rPr>
              <w:t>Alcohol-use disorder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leading modifiable toxic cause; continued use accelerates pain, calcification and glandular failure.</w:t>
            </w:r>
          </w:p>
        </w:tc>
      </w:tr>
      <w:tr>
        <w:trPr>
          <w:cantSplit/>
        </w:trPr>
        <w:tc>
          <w:tcPr>
            <w:tcW w:type="dxa" w:w="2232"/>
            <w:vAlign w:val="top"/>
          </w:tcPr>
          <w:p>
            <w:pPr>
              <w:spacing w:after="40" w:before="0" w:line="259" w:lineRule="auto"/>
            </w:pPr>
            <w:r>
              <w:rPr>
                <w:rFonts w:ascii="Calibri" w:hAnsi="Calibri"/>
                <w:b/>
                <w:i w:val="0"/>
                <w:color w:val="212121"/>
                <w:sz w:val="19"/>
              </w:rPr>
              <w:t>Tobacco use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Independent, dose-dependent driver of progression, calcification and cancer, synergistic with alcohol.</w:t>
            </w:r>
          </w:p>
          <w:p>
            <w:pPr>
              <w:spacing w:after="40" w:before="0" w:line="259" w:lineRule="auto"/>
            </w:pPr>
            <w:r>
              <w:rPr>
                <w:rFonts w:ascii="Calibri" w:hAnsi="Calibri"/>
                <w:b/>
                <w:i w:val="0"/>
                <w:color w:val="212121"/>
                <w:sz w:val="19"/>
              </w:rPr>
              <w:t>~28% of Indian CP patients</w:t>
            </w:r>
          </w:p>
        </w:tc>
      </w:tr>
      <w:tr>
        <w:trPr>
          <w:cantSplit/>
        </w:trPr>
        <w:tc>
          <w:tcPr>
            <w:tcW w:type="dxa" w:w="2232"/>
            <w:vAlign w:val="top"/>
          </w:tcPr>
          <w:p>
            <w:pPr>
              <w:spacing w:after="40" w:before="0" w:line="259" w:lineRule="auto"/>
            </w:pPr>
            <w:r>
              <w:rPr>
                <w:rFonts w:ascii="Calibri" w:hAnsi="Calibri"/>
                <w:b/>
                <w:i w:val="0"/>
                <w:color w:val="212121"/>
                <w:sz w:val="19"/>
              </w:rPr>
              <w:t>Pancreatic ductal adenocarcinoma</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Chronic inflammation strongly raises cancer risk, highest in hereditary and tropical CP.</w:t>
            </w:r>
          </w:p>
          <w:p>
            <w:pPr>
              <w:spacing w:after="40" w:before="0" w:line="259" w:lineRule="auto"/>
            </w:pPr>
            <w:r>
              <w:rPr>
                <w:rFonts w:ascii="Calibri" w:hAnsi="Calibri"/>
                <w:b/>
                <w:i w:val="0"/>
                <w:color w:val="212121"/>
                <w:sz w:val="19"/>
              </w:rPr>
              <w:t>~4% at 20 yrs (SIR ~14-16)</w:t>
            </w:r>
          </w:p>
        </w:tc>
      </w:tr>
      <w:tr>
        <w:trPr>
          <w:cantSplit/>
        </w:trPr>
        <w:tc>
          <w:tcPr>
            <w:tcW w:type="dxa" w:w="2232"/>
            <w:vAlign w:val="top"/>
          </w:tcPr>
          <w:p>
            <w:pPr>
              <w:spacing w:after="40" w:before="0" w:line="259" w:lineRule="auto"/>
            </w:pPr>
            <w:r>
              <w:rPr>
                <w:rFonts w:ascii="Calibri" w:hAnsi="Calibri"/>
                <w:b/>
                <w:i w:val="0"/>
                <w:color w:val="212121"/>
                <w:sz w:val="19"/>
              </w:rPr>
              <w:t>Metabolic bone disease / vitamin D deficiency</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Malabsorption drives osteopenia, osteomalacia and fractures; supplement and consider DEXA.</w:t>
            </w:r>
          </w:p>
          <w:p>
            <w:pPr>
              <w:spacing w:after="40" w:before="0" w:line="259" w:lineRule="auto"/>
            </w:pPr>
            <w:r>
              <w:rPr>
                <w:rFonts w:ascii="Calibri" w:hAnsi="Calibri"/>
                <w:b/>
                <w:i w:val="0"/>
                <w:color w:val="212121"/>
                <w:sz w:val="19"/>
              </w:rPr>
              <w:t>Vit D deficiency ~87.6% (Indian cohort)</w:t>
            </w:r>
          </w:p>
        </w:tc>
      </w:tr>
      <w:tr>
        <w:trPr>
          <w:cantSplit/>
        </w:trPr>
        <w:tc>
          <w:tcPr>
            <w:tcW w:type="dxa" w:w="2232"/>
            <w:vAlign w:val="top"/>
          </w:tcPr>
          <w:p>
            <w:pPr>
              <w:spacing w:after="40" w:before="0" w:line="259" w:lineRule="auto"/>
            </w:pPr>
            <w:r>
              <w:rPr>
                <w:rFonts w:ascii="Calibri" w:hAnsi="Calibri"/>
                <w:b/>
                <w:i w:val="0"/>
                <w:color w:val="212121"/>
                <w:sz w:val="19"/>
              </w:rPr>
              <w:t>Pancreatic pseudocyst</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A common local complication that may cause pain, obstruction, infection or bleeding.</w:t>
            </w:r>
          </w:p>
        </w:tc>
      </w:tr>
      <w:tr>
        <w:trPr>
          <w:cantSplit/>
        </w:trPr>
        <w:tc>
          <w:tcPr>
            <w:tcW w:type="dxa" w:w="2232"/>
            <w:vAlign w:val="top"/>
          </w:tcPr>
          <w:p>
            <w:pPr>
              <w:spacing w:after="40" w:before="0" w:line="259" w:lineRule="auto"/>
            </w:pPr>
            <w:r>
              <w:rPr>
                <w:rFonts w:ascii="Calibri" w:hAnsi="Calibri"/>
                <w:b/>
                <w:i w:val="0"/>
                <w:color w:val="212121"/>
                <w:sz w:val="19"/>
              </w:rPr>
              <w:t>Biliary obstruction / cholestasis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A distal CBD stricture causes jaundice and predisposes to cholangitis; may need stenting or surgery.</w:t>
            </w:r>
          </w:p>
        </w:tc>
      </w:tr>
      <w:tr>
        <w:trPr>
          <w:cantSplit/>
        </w:trPr>
        <w:tc>
          <w:tcPr>
            <w:tcW w:type="dxa" w:w="2232"/>
            <w:vAlign w:val="top"/>
          </w:tcPr>
          <w:p>
            <w:pPr>
              <w:spacing w:after="40" w:before="0" w:line="259" w:lineRule="auto"/>
            </w:pPr>
            <w:r>
              <w:rPr>
                <w:rFonts w:ascii="Calibri" w:hAnsi="Calibri"/>
                <w:b/>
                <w:i w:val="0"/>
                <w:color w:val="212121"/>
                <w:sz w:val="19"/>
              </w:rPr>
              <w:t>Depression / chronic-pain syndrome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with alcohol-use disorder, unremitting pain and opioid dependence; worsens self-care.</w:t>
            </w:r>
          </w:p>
        </w:tc>
      </w:tr>
      <w:tr>
        <w:trPr>
          <w:cantSplit/>
        </w:trPr>
        <w:tc>
          <w:tcPr>
            <w:tcW w:type="dxa" w:w="2232"/>
            <w:vAlign w:val="top"/>
          </w:tcPr>
          <w:p>
            <w:pPr>
              <w:spacing w:after="40" w:before="0" w:line="259" w:lineRule="auto"/>
            </w:pPr>
            <w:r>
              <w:rPr>
                <w:rFonts w:ascii="Calibri" w:hAnsi="Calibri"/>
                <w:b/>
                <w:i w:val="0"/>
                <w:color w:val="212121"/>
                <w:sz w:val="19"/>
              </w:rPr>
              <w:t>Autoimmune pancreatitis (IgG4-related)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A steroid-responsive fibro-inflammatory subtype that can mimic pancreatic cancer.</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chronic pancreatitis is progressive and irreversible, but that stopping alcohol and tobacco can slow its course, reduce pain and lower the risk of pancreatic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in India the disease often begins young and is frequently idiopathic or genetic (SPINK1), so a family history of young-onset pancreatitis matters and warrants evaluation.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warning signs of complications - new or worsening jaundice, unexplained weight loss, persistent vomiting, black stools or high fever - and seek care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pancreatic enzyme replacement with every meal and snack if maldigestion or steatorrhoea is present, and keep up prescribed vitamin, calcium and vitamin D supplements.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review to screen for and manage diabetes, malnutrition, bone disease and, in long-standing disease, features suggesting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self-medicate escalating pain with increasing opioids; use a structured, medically supervised pain plan.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CP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Young/idiopathic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who drink or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hereditary pancreatitis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diabetes or malnutrition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complete, lifelong abstinence from alcohol, the single most important step to slow progression and reduce pain and further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Accept referral to structured de-addiction services, brief interventions and relapse-prevention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pharmacotherapy for alcohol-use disorder and manage any withdrawal safely under supervision.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and peer-support groups to sustain abstinence.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alcoholic CP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alcohol-use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attacks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use, since smoking independently accelerates calcification and progression and raises the already-elevated pancreatic cancer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Quit alcohol and tobacco together, as they act synergistically on the pancreas.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nicotine-replacement or other cessation aids as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Alcohol-related CP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Hereditary/tropical CP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adequate pancreatic enzyme replacement therapy (PERT) with meals and snacks to correct steatorrhoea and improve nutrition and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small, frequent, energy- and protein-adequate meals; a moderate-fat diet with PERT is usually better tolerated than severe fat restriction and prevents malnutrition.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Supplement and monitor fat-soluble vitamins (A, D, E, K), vitamin B12, calcium and, where needed, medium-chain triglycerides.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Assess bone health (vitamin D and DEXA) and treat osteopenia/osteoporosis.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large fatty meals and binge eating that precipitate pain, and maintain good hydration.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exocrine insufficiency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Malnourished/low-BMI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steatorrhoea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bone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an antioxidant-rich, balanced home diet with fruit, vegetables, whole grains and pulses to counter the oxidative-stress and micronutrient deficiency implicated in Indian CP.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antioxidant supplementation (selenium, vitamins C and E, methionine, beta-carotene) for pain where advised, as it can help some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fasting triglycerides below 150 mg/dL and correct hypercalcaemia to remove metabolic drivers of recurrent attacks.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Idiopathic/tropical CP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Metabolic-risk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tolerable physical activity and resistance/weight-bearing exercise to preserve muscle mass and bone density and improve glycaemic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to reach and hold a healthy weight; in CP the priority is usually to prevent wasting rather than to lose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activity with adequate nutrition and enzyme replacement so exercise does not worsen an energy deficit.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type 3c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bone disease/sarcopenia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are common with alcohol-use disorder and chronic disabling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integrated psychological support alongside de-addiction to sustain abstinence and reduce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multidisciplinary chronic-pain management to limit opioid dependence and improve function and quality of life.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alcohol-use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post-illness distress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7-9 hour sleep routine to support pain tolerance, mood and metabolic/glycaemic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pain and alcohol use, which are common causes of disrupted sleep in CP.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alcohol-use disorder</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hadvances.org/article/S2772-5723(22)00128-5/pdf" TargetMode="External"/><Relationship Id="rId10" Type="http://schemas.openxmlformats.org/officeDocument/2006/relationships/hyperlink" Target="https://link.springer.com/article/10.1007/s12664-014-0455-1" TargetMode="External"/><Relationship Id="rId11" Type="http://schemas.openxmlformats.org/officeDocument/2006/relationships/hyperlink" Target="https://actascientific.com/ASGIS/pdf/ASGIS-02-0070.pdf" TargetMode="External"/><Relationship Id="rId12" Type="http://schemas.openxmlformats.org/officeDocument/2006/relationships/hyperlink" Target="https://www.ncbi.nlm.nih.gov/books/NBK482325/" TargetMode="External"/><Relationship Id="rId13" Type="http://schemas.openxmlformats.org/officeDocument/2006/relationships/hyperlink" Target="https://journals.plos.org/plosone/article?id=10.1371/journal.pone.0124075" TargetMode="External"/><Relationship Id="rId14" Type="http://schemas.openxmlformats.org/officeDocument/2006/relationships/hyperlink" Target="https://link.springer.com/article/10.1007/s11894-012-0241-0" TargetMode="External"/><Relationship Id="rId15" Type="http://schemas.openxmlformats.org/officeDocument/2006/relationships/hyperlink" Target="https://pancreapedia.org/reviews/pancreatogenic-type-3c-diabetes" TargetMode="External"/><Relationship Id="rId16" Type="http://schemas.openxmlformats.org/officeDocument/2006/relationships/hyperlink" Target="https://www.ncbi.nlm.nih.gov/books/NBK555926/" TargetMode="External"/><Relationship Id="rId17" Type="http://schemas.openxmlformats.org/officeDocument/2006/relationships/hyperlink" Target="https://pubmed.ncbi.nlm.nih.gov/84794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