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Amoebiasis / Amoebic Liver Abscess</w:t>
      </w:r>
    </w:p>
    <w:p>
      <w:pPr>
        <w:spacing w:before="0" w:after="160"/>
      </w:pPr>
      <w:r>
        <w:rPr>
          <w:rFonts w:ascii="Calibri" w:hAnsi="Calibri"/>
          <w:b/>
          <w:i w:val="0"/>
          <w:color w:val="212121"/>
          <w:sz w:val="22"/>
        </w:rPr>
        <w:t xml:space="preserve">AKA </w:t>
      </w:r>
      <w:r>
        <w:rPr>
          <w:rFonts w:ascii="Calibri" w:hAnsi="Calibri"/>
          <w:b w:val="0"/>
          <w:i w:val="0"/>
          <w:color w:val="212121"/>
          <w:sz w:val="22"/>
        </w:rPr>
        <w:t>i.e., Amebiasis, Amoebic dysentery, Amoebic colitis, Entamoeba histolytica infection, Hepatic amoebiasis, Amoebic liver abscess (ALA), Amebic liver abscess, 'Amoebiasis'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Amoebiasis is an infection of the gastrointestinal tract - and sometimes other organs - caused by the protozoan parasite Entamoeba histolytica, acquired by faecal-oral ingestion of mature cysts from food or water contaminated with human faeces. The great majority of infections are asymptomatic luminal (non-invasive) carriage, but the trophozoite can invade the colonic mucosa to produce amoebic colitis or dysentery, and can spread through the portal circulation to the liver to form an amoebic liver abscess (ALA), the commonest extra-intestinal manifestation. ALA classically presents as a solitary, right-lobe hepatic collection of sterile reddish-brown 'anchovy-sauce' pus in a middle-aged man with fever and right upper-quadrant pain, and - untreated - may rupture into the pleura, peritoneum or pericardium.</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is highly endemic for amoebiasis, which remains a leading parasitic cause of diarrhoeal morbidity. A systematic review of Indian data (about 289,659 subjects across 12 states and 4 union territories) found Entamoeba histolytica in roughly 3-23% of asymptomatic people, 0.64-11% of symptomatic patients and 1-17.5% of HIV-infected individuals, with the highest burden reported from Tamil Nadu, the Andaman &amp; Nicobar Islands and North-East India. Amoebic liver abscess is the commonest extra-intestinal form: a 2025 Indian meta-analysis found that about 67% of all liver abscesses were amoebic, occurring predominantly in men (about 86%), with a history of alcohol use in about 63%, poor socioeconomic conditions in about 75% and diabetes in about 35%. In a North-Indian series, E. histolytica was identified by PCR in 86.4% of liver aspirates, and asymptomatic community carriage was about 10.5%. Globally, E. histolytica causes an estimated 50 million symptomatic infections and around 100,000 deaths each year and is the third leading parasitic cause of death.</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There is no single test that establishes amoebiasis in every setting; diagnosis combines clinical suspicion in an endemic or at-risk patient with parasitological, serological and imaging confirmation, and requires distinguishing pathogenic E. histolytica from the morphologically identical, non-pathogenic E. dispar and E. moshkovskii: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microscopy showing E. histolytica cysts or, in invasive disease, haematophagous (RBC-containing) trophozoites - rapid and cheap but under 60% sensitive and unable to distinguish E. histolytica from E. dispar/moshkovskii;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antigen detection by ELISA (e.g. Gal/GalNAc lectin antigen) - species-specific with sensitivity up to about 88%, useful in intestinal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 aspirate PCR (including nested multiplex PCR) - the reference standard, with about 92-100% sensitivity and specificity, which reliably differentiates E. histolytica from E. dispar and E. moshkovskii;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Amoebic serology (indirect haemagglutination or ELISA for anti-amoebic antibodies) - highly sensitive for invasive disease and liver abscess, but cannot separate current from past infection, which limits its value in endemic populations;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Imaging of the liver - ultrasonography or CT showing a rounded, usually solitary, hypoechoic lesion in the right lobe; diagnostic/therapeutic aspiration yields sterile, odourless, reddish-brown ('anchovy-sauce' or 'chocolate') pus in which trophozoites are seen mainly at the abscess wall;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Sigmoidoscopy/colonoscopy in colitis, showing discrete flask-shaped ulcers with normal intervening mucosa, and scrapings/biopsy from the ulcer edge for trophozoites;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laboratory findings (neutrophil leucocytosis, raised alkaline phosphatase and ESR/CRP, anaemia) and a prompt clinical response to nitroimidazole therapy that reinforces the diagnosis.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Amoebiasis is best classified by the site and invasiveness of infection, recognising that E. histolytica (invasive) must be separated from the harmless commensals E. dispar and E. moshkovskii:</w:t>
      </w:r>
    </w:p>
    <w:p>
      <w:pPr>
        <w:spacing w:before="0" w:after="80"/>
      </w:pPr>
      <w:r>
        <w:rPr>
          <w:rFonts w:ascii="Calibri" w:hAnsi="Calibri"/>
          <w:b w:val="0"/>
          <w:i w:val="0"/>
          <w:color w:val="212121"/>
          <w:sz w:val="21"/>
        </w:rPr>
        <w:t>(1) Asymptomatic (luminal, non-invasive) infection - cyst passers who harbour the parasite in the colonic lumen without invasion; this accounts for roughly 90% of infections and is the human reservoir that maintains transmission;</w:t>
      </w:r>
    </w:p>
    <w:p>
      <w:pPr>
        <w:spacing w:before="0" w:after="80"/>
      </w:pPr>
      <w:r>
        <w:rPr>
          <w:rFonts w:ascii="Calibri" w:hAnsi="Calibri"/>
          <w:b w:val="0"/>
          <w:i w:val="0"/>
          <w:color w:val="212121"/>
          <w:sz w:val="21"/>
        </w:rPr>
        <w:t>(2) Intestinal (invasive) amoebiasis - amoebic colitis and dysentery (bloody, mucoid diarrhoea with flask-shaped ulcers), and its severe forms: fulminant necrotising colitis, toxic megacolon, ameboma (an annular inflammatory colonic mass that can mimic carcinoma), and colonic perforation/haemorrhage;</w:t>
      </w:r>
    </w:p>
    <w:p>
      <w:pPr>
        <w:spacing w:before="0" w:after="80"/>
      </w:pPr>
      <w:r>
        <w:rPr>
          <w:rFonts w:ascii="Calibri" w:hAnsi="Calibri"/>
          <w:b w:val="0"/>
          <w:i w:val="0"/>
          <w:color w:val="212121"/>
          <w:sz w:val="21"/>
        </w:rPr>
        <w:t>(3) Extra-intestinal amoebiasis - amoebic liver abscess (by far the commonest), and rarer pleuropulmonary, pericardial, cerebral, splenic, peritoneal and cutaneous/genital disease resulting from haematogenous or direct spread;</w:t>
      </w:r>
    </w:p>
    <w:p>
      <w:pPr>
        <w:spacing w:before="0" w:after="80"/>
      </w:pPr>
      <w:r>
        <w:rPr>
          <w:rFonts w:ascii="Calibri" w:hAnsi="Calibri"/>
          <w:b w:val="0"/>
          <w:i w:val="0"/>
          <w:color w:val="212121"/>
          <w:sz w:val="21"/>
        </w:rPr>
        <w:t>(4) Amoebic liver abscess subtypes - characterised by lobe (right lobe in about 80% owing to streamlined portal flow from the right colon), number (usually solitary), and complications, chiefly rupture into the pleural space, peritoneum or pericardium and secondary bacterial infection.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Entamoeba histolytica infection: Faecal-oral ingestion of mature quadrinucleate cysts; excystation in the small bowel releases trophozoites that colonise the colon, and in a minority invade the mucosa or seed the liver via the portal vein.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Faecal-oral transmission and poor sanitation: Contaminated drinking water, food handled by cyst passers, use of untreated human excreta as fertiliser, open defecation and inadequate hand hygiene are the dominant drivers of endemic transmission in India.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Parasite virulence factors: Trophozoite adherence via the galactose/N-acetyl-galactosamine (Gal/GalNAc) lectin, secreted cysteine proteases and pore-forming amoebapores lyse epithelium and immune cells, producing flask-shaped ulcers and enabling portal invasion.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Alcohol use: Strongly associated with amoebic liver abscess - alcohol-related hepatic injury and altered Kupffer-cell/immune function favour abscess formation; a history of alcohol intake is present in roughly 63% of Indian ALA patients.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Male sex and host hormonal/behavioural factors: Invasive and hepatic disease shows a marked (about 86%) male predominance, attributed to a combination of hormonal effects on parasite killing, alcohol use and occupational exposure.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immunosuppression and comorbidity: Corticosteroid therapy, HIV infection, malnutrition, diabetes mellitus and pregnancy increase the risk of invasive disease and worsen outcomes; misdiagnosis as inflammatory bowel disease and steroid use can precipitate fulminant colitis.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to middle-aged adults</w:t>
            </w:r>
          </w:p>
        </w:tc>
        <w:tc>
          <w:tcPr>
            <w:tcW w:type="dxa" w:w="4276"/>
            <w:vAlign w:val="top"/>
          </w:tcPr>
          <w:p>
            <w:pPr>
              <w:spacing w:after="60" w:line="259" w:lineRule="auto"/>
            </w:pPr>
            <w:r>
              <w:rPr>
                <w:rFonts w:ascii="Calibri" w:hAnsi="Calibri"/>
                <w:b w:val="0"/>
                <w:i w:val="0"/>
                <w:color w:val="212121"/>
                <w:sz w:val="19"/>
              </w:rPr>
              <w:t>Amoebic liver abscess characteristically strikes working-age adults rather than children, reflecting the cumulative effect of alcohol use, occupational exposure and repeated faecal-oral infection in this group.</w:t>
            </w:r>
          </w:p>
          <w:p>
            <w:pPr>
              <w:spacing w:after="40" w:before="60" w:line="259" w:lineRule="auto"/>
            </w:pPr>
            <w:r>
              <w:rPr>
                <w:rFonts w:ascii="Calibri" w:hAnsi="Calibri"/>
                <w:b w:val="0"/>
                <w:i w:val="0"/>
                <w:color w:val="212121"/>
                <w:sz w:val="19"/>
              </w:rPr>
              <w:t>In a pooled Indian meta-analysis of amoebic liver abscess, the disease occurred overwhelmingly in adults, with about 86% of cases in men, typically of young to middle age.</w:t>
            </w:r>
          </w:p>
          <w:p>
            <w:pPr>
              <w:spacing w:after="40" w:line="252" w:lineRule="auto"/>
            </w:pPr>
            <w:hyperlink r:id="rId9">
              <w:r>
                <w:rPr>
                  <w:rFonts w:ascii="Calibri" w:hAnsi="Calibri" w:cs="Calibri"/>
                  <w:sz w:val="18"/>
                  <w:color w:val="1155CC"/>
                  <w:u w:val="single"/>
                </w:rPr>
                <w:t xml:space="preserve">link.springer.com - Epidemiology of amoebic liver abscess: meta-analysis from India</w:t>
              </w:r>
            </w:hyperlink>
          </w:p>
          <w:p>
            <w:pPr>
              <w:spacing w:before="60" w:after="40"/>
            </w:pPr>
            <w:r>
              <w:rPr>
                <w:rFonts w:ascii="Calibri" w:hAnsi="Calibri"/>
                <w:b w:val="0"/>
                <w:i w:val="0"/>
                <w:color w:val="5A5A5A"/>
                <w:sz w:val="18"/>
              </w:rPr>
              <w:t>#amoebiasis  #liverabscess  #adults  #workingage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and very young / infants</w:t>
            </w:r>
          </w:p>
        </w:tc>
        <w:tc>
          <w:tcPr>
            <w:tcW w:type="dxa" w:w="4276"/>
            <w:vAlign w:val="top"/>
          </w:tcPr>
          <w:p>
            <w:pPr>
              <w:spacing w:after="60" w:line="259" w:lineRule="auto"/>
            </w:pPr>
            <w:r>
              <w:rPr>
                <w:rFonts w:ascii="Calibri" w:hAnsi="Calibri"/>
                <w:b w:val="0"/>
                <w:i w:val="0"/>
                <w:color w:val="212121"/>
                <w:sz w:val="19"/>
              </w:rPr>
              <w:t>At the extremes of age, weaker mucosal and systemic immunity, comorbidity and delayed presentation predispose to severe, invasive and fulminant disease with higher mortality.</w:t>
            </w:r>
          </w:p>
          <w:p>
            <w:pPr>
              <w:spacing w:after="40" w:before="60" w:line="259" w:lineRule="auto"/>
            </w:pPr>
            <w:r>
              <w:rPr>
                <w:rFonts w:ascii="Calibri" w:hAnsi="Calibri"/>
                <w:b w:val="0"/>
                <w:i w:val="0"/>
                <w:color w:val="212121"/>
                <w:sz w:val="19"/>
              </w:rPr>
              <w:t>Fulminant necrotising amoebic colitis - most frequent at the extremes of age and in the immunosuppressed - carries a mortality of up to about 40%, far higher than uncomplicated disease.</w:t>
            </w:r>
          </w:p>
          <w:p>
            <w:pPr>
              <w:spacing w:after="40" w:line="252" w:lineRule="auto"/>
            </w:pPr>
            <w:hyperlink r:id="rId10">
              <w:r>
                <w:rPr>
                  <w:rFonts w:ascii="Calibri" w:hAnsi="Calibri" w:cs="Calibri"/>
                  <w:sz w:val="18"/>
                  <w:color w:val="1155CC"/>
                  <w:u w:val="single"/>
                </w:rPr>
                <w:t xml:space="preserve">ncbi.nlm.nih.gov - StatPearls: Entamoeba histolytica Infection</w:t>
              </w:r>
            </w:hyperlink>
          </w:p>
          <w:p>
            <w:pPr>
              <w:spacing w:before="60" w:after="40"/>
            </w:pPr>
            <w:r>
              <w:rPr>
                <w:rFonts w:ascii="Calibri" w:hAnsi="Calibri"/>
                <w:b w:val="0"/>
                <w:i w:val="0"/>
                <w:color w:val="5A5A5A"/>
                <w:sz w:val="18"/>
              </w:rPr>
              <w:t>#elderly  #infants  #fulminantcolitis  #severe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Invasive intestinal disease and especially liver abscess show a striking male preponderance, attributed to higher alcohol use, occupational and behavioural exposure, and a hormonal milieu that may impair parasite killing by liver macrophages.</w:t>
            </w:r>
          </w:p>
          <w:p>
            <w:pPr>
              <w:spacing w:after="40" w:before="60" w:line="259" w:lineRule="auto"/>
            </w:pPr>
            <w:r>
              <w:rPr>
                <w:rFonts w:ascii="Calibri" w:hAnsi="Calibri"/>
                <w:b w:val="0"/>
                <w:i w:val="0"/>
                <w:color w:val="212121"/>
                <w:sz w:val="19"/>
              </w:rPr>
              <w:t>About 86% of amoebic liver abscess cases in the Indian meta-analysis were male, one of the most consistent findings across studies.</w:t>
            </w:r>
          </w:p>
          <w:p>
            <w:pPr>
              <w:spacing w:after="40" w:line="252" w:lineRule="auto"/>
            </w:pPr>
            <w:hyperlink r:id="rId9">
              <w:r>
                <w:rPr>
                  <w:rFonts w:ascii="Calibri" w:hAnsi="Calibri" w:cs="Calibri"/>
                  <w:sz w:val="18"/>
                  <w:color w:val="1155CC"/>
                  <w:u w:val="single"/>
                </w:rPr>
                <w:t xml:space="preserve">link.springer.com - Epidemiology of amoebic liver abscess: meta-analysis from India</w:t>
              </w:r>
            </w:hyperlink>
          </w:p>
          <w:p>
            <w:pPr>
              <w:spacing w:before="60" w:after="40"/>
            </w:pPr>
            <w:r>
              <w:rPr>
                <w:rFonts w:ascii="Calibri" w:hAnsi="Calibri"/>
                <w:b w:val="0"/>
                <w:i w:val="0"/>
                <w:color w:val="5A5A5A"/>
                <w:sz w:val="18"/>
              </w:rPr>
              <w:t>#male  #sexratio  #invasivedisease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overcrowded, poorly sanitated communities</w:t>
            </w:r>
          </w:p>
        </w:tc>
        <w:tc>
          <w:tcPr>
            <w:tcW w:type="dxa" w:w="4276"/>
            <w:vAlign w:val="top"/>
          </w:tcPr>
          <w:p>
            <w:pPr>
              <w:spacing w:after="60" w:line="259" w:lineRule="auto"/>
            </w:pPr>
            <w:r>
              <w:rPr>
                <w:rFonts w:ascii="Calibri" w:hAnsi="Calibri"/>
                <w:b w:val="0"/>
                <w:i w:val="0"/>
                <w:color w:val="212121"/>
                <w:sz w:val="19"/>
              </w:rPr>
              <w:t>Poverty clusters with unsafe drinking water, absent sanitation, overcrowding and manual occupations, all of which raise the intensity of faecal-oral exposure to E. histolytica cysts.</w:t>
            </w:r>
          </w:p>
          <w:p>
            <w:pPr>
              <w:spacing w:after="40" w:before="60" w:line="259" w:lineRule="auto"/>
            </w:pPr>
            <w:r>
              <w:rPr>
                <w:rFonts w:ascii="Calibri" w:hAnsi="Calibri"/>
                <w:b w:val="0"/>
                <w:i w:val="0"/>
                <w:color w:val="212121"/>
                <w:sz w:val="19"/>
              </w:rPr>
              <w:t>About 75% of amoebic liver abscess patients in the Indian meta-analysis came from poor socioeconomic backgrounds.</w:t>
            </w:r>
          </w:p>
          <w:p>
            <w:pPr>
              <w:spacing w:after="40" w:line="252" w:lineRule="auto"/>
            </w:pPr>
            <w:hyperlink r:id="rId9">
              <w:r>
                <w:rPr>
                  <w:rFonts w:ascii="Calibri" w:hAnsi="Calibri" w:cs="Calibri"/>
                  <w:sz w:val="18"/>
                  <w:color w:val="1155CC"/>
                  <w:u w:val="single"/>
                </w:rPr>
                <w:t xml:space="preserve">link.springer.com - Epidemiology of amoebic liver abscess: meta-analysis from India</w:t>
              </w:r>
            </w:hyperlink>
          </w:p>
          <w:p>
            <w:pPr>
              <w:spacing w:before="60" w:after="40"/>
            </w:pPr>
            <w:r>
              <w:rPr>
                <w:rFonts w:ascii="Calibri" w:hAnsi="Calibri"/>
                <w:b w:val="0"/>
                <w:i w:val="0"/>
                <w:color w:val="5A5A5A"/>
                <w:sz w:val="18"/>
              </w:rPr>
              <w:t>#poverty  #sanitation  #overcrowding  #lowincome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Tamil Nadu, Andaman &amp; Nicobar Islands, North-East India</w:t>
            </w:r>
          </w:p>
        </w:tc>
        <w:tc>
          <w:tcPr>
            <w:tcW w:type="dxa" w:w="4276"/>
            <w:vAlign w:val="top"/>
          </w:tcPr>
          <w:p>
            <w:pPr>
              <w:spacing w:after="60" w:line="259" w:lineRule="auto"/>
            </w:pPr>
            <w:r>
              <w:rPr>
                <w:rFonts w:ascii="Calibri" w:hAnsi="Calibri"/>
                <w:b w:val="0"/>
                <w:i w:val="0"/>
                <w:color w:val="212121"/>
                <w:sz w:val="19"/>
              </w:rPr>
              <w:t>A hot, humid climate, high population density and gaps in water and sanitation infrastructure make these Indian regions the highest-burden areas for E. histolytica infection.</w:t>
            </w:r>
          </w:p>
          <w:p>
            <w:pPr>
              <w:spacing w:after="40" w:before="60" w:line="259" w:lineRule="auto"/>
            </w:pPr>
            <w:r>
              <w:rPr>
                <w:rFonts w:ascii="Calibri" w:hAnsi="Calibri"/>
                <w:b w:val="0"/>
                <w:i w:val="0"/>
                <w:color w:val="212121"/>
                <w:sz w:val="19"/>
              </w:rPr>
              <w:t>An Indian systematic review found the highest prevalence of amoebiasis in Tamil Nadu, the Andaman &amp; Nicobar Islands and North-East India.</w:t>
            </w:r>
          </w:p>
          <w:p>
            <w:pPr>
              <w:spacing w:after="40" w:line="252" w:lineRule="auto"/>
            </w:pPr>
            <w:hyperlink r:id="rId11">
              <w:r>
                <w:rPr>
                  <w:rFonts w:ascii="Calibri" w:hAnsi="Calibri" w:cs="Calibri"/>
                  <w:sz w:val="18"/>
                  <w:color w:val="1155CC"/>
                  <w:u w:val="single"/>
                </w:rPr>
                <w:t xml:space="preserve">link.springer.com - Prevalence of Amoebiasis and Associated Complications in India</w:t>
              </w:r>
            </w:hyperlink>
          </w:p>
          <w:p>
            <w:pPr>
              <w:spacing w:before="60" w:after="40"/>
            </w:pPr>
            <w:r>
              <w:rPr>
                <w:rFonts w:ascii="Calibri" w:hAnsi="Calibri"/>
                <w:b w:val="0"/>
                <w:i w:val="0"/>
                <w:color w:val="5A5A5A"/>
                <w:sz w:val="18"/>
              </w:rPr>
              <w:t>#tamilnadu  #northeastindia  #andaman  #endemic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Tropical rural and urban-slum India with poor sanitation</w:t>
            </w:r>
          </w:p>
        </w:tc>
        <w:tc>
          <w:tcPr>
            <w:tcW w:type="dxa" w:w="4276"/>
            <w:vAlign w:val="top"/>
          </w:tcPr>
          <w:p>
            <w:pPr>
              <w:spacing w:after="60" w:line="259" w:lineRule="auto"/>
            </w:pPr>
            <w:r>
              <w:rPr>
                <w:rFonts w:ascii="Calibri" w:hAnsi="Calibri"/>
                <w:b w:val="0"/>
                <w:i w:val="0"/>
                <w:color w:val="212121"/>
                <w:sz w:val="19"/>
              </w:rPr>
              <w:t>Amoebiasis is a disease of the developing tropics: absent or shared latrines, open defecation, untreated water and use of human excreta on crops sustain a large asymptomatic reservoir that seeds invasive disease.</w:t>
            </w:r>
          </w:p>
          <w:p>
            <w:pPr>
              <w:spacing w:after="40" w:before="60" w:line="259" w:lineRule="auto"/>
            </w:pPr>
            <w:r>
              <w:rPr>
                <w:rFonts w:ascii="Calibri" w:hAnsi="Calibri"/>
                <w:b w:val="0"/>
                <w:i w:val="0"/>
                <w:color w:val="212121"/>
                <w:sz w:val="19"/>
              </w:rPr>
              <w:t>In a North-Indian study, untreated drinking water (odds ratio about 1.75) and not washing hands before meals (odds ratio about 1.92) were independent risk factors for Entamoeba infection.</w:t>
            </w:r>
          </w:p>
          <w:p>
            <w:pPr>
              <w:spacing w:after="40" w:line="252" w:lineRule="auto"/>
            </w:pPr>
            <w:hyperlink r:id="rId12">
              <w:r>
                <w:rPr>
                  <w:rFonts w:ascii="Calibri" w:hAnsi="Calibri" w:cs="Calibri"/>
                  <w:sz w:val="18"/>
                  <w:color w:val="1155CC"/>
                  <w:u w:val="single"/>
                </w:rPr>
                <w:t xml:space="preserve">journals.plos.org - Epidemiology of Entamoeba spp. from North India</w:t>
              </w:r>
            </w:hyperlink>
          </w:p>
          <w:p>
            <w:pPr>
              <w:spacing w:before="60" w:after="40"/>
            </w:pPr>
            <w:r>
              <w:rPr>
                <w:rFonts w:ascii="Calibri" w:hAnsi="Calibri"/>
                <w:b w:val="0"/>
                <w:i w:val="0"/>
                <w:color w:val="5A5A5A"/>
                <w:sz w:val="18"/>
              </w:rPr>
              <w:t>#tropics  #slums  #opendefecation  #unsafewater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alcohol consumers</w:t>
            </w:r>
          </w:p>
        </w:tc>
        <w:tc>
          <w:tcPr>
            <w:tcW w:type="dxa" w:w="4276"/>
            <w:vAlign w:val="top"/>
          </w:tcPr>
          <w:p>
            <w:pPr>
              <w:spacing w:after="60" w:line="259" w:lineRule="auto"/>
            </w:pPr>
            <w:r>
              <w:rPr>
                <w:rFonts w:ascii="Calibri" w:hAnsi="Calibri"/>
                <w:b w:val="0"/>
                <w:i w:val="0"/>
                <w:color w:val="212121"/>
                <w:sz w:val="19"/>
              </w:rPr>
              <w:t>Alcohol is the strongest lifestyle association of amoebic liver abscess: alcohol-related hepatic injury and impaired Kupffer-cell (liver macrophage) function allow trophozoites reaching the liver to establish and enlarge an abscess.</w:t>
            </w:r>
          </w:p>
          <w:p>
            <w:pPr>
              <w:spacing w:after="40" w:before="60" w:line="259" w:lineRule="auto"/>
            </w:pPr>
            <w:r>
              <w:rPr>
                <w:rFonts w:ascii="Calibri" w:hAnsi="Calibri"/>
                <w:b w:val="0"/>
                <w:i w:val="0"/>
                <w:color w:val="212121"/>
                <w:sz w:val="19"/>
              </w:rPr>
              <w:t>About 63% of Indian amoebic liver abscess patients report a history of alcohol consumption.</w:t>
            </w:r>
          </w:p>
          <w:p>
            <w:pPr>
              <w:spacing w:after="40" w:line="252" w:lineRule="auto"/>
            </w:pPr>
            <w:hyperlink r:id="rId9">
              <w:r>
                <w:rPr>
                  <w:rFonts w:ascii="Calibri" w:hAnsi="Calibri" w:cs="Calibri"/>
                  <w:sz w:val="18"/>
                  <w:color w:val="1155CC"/>
                  <w:u w:val="single"/>
                </w:rPr>
                <w:t xml:space="preserve">link.springer.com - Epidemiology of amoebic liver abscess: meta-analysis from India</w:t>
              </w:r>
            </w:hyperlink>
          </w:p>
          <w:p>
            <w:pPr>
              <w:spacing w:before="60" w:after="40"/>
            </w:pPr>
            <w:r>
              <w:rPr>
                <w:rFonts w:ascii="Calibri" w:hAnsi="Calibri"/>
                <w:b w:val="0"/>
                <w:i w:val="0"/>
                <w:color w:val="5A5A5A"/>
                <w:sz w:val="18"/>
              </w:rPr>
              <w:t>#alcohol  #kupffercell  #liverabscess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 Sanitation behaviour</w:t>
            </w:r>
          </w:p>
        </w:tc>
        <w:tc>
          <w:tcPr>
            <w:tcW w:type="dxa" w:w="2160"/>
            <w:vAlign w:val="top"/>
          </w:tcPr>
          <w:p>
            <w:pPr>
              <w:spacing w:after="40" w:before="0" w:line="259" w:lineRule="auto"/>
            </w:pPr>
            <w:r>
              <w:rPr>
                <w:rFonts w:ascii="Calibri" w:hAnsi="Calibri"/>
                <w:b w:val="0"/>
                <w:i w:val="0"/>
                <w:color w:val="212121"/>
                <w:sz w:val="19"/>
              </w:rPr>
              <w:t>Poor hand hygiene, open defecation, unsafe water use</w:t>
            </w:r>
          </w:p>
        </w:tc>
        <w:tc>
          <w:tcPr>
            <w:tcW w:type="dxa" w:w="4276"/>
            <w:vAlign w:val="top"/>
          </w:tcPr>
          <w:p>
            <w:pPr>
              <w:spacing w:after="60" w:line="259" w:lineRule="auto"/>
            </w:pPr>
            <w:r>
              <w:rPr>
                <w:rFonts w:ascii="Calibri" w:hAnsi="Calibri"/>
                <w:b w:val="0"/>
                <w:i w:val="0"/>
                <w:color w:val="212121"/>
                <w:sz w:val="19"/>
              </w:rPr>
              <w:t>Because transmission is faecal-oral, hand-washing, safe excreta disposal and treated water are the pivotal behaviours; their absence markedly increases cyst ingestion.</w:t>
            </w:r>
          </w:p>
          <w:p>
            <w:pPr>
              <w:spacing w:after="40" w:before="60" w:line="259" w:lineRule="auto"/>
            </w:pPr>
            <w:r>
              <w:rPr>
                <w:rFonts w:ascii="Calibri" w:hAnsi="Calibri"/>
                <w:b w:val="0"/>
                <w:i w:val="0"/>
                <w:color w:val="212121"/>
                <w:sz w:val="19"/>
              </w:rPr>
              <w:t>Not washing hands before meals (odds ratio about 1.92) and lack of formal education (odds ratio about 1.89) independently increased the odds of Entamoeba infection in North India.</w:t>
            </w:r>
          </w:p>
          <w:p>
            <w:pPr>
              <w:spacing w:after="40" w:line="252" w:lineRule="auto"/>
            </w:pPr>
            <w:hyperlink r:id="rId12">
              <w:r>
                <w:rPr>
                  <w:rFonts w:ascii="Calibri" w:hAnsi="Calibri" w:cs="Calibri"/>
                  <w:sz w:val="18"/>
                  <w:color w:val="1155CC"/>
                  <w:u w:val="single"/>
                </w:rPr>
                <w:t xml:space="preserve">journals.plos.org - Epidemiology of Entamoeba spp. from North India</w:t>
              </w:r>
            </w:hyperlink>
          </w:p>
          <w:p>
            <w:pPr>
              <w:spacing w:before="60" w:after="40"/>
            </w:pPr>
            <w:r>
              <w:rPr>
                <w:rFonts w:ascii="Calibri" w:hAnsi="Calibri"/>
                <w:b w:val="0"/>
                <w:i w:val="0"/>
                <w:color w:val="5A5A5A"/>
                <w:sz w:val="18"/>
              </w:rPr>
              <w:t>#handhygiene  #sanitation  #faecaloral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Sexual practice</w:t>
            </w:r>
          </w:p>
        </w:tc>
        <w:tc>
          <w:tcPr>
            <w:tcW w:type="dxa" w:w="2160"/>
            <w:vAlign w:val="top"/>
          </w:tcPr>
          <w:p>
            <w:pPr>
              <w:spacing w:after="40" w:before="0" w:line="259" w:lineRule="auto"/>
            </w:pPr>
            <w:r>
              <w:rPr>
                <w:rFonts w:ascii="Calibri" w:hAnsi="Calibri"/>
                <w:b w:val="0"/>
                <w:i w:val="0"/>
                <w:color w:val="212121"/>
                <w:sz w:val="19"/>
              </w:rPr>
              <w:t>Men who have sex with men (MSM)</w:t>
            </w:r>
          </w:p>
        </w:tc>
        <w:tc>
          <w:tcPr>
            <w:tcW w:type="dxa" w:w="4276"/>
            <w:vAlign w:val="top"/>
          </w:tcPr>
          <w:p>
            <w:pPr>
              <w:spacing w:after="60" w:line="259" w:lineRule="auto"/>
            </w:pPr>
            <w:r>
              <w:rPr>
                <w:rFonts w:ascii="Calibri" w:hAnsi="Calibri"/>
                <w:b w:val="0"/>
                <w:i w:val="0"/>
                <w:color w:val="212121"/>
                <w:sz w:val="19"/>
              </w:rPr>
              <w:t>Oral-anal and faecal-oral sexual contact transmits E. histolytica cysts directly between partners, producing outbreaks of invasive amoebiasis independent of contaminated food or water, particularly where co-infection with HIV occurs.</w:t>
            </w:r>
          </w:p>
          <w:p>
            <w:pPr>
              <w:spacing w:after="40" w:before="60" w:line="259" w:lineRule="auto"/>
            </w:pPr>
            <w:r>
              <w:rPr>
                <w:rFonts w:ascii="Calibri" w:hAnsi="Calibri"/>
                <w:b w:val="0"/>
                <w:i w:val="0"/>
                <w:color w:val="212121"/>
                <w:sz w:val="19"/>
              </w:rPr>
              <w:t>Gay and bisexual men are a recognised high-risk group for amoebiasis because of increased faecal-oral transmission during sexual contact.</w:t>
            </w:r>
          </w:p>
          <w:p>
            <w:pPr>
              <w:spacing w:after="40" w:line="252" w:lineRule="auto"/>
            </w:pPr>
            <w:hyperlink r:id="rId10">
              <w:r>
                <w:rPr>
                  <w:rFonts w:ascii="Calibri" w:hAnsi="Calibri" w:cs="Calibri"/>
                  <w:sz w:val="18"/>
                  <w:color w:val="1155CC"/>
                  <w:u w:val="single"/>
                </w:rPr>
                <w:t xml:space="preserve">ncbi.nlm.nih.gov - StatPearls: Entamoeba histolytica Infection</w:t>
              </w:r>
            </w:hyperlink>
          </w:p>
          <w:p>
            <w:pPr>
              <w:spacing w:before="60" w:after="40"/>
            </w:pPr>
            <w:r>
              <w:rPr>
                <w:rFonts w:ascii="Calibri" w:hAnsi="Calibri"/>
                <w:b w:val="0"/>
                <w:i w:val="0"/>
                <w:color w:val="5A5A5A"/>
                <w:sz w:val="18"/>
              </w:rPr>
              <w:t>#MSM  #sexualtransmission  #faecaloral</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Consumers of raw salads, unwashed produce and street food</w:t>
            </w:r>
          </w:p>
        </w:tc>
        <w:tc>
          <w:tcPr>
            <w:tcW w:type="dxa" w:w="4276"/>
            <w:vAlign w:val="top"/>
          </w:tcPr>
          <w:p>
            <w:pPr>
              <w:spacing w:after="60" w:line="259" w:lineRule="auto"/>
            </w:pPr>
            <w:r>
              <w:rPr>
                <w:rFonts w:ascii="Calibri" w:hAnsi="Calibri"/>
                <w:b w:val="0"/>
                <w:i w:val="0"/>
                <w:color w:val="212121"/>
                <w:sz w:val="19"/>
              </w:rPr>
              <w:t>Cysts survive on raw vegetables and fruit irrigated with or washed in contaminated water, and on food handled by infected food-handlers; eating such items raw transfers viable cysts to the gut.</w:t>
            </w:r>
          </w:p>
          <w:p>
            <w:pPr>
              <w:spacing w:after="40" w:before="60" w:line="259" w:lineRule="auto"/>
            </w:pPr>
            <w:r>
              <w:rPr>
                <w:rFonts w:ascii="Calibri" w:hAnsi="Calibri"/>
                <w:b w:val="0"/>
                <w:i w:val="0"/>
                <w:color w:val="212121"/>
                <w:sz w:val="19"/>
              </w:rPr>
              <w:t>Raw vegetables, salads and street foods washed in contaminated water are classic vehicles for E. histolytica cysts in endemic settings.</w:t>
            </w:r>
          </w:p>
          <w:p>
            <w:pPr>
              <w:spacing w:before="60" w:after="40"/>
            </w:pPr>
            <w:r>
              <w:rPr>
                <w:rFonts w:ascii="Calibri" w:hAnsi="Calibri"/>
                <w:b w:val="0"/>
                <w:i w:val="0"/>
                <w:color w:val="5A5A5A"/>
                <w:sz w:val="18"/>
              </w:rPr>
              <w:t>#rawfood  #streetfood  #foodhandlers  #cysts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Drinking water</w:t>
            </w:r>
          </w:p>
        </w:tc>
        <w:tc>
          <w:tcPr>
            <w:tcW w:type="dxa" w:w="2160"/>
            <w:vAlign w:val="top"/>
          </w:tcPr>
          <w:p>
            <w:pPr>
              <w:spacing w:after="40" w:before="0" w:line="259" w:lineRule="auto"/>
            </w:pPr>
            <w:r>
              <w:rPr>
                <w:rFonts w:ascii="Calibri" w:hAnsi="Calibri"/>
                <w:b w:val="0"/>
                <w:i w:val="0"/>
                <w:color w:val="212121"/>
                <w:sz w:val="19"/>
              </w:rPr>
              <w:t>Users of untreated surface / well water</w:t>
            </w:r>
          </w:p>
        </w:tc>
        <w:tc>
          <w:tcPr>
            <w:tcW w:type="dxa" w:w="4276"/>
            <w:vAlign w:val="top"/>
          </w:tcPr>
          <w:p>
            <w:pPr>
              <w:spacing w:after="60" w:line="259" w:lineRule="auto"/>
            </w:pPr>
            <w:r>
              <w:rPr>
                <w:rFonts w:ascii="Calibri" w:hAnsi="Calibri"/>
                <w:b w:val="0"/>
                <w:i w:val="0"/>
                <w:color w:val="212121"/>
                <w:sz w:val="19"/>
              </w:rPr>
              <w:t>Drinking untreated water contaminated with faeces is a direct route for cyst ingestion; boiling, filtration or chlorination sharply reduces risk.</w:t>
            </w:r>
          </w:p>
          <w:p>
            <w:pPr>
              <w:spacing w:after="40" w:before="60" w:line="259" w:lineRule="auto"/>
            </w:pPr>
            <w:r>
              <w:rPr>
                <w:rFonts w:ascii="Calibri" w:hAnsi="Calibri"/>
                <w:b w:val="0"/>
                <w:i w:val="0"/>
                <w:color w:val="212121"/>
                <w:sz w:val="19"/>
              </w:rPr>
              <w:t>Consumption of untreated drinking water was an independent risk factor for Entamoeba infection in North India (odds ratio about 1.75).</w:t>
            </w:r>
          </w:p>
          <w:p>
            <w:pPr>
              <w:spacing w:after="40" w:line="252" w:lineRule="auto"/>
            </w:pPr>
            <w:hyperlink r:id="rId12">
              <w:r>
                <w:rPr>
                  <w:rFonts w:ascii="Calibri" w:hAnsi="Calibri" w:cs="Calibri"/>
                  <w:sz w:val="18"/>
                  <w:color w:val="1155CC"/>
                  <w:u w:val="single"/>
                </w:rPr>
                <w:t xml:space="preserve">journals.plos.org - Epidemiology of Entamoeba spp. from North India</w:t>
              </w:r>
            </w:hyperlink>
          </w:p>
          <w:p>
            <w:pPr>
              <w:spacing w:before="60" w:after="40"/>
            </w:pPr>
            <w:r>
              <w:rPr>
                <w:rFonts w:ascii="Calibri" w:hAnsi="Calibri"/>
                <w:b w:val="0"/>
                <w:i w:val="0"/>
                <w:color w:val="5A5A5A"/>
                <w:sz w:val="18"/>
              </w:rPr>
              <w:t>#unsafewater  #waterborne  #cysts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genetic susceptibility</w:t>
            </w:r>
          </w:p>
        </w:tc>
        <w:tc>
          <w:tcPr>
            <w:tcW w:type="dxa" w:w="2160"/>
            <w:vAlign w:val="top"/>
          </w:tcPr>
          <w:p>
            <w:pPr>
              <w:spacing w:after="40" w:before="0" w:line="259" w:lineRule="auto"/>
            </w:pPr>
            <w:r>
              <w:rPr>
                <w:rFonts w:ascii="Calibri" w:hAnsi="Calibri"/>
                <w:b w:val="0"/>
                <w:i w:val="0"/>
                <w:color w:val="212121"/>
                <w:sz w:val="19"/>
              </w:rPr>
              <w:t>Individuals with predisposing immune / receptor genotypes</w:t>
            </w:r>
          </w:p>
        </w:tc>
        <w:tc>
          <w:tcPr>
            <w:tcW w:type="dxa" w:w="4276"/>
            <w:vAlign w:val="top"/>
          </w:tcPr>
          <w:p>
            <w:pPr>
              <w:spacing w:after="60" w:line="259" w:lineRule="auto"/>
            </w:pPr>
            <w:r>
              <w:rPr>
                <w:rFonts w:ascii="Calibri" w:hAnsi="Calibri"/>
                <w:b w:val="0"/>
                <w:i w:val="0"/>
                <w:color w:val="212121"/>
                <w:sz w:val="19"/>
              </w:rPr>
              <w:t>Host genetics modulate the risk that infection becomes invasive: variants in the leptin-receptor gene and certain HLA class II alleles have been linked to increased susceptibility to intestinal amoebiasis and liver abscess, helping explain why only a minority of infected people develop invasive disease.</w:t>
            </w:r>
          </w:p>
          <w:p>
            <w:pPr>
              <w:spacing w:after="40" w:before="60" w:line="259" w:lineRule="auto"/>
            </w:pPr>
            <w:r>
              <w:rPr>
                <w:rFonts w:ascii="Calibri" w:hAnsi="Calibri"/>
                <w:b w:val="0"/>
                <w:i w:val="0"/>
                <w:color w:val="212121"/>
                <w:sz w:val="19"/>
              </w:rPr>
              <w:t>Only a small fraction of those colonised by E. histolytica develop invasive disease, and host genetic factors (e.g. leptin-receptor and HLA variants) are among the determinants of who progresses.</w:t>
            </w:r>
          </w:p>
          <w:p>
            <w:pPr>
              <w:spacing w:before="60" w:after="40"/>
            </w:pPr>
            <w:r>
              <w:rPr>
                <w:rFonts w:ascii="Calibri" w:hAnsi="Calibri"/>
                <w:b w:val="0"/>
                <w:i w:val="0"/>
                <w:color w:val="5A5A5A"/>
                <w:sz w:val="18"/>
              </w:rPr>
              <w:t>#hostgenetics  #leptinreceptor  #HLA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 household clustering</w:t>
            </w:r>
          </w:p>
        </w:tc>
        <w:tc>
          <w:tcPr>
            <w:tcW w:type="dxa" w:w="2160"/>
            <w:vAlign w:val="top"/>
          </w:tcPr>
          <w:p>
            <w:pPr>
              <w:spacing w:after="40" w:before="0" w:line="259" w:lineRule="auto"/>
            </w:pPr>
            <w:r>
              <w:rPr>
                <w:rFonts w:ascii="Calibri" w:hAnsi="Calibri"/>
                <w:b w:val="0"/>
                <w:i w:val="0"/>
                <w:color w:val="212121"/>
                <w:sz w:val="19"/>
              </w:rPr>
              <w:t>Household contacts of a cyst passer</w:t>
            </w:r>
          </w:p>
        </w:tc>
        <w:tc>
          <w:tcPr>
            <w:tcW w:type="dxa" w:w="4276"/>
            <w:vAlign w:val="top"/>
          </w:tcPr>
          <w:p>
            <w:pPr>
              <w:spacing w:after="60" w:line="259" w:lineRule="auto"/>
            </w:pPr>
            <w:r>
              <w:rPr>
                <w:rFonts w:ascii="Calibri" w:hAnsi="Calibri"/>
                <w:b w:val="0"/>
                <w:i w:val="0"/>
                <w:color w:val="212121"/>
                <w:sz w:val="19"/>
              </w:rPr>
              <w:t>Shared environment and a chronically infected asymptomatic carrier in the home produce familial clustering through ongoing faecal-oral transmission rather than pure heredity; treating the household reservoir is important.</w:t>
            </w:r>
          </w:p>
          <w:p>
            <w:pPr>
              <w:spacing w:after="40" w:before="60" w:line="259" w:lineRule="auto"/>
            </w:pPr>
            <w:r>
              <w:rPr>
                <w:rFonts w:ascii="Calibri" w:hAnsi="Calibri"/>
                <w:b w:val="0"/>
                <w:i w:val="0"/>
                <w:color w:val="212121"/>
                <w:sz w:val="19"/>
              </w:rPr>
              <w:t>Asymptomatic cyst passers, who make up the majority of infections, are the household reservoir that repeatedly infects close contacts.</w:t>
            </w:r>
          </w:p>
          <w:p>
            <w:pPr>
              <w:spacing w:after="40" w:line="252" w:lineRule="auto"/>
            </w:pPr>
            <w:hyperlink r:id="rId10">
              <w:r>
                <w:rPr>
                  <w:rFonts w:ascii="Calibri" w:hAnsi="Calibri" w:cs="Calibri"/>
                  <w:sz w:val="18"/>
                  <w:color w:val="1155CC"/>
                  <w:u w:val="single"/>
                </w:rPr>
                <w:t xml:space="preserve">ncbi.nlm.nih.gov - StatPearls: Entamoeba histolytica Infection</w:t>
              </w:r>
            </w:hyperlink>
          </w:p>
          <w:p>
            <w:pPr>
              <w:spacing w:before="60" w:after="40"/>
            </w:pPr>
            <w:r>
              <w:rPr>
                <w:rFonts w:ascii="Calibri" w:hAnsi="Calibri"/>
                <w:b w:val="0"/>
                <w:i w:val="0"/>
                <w:color w:val="5A5A5A"/>
                <w:sz w:val="18"/>
              </w:rPr>
              <w:t>#householdclustering  #cystpasser  #reservoir</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Hyperglycaemia impairs neutrophil and macrophage function, predisposing to larger and more numerous liver abscesses, secondary pyogenic co-infection and worse outcomes.</w:t>
            </w:r>
          </w:p>
          <w:p>
            <w:pPr>
              <w:spacing w:after="40" w:before="60" w:line="259" w:lineRule="auto"/>
            </w:pPr>
            <w:r>
              <w:rPr>
                <w:rFonts w:ascii="Calibri" w:hAnsi="Calibri"/>
                <w:b w:val="0"/>
                <w:i w:val="0"/>
                <w:color w:val="212121"/>
                <w:sz w:val="19"/>
              </w:rPr>
              <w:t>About 35% of Indian amoebic liver abscess patients were diabetic, a significant comorbid association.</w:t>
            </w:r>
          </w:p>
          <w:p>
            <w:pPr>
              <w:spacing w:after="40" w:line="252" w:lineRule="auto"/>
            </w:pPr>
            <w:hyperlink r:id="rId9">
              <w:r>
                <w:rPr>
                  <w:rFonts w:ascii="Calibri" w:hAnsi="Calibri" w:cs="Calibri"/>
                  <w:sz w:val="18"/>
                  <w:color w:val="1155CC"/>
                  <w:u w:val="single"/>
                </w:rPr>
                <w:t xml:space="preserve">link.springer.com - Epidemiology of amoebic liver abscess: meta-analysis from India</w:t>
              </w:r>
            </w:hyperlink>
          </w:p>
          <w:p>
            <w:pPr>
              <w:spacing w:before="60" w:after="40"/>
            </w:pPr>
            <w:r>
              <w:rPr>
                <w:rFonts w:ascii="Calibri" w:hAnsi="Calibri"/>
                <w:b w:val="0"/>
                <w:i w:val="0"/>
                <w:color w:val="5A5A5A"/>
                <w:sz w:val="18"/>
              </w:rPr>
              <w:t>#diabetes  #immunecompromise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HIV-infected and immunosuppressed patients</w:t>
            </w:r>
          </w:p>
        </w:tc>
        <w:tc>
          <w:tcPr>
            <w:tcW w:type="dxa" w:w="4276"/>
            <w:vAlign w:val="top"/>
          </w:tcPr>
          <w:p>
            <w:pPr>
              <w:spacing w:after="60" w:line="259" w:lineRule="auto"/>
            </w:pPr>
            <w:r>
              <w:rPr>
                <w:rFonts w:ascii="Calibri" w:hAnsi="Calibri"/>
                <w:b w:val="0"/>
                <w:i w:val="0"/>
                <w:color w:val="212121"/>
                <w:sz w:val="19"/>
              </w:rPr>
              <w:t>Impaired cell-mediated immunity increases carriage and the risk of invasive colitis and liver abscess; corticosteroids given for a mistaken diagnosis of inflammatory bowel disease can precipitate fulminant amoebic colitis.</w:t>
            </w:r>
          </w:p>
          <w:p>
            <w:pPr>
              <w:spacing w:after="40" w:before="60" w:line="259" w:lineRule="auto"/>
            </w:pPr>
            <w:r>
              <w:rPr>
                <w:rFonts w:ascii="Calibri" w:hAnsi="Calibri"/>
                <w:b w:val="0"/>
                <w:i w:val="0"/>
                <w:color w:val="212121"/>
                <w:sz w:val="19"/>
              </w:rPr>
              <w:t>Amoebiasis was detected in about 1-17.5% of HIV-infected individuals in Indian studies.</w:t>
            </w:r>
          </w:p>
          <w:p>
            <w:pPr>
              <w:spacing w:after="40" w:line="252" w:lineRule="auto"/>
            </w:pPr>
            <w:hyperlink r:id="rId11">
              <w:r>
                <w:rPr>
                  <w:rFonts w:ascii="Calibri" w:hAnsi="Calibri" w:cs="Calibri"/>
                  <w:sz w:val="18"/>
                  <w:color w:val="1155CC"/>
                  <w:u w:val="single"/>
                </w:rPr>
                <w:t xml:space="preserve">link.springer.com - Prevalence of Amoebiasis and Associated Complications in India</w:t>
              </w:r>
            </w:hyperlink>
          </w:p>
          <w:p>
            <w:pPr>
              <w:spacing w:before="60" w:after="40"/>
            </w:pPr>
            <w:r>
              <w:rPr>
                <w:rFonts w:ascii="Calibri" w:hAnsi="Calibri"/>
                <w:b w:val="0"/>
                <w:i w:val="0"/>
                <w:color w:val="5A5A5A"/>
                <w:sz w:val="18"/>
              </w:rPr>
              <w:t>#HIV  #immunosuppression  #steroids  #invasivedisease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 / anaemia</w:t>
            </w:r>
          </w:p>
        </w:tc>
        <w:tc>
          <w:tcPr>
            <w:tcW w:type="dxa" w:w="2160"/>
            <w:vAlign w:val="top"/>
          </w:tcPr>
          <w:p>
            <w:pPr>
              <w:spacing w:after="40" w:before="0" w:line="259" w:lineRule="auto"/>
            </w:pPr>
            <w:r>
              <w:rPr>
                <w:rFonts w:ascii="Calibri" w:hAnsi="Calibri"/>
                <w:b w:val="0"/>
                <w:i w:val="0"/>
                <w:color w:val="212121"/>
                <w:sz w:val="19"/>
              </w:rPr>
              <w:t>Malnourished, anaemic patients</w:t>
            </w:r>
          </w:p>
        </w:tc>
        <w:tc>
          <w:tcPr>
            <w:tcW w:type="dxa" w:w="4276"/>
            <w:vAlign w:val="top"/>
          </w:tcPr>
          <w:p>
            <w:pPr>
              <w:spacing w:after="60" w:line="259" w:lineRule="auto"/>
            </w:pPr>
            <w:r>
              <w:rPr>
                <w:rFonts w:ascii="Calibri" w:hAnsi="Calibri"/>
                <w:b w:val="0"/>
                <w:i w:val="0"/>
                <w:color w:val="212121"/>
                <w:sz w:val="19"/>
              </w:rPr>
              <w:t>Undernutrition weakens mucosal and systemic immune defences and is both a risk factor for and a consequence of invasive amoebiasis; anaemia is very common at presentation.</w:t>
            </w:r>
          </w:p>
          <w:p>
            <w:pPr>
              <w:spacing w:after="40" w:before="60" w:line="259" w:lineRule="auto"/>
            </w:pPr>
            <w:r>
              <w:rPr>
                <w:rFonts w:ascii="Calibri" w:hAnsi="Calibri"/>
                <w:b w:val="0"/>
                <w:i w:val="0"/>
                <w:color w:val="212121"/>
                <w:sz w:val="19"/>
              </w:rPr>
              <w:t>Anaemia was present in about 69% of Indian amoebic liver abscess patients.</w:t>
            </w:r>
          </w:p>
          <w:p>
            <w:pPr>
              <w:spacing w:after="40" w:line="252" w:lineRule="auto"/>
            </w:pPr>
            <w:hyperlink r:id="rId9">
              <w:r>
                <w:rPr>
                  <w:rFonts w:ascii="Calibri" w:hAnsi="Calibri" w:cs="Calibri"/>
                  <w:sz w:val="18"/>
                  <w:color w:val="1155CC"/>
                  <w:u w:val="single"/>
                </w:rPr>
                <w:t xml:space="preserve">link.springer.com - Epidemiology of amoebic liver abscess: meta-analysis from India</w:t>
              </w:r>
            </w:hyperlink>
          </w:p>
          <w:p>
            <w:pPr>
              <w:spacing w:before="60" w:after="40"/>
            </w:pPr>
            <w:r>
              <w:rPr>
                <w:rFonts w:ascii="Calibri" w:hAnsi="Calibri"/>
                <w:b w:val="0"/>
                <w:i w:val="0"/>
                <w:color w:val="5A5A5A"/>
                <w:sz w:val="18"/>
              </w:rPr>
              <w:t>#malnutrition  #anaemia  #mucosalimmunity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The relative immune modulation of pregnancy increases the risk and severity of invasive amoebiasis, including fulminant colitis and liver abscess, warranting prompt treatment.</w:t>
            </w:r>
          </w:p>
          <w:p>
            <w:pPr>
              <w:spacing w:after="40" w:before="60" w:line="259" w:lineRule="auto"/>
            </w:pPr>
            <w:r>
              <w:rPr>
                <w:rFonts w:ascii="Calibri" w:hAnsi="Calibri"/>
                <w:b w:val="0"/>
                <w:i w:val="0"/>
                <w:color w:val="212121"/>
                <w:sz w:val="19"/>
              </w:rPr>
              <w:t>Pregnant and immunocompromised individuals are recognised groups at higher risk of severe invasive amoebiasis.</w:t>
            </w:r>
          </w:p>
          <w:p>
            <w:pPr>
              <w:spacing w:after="40" w:line="252" w:lineRule="auto"/>
            </w:pPr>
            <w:hyperlink r:id="rId10">
              <w:r>
                <w:rPr>
                  <w:rFonts w:ascii="Calibri" w:hAnsi="Calibri" w:cs="Calibri"/>
                  <w:sz w:val="18"/>
                  <w:color w:val="1155CC"/>
                  <w:u w:val="single"/>
                </w:rPr>
                <w:t xml:space="preserve">ncbi.nlm.nih.gov - StatPearls: Entamoeba histolytica Infection</w:t>
              </w:r>
            </w:hyperlink>
          </w:p>
          <w:p>
            <w:pPr>
              <w:spacing w:before="60" w:after="40"/>
            </w:pPr>
            <w:r>
              <w:rPr>
                <w:rFonts w:ascii="Calibri" w:hAnsi="Calibri"/>
                <w:b w:val="0"/>
                <w:i w:val="0"/>
                <w:color w:val="5A5A5A"/>
                <w:sz w:val="18"/>
              </w:rPr>
              <w:t>#pregnancy  #invasivedisease  #severity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determinant of amoebiasis, which is an infection acquired faecal-orally; activity matters only for general recovery and reconditioning after a prolonged illness or abscess drainage.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Food and water are the principal vehicles of transmission. Cysts on raw produce, salads and street food handled by infected food-handlers, and food washed in contaminated water, are central to acquisition; safe food practices are core prevention.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established causal role; acute fever, pain and systemic illness may disrupt sleep, but it neither causes nor prevents the infection.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is not a recognised independent driver of amoebiasis, though it worsens general health and often coexists with alcohol use in the same at-risk men.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the strongest lifestyle association of amoebic liver abscess: alcohol-related liver injury and impaired Kupffer-cell function favour abscess formation, and about 63% of Indian ALA patients drink alcohol.</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causal link to the infection; the burden of prolonged illness, hospitalisation and abscess drainage can affect mood, but mental health is not a driver of disease.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Untreated, faecally contaminated drinking water is a primary transmission route; consuming untreated water independently raised infection risk (odds ratio about 1.75) in North India, and safe water is a mainstay of prevention.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meaningful relationship with amoebiasis risk or course.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Hand-washing, safe excreta disposal and sanitation are decisive for a faecal-orally transmitted parasite; not washing hands before meals independently increased infection odds (about 1.92) and improving sanitation reduces community transmission.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corticosteroid/immunosuppressive therapy, HIV, diabetes, malnutrition and pregnancy convert asymptomatic carriage into invasive colitis or liver abscess and worsen severity; steroids given for a misdiagnosis of IBD can precipitate fulminant colitis.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source / treatment</w:t>
            </w:r>
          </w:p>
        </w:tc>
        <w:tc>
          <w:tcPr>
            <w:tcW w:type="dxa" w:w="1655"/>
            <w:vAlign w:val="top"/>
          </w:tcPr>
          <w:p>
            <w:pPr>
              <w:spacing w:after="40" w:before="0" w:line="259" w:lineRule="auto"/>
            </w:pPr>
            <w:r>
              <w:rPr>
                <w:rFonts w:ascii="Calibri" w:hAnsi="Calibri"/>
                <w:b w:val="0"/>
                <w:i w:val="0"/>
                <w:color w:val="212121"/>
                <w:sz w:val="19"/>
              </w:rPr>
              <w:t>All at-risk individuals</w:t>
            </w:r>
          </w:p>
        </w:tc>
        <w:tc>
          <w:tcPr>
            <w:tcW w:type="dxa" w:w="1512"/>
            <w:vAlign w:val="top"/>
          </w:tcPr>
          <w:p>
            <w:pPr>
              <w:spacing w:after="40" w:before="0" w:line="259" w:lineRule="auto"/>
            </w:pPr>
            <w:r>
              <w:rPr>
                <w:rFonts w:ascii="Calibri" w:hAnsi="Calibri"/>
                <w:b w:val="0"/>
                <w:i w:val="0"/>
                <w:color w:val="212121"/>
                <w:sz w:val="19"/>
              </w:rPr>
              <w:t>Boiled, filtered or chlorinated water</w:t>
            </w:r>
          </w:p>
        </w:tc>
        <w:tc>
          <w:tcPr>
            <w:tcW w:type="dxa" w:w="1512"/>
            <w:vAlign w:val="top"/>
          </w:tcPr>
          <w:p>
            <w:pPr>
              <w:spacing w:after="40" w:before="0" w:line="259" w:lineRule="auto"/>
            </w:pPr>
            <w:r>
              <w:rPr>
                <w:rFonts w:ascii="Calibri" w:hAnsi="Calibri"/>
                <w:b w:val="0"/>
                <w:i w:val="0"/>
                <w:color w:val="212121"/>
                <w:sz w:val="19"/>
              </w:rPr>
              <w:t>Untreated surface / well water</w:t>
            </w:r>
          </w:p>
        </w:tc>
        <w:tc>
          <w:tcPr>
            <w:tcW w:type="dxa" w:w="1468"/>
            <w:vAlign w:val="top"/>
          </w:tcPr>
          <w:p>
            <w:pPr>
              <w:spacing w:after="60" w:line="259" w:lineRule="auto"/>
            </w:pPr>
            <w:r>
              <w:rPr>
                <w:rFonts w:ascii="Calibri" w:hAnsi="Calibri"/>
                <w:b w:val="0"/>
                <w:i w:val="0"/>
                <w:color w:val="212121"/>
                <w:sz w:val="19"/>
              </w:rPr>
              <w:t>Untreated water independently raised Entamoeba infection odds (about 1.75) in North India.</w:t>
            </w:r>
          </w:p>
          <w:p>
            <w:pPr>
              <w:spacing w:after="40" w:line="252" w:lineRule="auto"/>
            </w:pPr>
            <w:hyperlink r:id="rId12">
              <w:r>
                <w:rPr>
                  <w:rFonts w:ascii="Calibri" w:hAnsi="Calibri" w:cs="Calibri"/>
                  <w:sz w:val="18"/>
                  <w:color w:val="1155CC"/>
                  <w:u w:val="single"/>
                </w:rPr>
                <w:t xml:space="preserve">https://journals.plos.org/plosntds/article?id=10.1371%2Fjournal.pntd.0009762</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before meals / after defecation</w:t>
            </w:r>
          </w:p>
        </w:tc>
        <w:tc>
          <w:tcPr>
            <w:tcW w:type="dxa" w:w="1655"/>
            <w:vAlign w:val="top"/>
          </w:tcPr>
          <w:p>
            <w:pPr>
              <w:spacing w:after="40" w:before="0" w:line="259" w:lineRule="auto"/>
            </w:pPr>
            <w:r>
              <w:rPr>
                <w:rFonts w:ascii="Calibri" w:hAnsi="Calibri"/>
                <w:b w:val="0"/>
                <w:i w:val="0"/>
                <w:color w:val="212121"/>
                <w:sz w:val="19"/>
              </w:rPr>
              <w:t>All individuals, food-handlers</w:t>
            </w:r>
          </w:p>
        </w:tc>
        <w:tc>
          <w:tcPr>
            <w:tcW w:type="dxa" w:w="1512"/>
            <w:vAlign w:val="top"/>
          </w:tcPr>
          <w:p>
            <w:pPr>
              <w:spacing w:after="40" w:before="0" w:line="259" w:lineRule="auto"/>
            </w:pPr>
            <w:r>
              <w:rPr>
                <w:rFonts w:ascii="Calibri" w:hAnsi="Calibri"/>
                <w:b w:val="0"/>
                <w:i w:val="0"/>
                <w:color w:val="212121"/>
                <w:sz w:val="19"/>
              </w:rPr>
              <w:t>Always, with soap and water</w:t>
            </w:r>
          </w:p>
        </w:tc>
        <w:tc>
          <w:tcPr>
            <w:tcW w:type="dxa" w:w="1512"/>
            <w:vAlign w:val="top"/>
          </w:tcPr>
          <w:p>
            <w:pPr>
              <w:spacing w:after="40" w:before="0" w:line="259" w:lineRule="auto"/>
            </w:pPr>
            <w:r>
              <w:rPr>
                <w:rFonts w:ascii="Calibri" w:hAnsi="Calibri"/>
                <w:b w:val="0"/>
                <w:i w:val="0"/>
                <w:color w:val="212121"/>
                <w:sz w:val="19"/>
              </w:rPr>
              <w:t>Not washing hands before meals</w:t>
            </w:r>
          </w:p>
        </w:tc>
        <w:tc>
          <w:tcPr>
            <w:tcW w:type="dxa" w:w="1468"/>
            <w:vAlign w:val="top"/>
          </w:tcPr>
          <w:p>
            <w:pPr>
              <w:spacing w:after="60" w:line="259" w:lineRule="auto"/>
            </w:pPr>
            <w:r>
              <w:rPr>
                <w:rFonts w:ascii="Calibri" w:hAnsi="Calibri"/>
                <w:b w:val="0"/>
                <w:i w:val="0"/>
                <w:color w:val="212121"/>
                <w:sz w:val="19"/>
              </w:rPr>
              <w:t>Not washing hands before meals independently raised infection odds (about 1.92).</w:t>
            </w:r>
          </w:p>
          <w:p>
            <w:pPr>
              <w:spacing w:after="40" w:line="252" w:lineRule="auto"/>
            </w:pPr>
            <w:hyperlink r:id="rId12">
              <w:r>
                <w:rPr>
                  <w:rFonts w:ascii="Calibri" w:hAnsi="Calibri" w:cs="Calibri"/>
                  <w:sz w:val="18"/>
                  <w:color w:val="1155CC"/>
                  <w:u w:val="single"/>
                </w:rPr>
                <w:t xml:space="preserve">https://journals.plos.org/plosntds/article?id=10.1371%2Fjournal.pntd.0009762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Sanitation / toilet access</w:t>
            </w:r>
          </w:p>
        </w:tc>
        <w:tc>
          <w:tcPr>
            <w:tcW w:type="dxa" w:w="1655"/>
            <w:vAlign w:val="top"/>
          </w:tcPr>
          <w:p>
            <w:pPr>
              <w:spacing w:after="40" w:before="0" w:line="259" w:lineRule="auto"/>
            </w:pPr>
            <w:r>
              <w:rPr>
                <w:rFonts w:ascii="Calibri" w:hAnsi="Calibri"/>
                <w:b w:val="0"/>
                <w:i w:val="0"/>
                <w:color w:val="212121"/>
                <w:sz w:val="19"/>
              </w:rPr>
              <w:t>Households and communities</w:t>
            </w:r>
          </w:p>
        </w:tc>
        <w:tc>
          <w:tcPr>
            <w:tcW w:type="dxa" w:w="1512"/>
            <w:vAlign w:val="top"/>
          </w:tcPr>
          <w:p>
            <w:pPr>
              <w:spacing w:after="40" w:before="0" w:line="259" w:lineRule="auto"/>
            </w:pPr>
            <w:r>
              <w:rPr>
                <w:rFonts w:ascii="Calibri" w:hAnsi="Calibri"/>
                <w:b w:val="0"/>
                <w:i w:val="0"/>
                <w:color w:val="212121"/>
                <w:sz w:val="19"/>
              </w:rPr>
              <w:t>Use of a sanitary latrine</w:t>
            </w:r>
          </w:p>
        </w:tc>
        <w:tc>
          <w:tcPr>
            <w:tcW w:type="dxa" w:w="1512"/>
            <w:vAlign w:val="top"/>
          </w:tcPr>
          <w:p>
            <w:pPr>
              <w:spacing w:after="40" w:before="0" w:line="259" w:lineRule="auto"/>
            </w:pPr>
            <w:r>
              <w:rPr>
                <w:rFonts w:ascii="Calibri" w:hAnsi="Calibri"/>
                <w:b w:val="0"/>
                <w:i w:val="0"/>
                <w:color w:val="212121"/>
                <w:sz w:val="19"/>
              </w:rPr>
              <w:t>Open defecation / shared unsafe latrine</w:t>
            </w:r>
          </w:p>
        </w:tc>
        <w:tc>
          <w:tcPr>
            <w:tcW w:type="dxa" w:w="1468"/>
            <w:vAlign w:val="top"/>
          </w:tcPr>
          <w:p>
            <w:pPr>
              <w:spacing w:after="40" w:before="0" w:line="259" w:lineRule="auto"/>
            </w:pPr>
            <w:r>
              <w:rPr>
                <w:rFonts w:ascii="Calibri" w:hAnsi="Calibri"/>
                <w:b w:val="0"/>
                <w:i w:val="0"/>
                <w:color w:val="212121"/>
                <w:sz w:val="19"/>
              </w:rPr>
              <w:t>Safe excreta disposal breaks the faecal-oral cycle and shrinks the community cyst reservoir.</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Raw / street-food consumption</w:t>
            </w:r>
          </w:p>
        </w:tc>
        <w:tc>
          <w:tcPr>
            <w:tcW w:type="dxa" w:w="1655"/>
            <w:vAlign w:val="top"/>
          </w:tcPr>
          <w:p>
            <w:pPr>
              <w:spacing w:after="40" w:before="0" w:line="259" w:lineRule="auto"/>
            </w:pPr>
            <w:r>
              <w:rPr>
                <w:rFonts w:ascii="Calibri" w:hAnsi="Calibri"/>
                <w:b w:val="0"/>
                <w:i w:val="0"/>
                <w:color w:val="212121"/>
                <w:sz w:val="19"/>
              </w:rPr>
              <w:t>Adults in endemic areas</w:t>
            </w:r>
          </w:p>
        </w:tc>
        <w:tc>
          <w:tcPr>
            <w:tcW w:type="dxa" w:w="1512"/>
            <w:vAlign w:val="top"/>
          </w:tcPr>
          <w:p>
            <w:pPr>
              <w:spacing w:after="40" w:before="0" w:line="259" w:lineRule="auto"/>
            </w:pPr>
            <w:r>
              <w:rPr>
                <w:rFonts w:ascii="Calibri" w:hAnsi="Calibri"/>
                <w:b w:val="0"/>
                <w:i w:val="0"/>
                <w:color w:val="212121"/>
                <w:sz w:val="19"/>
              </w:rPr>
              <w:t>Freshly cooked, peeled or thoroughly washed food</w:t>
            </w:r>
          </w:p>
        </w:tc>
        <w:tc>
          <w:tcPr>
            <w:tcW w:type="dxa" w:w="1512"/>
            <w:vAlign w:val="top"/>
          </w:tcPr>
          <w:p>
            <w:pPr>
              <w:spacing w:after="40" w:before="0" w:line="259" w:lineRule="auto"/>
            </w:pPr>
            <w:r>
              <w:rPr>
                <w:rFonts w:ascii="Calibri" w:hAnsi="Calibri"/>
                <w:b w:val="0"/>
                <w:i w:val="0"/>
                <w:color w:val="212121"/>
                <w:sz w:val="19"/>
              </w:rPr>
              <w:t>Raw salads / street food washed in unsafe water</w:t>
            </w:r>
          </w:p>
        </w:tc>
        <w:tc>
          <w:tcPr>
            <w:tcW w:type="dxa" w:w="1468"/>
            <w:vAlign w:val="top"/>
          </w:tcPr>
          <w:p>
            <w:pPr>
              <w:spacing w:after="40" w:before="0" w:line="259" w:lineRule="auto"/>
            </w:pPr>
            <w:r>
              <w:rPr>
                <w:rFonts w:ascii="Calibri" w:hAnsi="Calibri"/>
                <w:b w:val="0"/>
                <w:i w:val="0"/>
                <w:color w:val="212121"/>
                <w:sz w:val="19"/>
              </w:rPr>
              <w:t>'Boil it, cook it, peel it, or forget it' - raw produce and street food are classic cyst vehicles.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especially men</w:t>
            </w:r>
          </w:p>
        </w:tc>
        <w:tc>
          <w:tcPr>
            <w:tcW w:type="dxa" w:w="1512"/>
            <w:vAlign w:val="top"/>
          </w:tcPr>
          <w:p>
            <w:pPr>
              <w:spacing w:after="40" w:before="0" w:line="259" w:lineRule="auto"/>
            </w:pPr>
            <w:r>
              <w:rPr>
                <w:rFonts w:ascii="Calibri" w:hAnsi="Calibri"/>
                <w:b w:val="0"/>
                <w:i w:val="0"/>
                <w:color w:val="212121"/>
                <w:sz w:val="19"/>
              </w:rPr>
              <w:t>None or within low-risk limits</w:t>
            </w:r>
          </w:p>
        </w:tc>
        <w:tc>
          <w:tcPr>
            <w:tcW w:type="dxa" w:w="1512"/>
            <w:vAlign w:val="top"/>
          </w:tcPr>
          <w:p>
            <w:pPr>
              <w:spacing w:after="40" w:before="0" w:line="259" w:lineRule="auto"/>
            </w:pPr>
            <w:r>
              <w:rPr>
                <w:rFonts w:ascii="Calibri" w:hAnsi="Calibri"/>
                <w:b w:val="0"/>
                <w:i w:val="0"/>
                <w:color w:val="212121"/>
                <w:sz w:val="19"/>
              </w:rPr>
              <w:t>Regular / heavy consumption</w:t>
            </w:r>
          </w:p>
        </w:tc>
        <w:tc>
          <w:tcPr>
            <w:tcW w:type="dxa" w:w="1468"/>
            <w:vAlign w:val="top"/>
          </w:tcPr>
          <w:p>
            <w:pPr>
              <w:spacing w:after="60" w:line="259" w:lineRule="auto"/>
            </w:pPr>
            <w:r>
              <w:rPr>
                <w:rFonts w:ascii="Calibri" w:hAnsi="Calibri"/>
                <w:b w:val="0"/>
                <w:i w:val="0"/>
                <w:color w:val="212121"/>
                <w:sz w:val="19"/>
              </w:rPr>
              <w:t>About 63% of Indian amoebic liver abscess patients have an alcohol history; alcohol favours abscess formation.</w:t>
            </w:r>
          </w:p>
          <w:p>
            <w:pPr>
              <w:spacing w:after="40" w:line="252" w:lineRule="auto"/>
            </w:pPr>
            <w:hyperlink r:id="rId9">
              <w:r>
                <w:rPr>
                  <w:rFonts w:ascii="Calibri" w:hAnsi="Calibri" w:cs="Calibri"/>
                  <w:sz w:val="18"/>
                  <w:color w:val="1155CC"/>
                  <w:u w:val="single"/>
                </w:rPr>
                <w:t xml:space="preserve">https://link.springer.com/article/10.1007/s10123-025-00645-8</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Glycaemic control (HbA1c)</w:t>
            </w:r>
          </w:p>
        </w:tc>
        <w:tc>
          <w:tcPr>
            <w:tcW w:type="dxa" w:w="1655"/>
            <w:vAlign w:val="top"/>
          </w:tcPr>
          <w:p>
            <w:pPr>
              <w:spacing w:after="40" w:before="0" w:line="259" w:lineRule="auto"/>
            </w:pPr>
            <w:r>
              <w:rPr>
                <w:rFonts w:ascii="Calibri" w:hAnsi="Calibri"/>
                <w:b w:val="0"/>
                <w:i w:val="0"/>
                <w:color w:val="212121"/>
                <w:sz w:val="19"/>
              </w:rPr>
              <w:t>Patients with diabetes</w:t>
            </w:r>
          </w:p>
        </w:tc>
        <w:tc>
          <w:tcPr>
            <w:tcW w:type="dxa" w:w="1512"/>
            <w:vAlign w:val="top"/>
          </w:tcPr>
          <w:p>
            <w:pPr>
              <w:spacing w:after="40" w:before="0" w:line="259" w:lineRule="auto"/>
            </w:pPr>
            <w:r>
              <w:rPr>
                <w:rFonts w:ascii="Calibri" w:hAnsi="Calibri"/>
                <w:b w:val="0"/>
                <w:i w:val="0"/>
                <w:color w:val="212121"/>
                <w:sz w:val="19"/>
              </w:rPr>
              <w:t>&lt; 5.7 %</w:t>
            </w:r>
          </w:p>
        </w:tc>
        <w:tc>
          <w:tcPr>
            <w:tcW w:type="dxa" w:w="1512"/>
            <w:vAlign w:val="top"/>
          </w:tcPr>
          <w:p>
            <w:pPr>
              <w:spacing w:after="40" w:before="0" w:line="259" w:lineRule="auto"/>
            </w:pPr>
            <w:r>
              <w:rPr>
                <w:rFonts w:ascii="Calibri" w:hAnsi="Calibri"/>
                <w:b w:val="0"/>
                <w:i w:val="0"/>
                <w:color w:val="212121"/>
                <w:sz w:val="19"/>
              </w:rPr>
              <w:t>&gt;= 6.5 % / poorly controlled</w:t>
            </w:r>
          </w:p>
        </w:tc>
        <w:tc>
          <w:tcPr>
            <w:tcW w:type="dxa" w:w="1468"/>
            <w:vAlign w:val="top"/>
          </w:tcPr>
          <w:p>
            <w:pPr>
              <w:spacing w:after="60" w:line="259" w:lineRule="auto"/>
            </w:pPr>
            <w:r>
              <w:rPr>
                <w:rFonts w:ascii="Calibri" w:hAnsi="Calibri"/>
                <w:b w:val="0"/>
                <w:i w:val="0"/>
                <w:color w:val="212121"/>
                <w:sz w:val="19"/>
              </w:rPr>
              <w:t>About 35% of ALA patients are diabetic; hyperglycaemia impairs phagocyte function and worsens outcome.</w:t>
            </w:r>
          </w:p>
          <w:p>
            <w:pPr>
              <w:spacing w:after="40" w:line="252" w:lineRule="auto"/>
            </w:pPr>
            <w:hyperlink r:id="rId9">
              <w:r>
                <w:rPr>
                  <w:rFonts w:ascii="Calibri" w:hAnsi="Calibri" w:cs="Calibri"/>
                  <w:sz w:val="18"/>
                  <w:color w:val="1155CC"/>
                  <w:u w:val="single"/>
                </w:rPr>
                <w:t xml:space="preserve">https://link.springer.com/article/10.1007/s10123-025-00645-8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Immunosuppression status (steroids / HIV / CD4)</w:t>
            </w:r>
          </w:p>
        </w:tc>
        <w:tc>
          <w:tcPr>
            <w:tcW w:type="dxa" w:w="1655"/>
            <w:vAlign w:val="top"/>
          </w:tcPr>
          <w:p>
            <w:pPr>
              <w:spacing w:after="40" w:before="0" w:line="259" w:lineRule="auto"/>
            </w:pPr>
            <w:r>
              <w:rPr>
                <w:rFonts w:ascii="Calibri" w:hAnsi="Calibri"/>
                <w:b w:val="0"/>
                <w:i w:val="0"/>
                <w:color w:val="212121"/>
                <w:sz w:val="19"/>
              </w:rPr>
              <w:t>Immunosuppressed patients</w:t>
            </w:r>
          </w:p>
        </w:tc>
        <w:tc>
          <w:tcPr>
            <w:tcW w:type="dxa" w:w="1512"/>
            <w:vAlign w:val="top"/>
          </w:tcPr>
          <w:p>
            <w:pPr>
              <w:spacing w:after="40" w:before="0" w:line="259" w:lineRule="auto"/>
            </w:pPr>
            <w:r>
              <w:rPr>
                <w:rFonts w:ascii="Calibri" w:hAnsi="Calibri"/>
                <w:b w:val="0"/>
                <w:i w:val="0"/>
                <w:color w:val="212121"/>
                <w:sz w:val="19"/>
              </w:rPr>
              <w:t>No immunosuppression; controlled HIV</w:t>
            </w:r>
          </w:p>
        </w:tc>
        <w:tc>
          <w:tcPr>
            <w:tcW w:type="dxa" w:w="1512"/>
            <w:vAlign w:val="top"/>
          </w:tcPr>
          <w:p>
            <w:pPr>
              <w:spacing w:after="40" w:before="0" w:line="259" w:lineRule="auto"/>
            </w:pPr>
            <w:r>
              <w:rPr>
                <w:rFonts w:ascii="Calibri" w:hAnsi="Calibri"/>
                <w:b w:val="0"/>
                <w:i w:val="0"/>
                <w:color w:val="212121"/>
                <w:sz w:val="19"/>
              </w:rPr>
              <w:t>Corticosteroid therapy, low CD4 count</w:t>
            </w:r>
          </w:p>
        </w:tc>
        <w:tc>
          <w:tcPr>
            <w:tcW w:type="dxa" w:w="1468"/>
            <w:vAlign w:val="top"/>
          </w:tcPr>
          <w:p>
            <w:pPr>
              <w:spacing w:after="40" w:before="0" w:line="259" w:lineRule="auto"/>
            </w:pPr>
            <w:r>
              <w:rPr>
                <w:rFonts w:ascii="Calibri" w:hAnsi="Calibri"/>
                <w:b w:val="0"/>
                <w:i w:val="0"/>
                <w:color w:val="212121"/>
                <w:sz w:val="19"/>
              </w:rPr>
              <w:t>Immunosuppression and steroids (especially if misdiagnosed as IBD) precipitate invasive/fulminant disease.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Nutritional status (serum albumin / BMI)</w:t>
            </w:r>
          </w:p>
        </w:tc>
        <w:tc>
          <w:tcPr>
            <w:tcW w:type="dxa" w:w="1655"/>
            <w:vAlign w:val="top"/>
          </w:tcPr>
          <w:p>
            <w:pPr>
              <w:spacing w:after="40" w:before="0" w:line="259" w:lineRule="auto"/>
            </w:pPr>
            <w:r>
              <w:rPr>
                <w:rFonts w:ascii="Calibri" w:hAnsi="Calibri"/>
                <w:b w:val="0"/>
                <w:i w:val="0"/>
                <w:color w:val="212121"/>
                <w:sz w:val="19"/>
              </w:rPr>
              <w:t>Malnourished patients</w:t>
            </w:r>
          </w:p>
        </w:tc>
        <w:tc>
          <w:tcPr>
            <w:tcW w:type="dxa" w:w="1512"/>
            <w:vAlign w:val="top"/>
          </w:tcPr>
          <w:p>
            <w:pPr>
              <w:spacing w:after="40" w:before="0" w:line="259" w:lineRule="auto"/>
            </w:pPr>
            <w:r>
              <w:rPr>
                <w:rFonts w:ascii="Calibri" w:hAnsi="Calibri"/>
                <w:b w:val="0"/>
                <w:i w:val="0"/>
                <w:color w:val="212121"/>
                <w:sz w:val="19"/>
              </w:rPr>
              <w:t>Albumin &gt;= 3.5 g/dL; BMI 18.5-24.9</w:t>
            </w:r>
          </w:p>
        </w:tc>
        <w:tc>
          <w:tcPr>
            <w:tcW w:type="dxa" w:w="1512"/>
            <w:vAlign w:val="top"/>
          </w:tcPr>
          <w:p>
            <w:pPr>
              <w:spacing w:after="40" w:before="0" w:line="259" w:lineRule="auto"/>
            </w:pPr>
            <w:r>
              <w:rPr>
                <w:rFonts w:ascii="Calibri" w:hAnsi="Calibri"/>
                <w:b w:val="0"/>
                <w:i w:val="0"/>
                <w:color w:val="212121"/>
                <w:sz w:val="19"/>
              </w:rPr>
              <w:t>Hypoalbuminaemia; underweight</w:t>
            </w:r>
          </w:p>
        </w:tc>
        <w:tc>
          <w:tcPr>
            <w:tcW w:type="dxa" w:w="1468"/>
            <w:vAlign w:val="top"/>
          </w:tcPr>
          <w:p>
            <w:pPr>
              <w:spacing w:after="40" w:before="0" w:line="259" w:lineRule="auto"/>
            </w:pPr>
            <w:r>
              <w:rPr>
                <w:rFonts w:ascii="Calibri" w:hAnsi="Calibri"/>
                <w:b w:val="0"/>
                <w:i w:val="0"/>
                <w:color w:val="212121"/>
                <w:sz w:val="19"/>
              </w:rPr>
              <w:t>Malnutrition weakens mucosal immunity and predicts more severe invasive amoebiasis.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Amoebic serology (IHA / ELISA antibody)</w:t>
            </w:r>
          </w:p>
        </w:tc>
        <w:tc>
          <w:tcPr>
            <w:tcW w:type="dxa" w:w="1655"/>
            <w:vAlign w:val="top"/>
          </w:tcPr>
          <w:p>
            <w:pPr>
              <w:spacing w:after="40" w:before="0" w:line="259" w:lineRule="auto"/>
            </w:pPr>
            <w:r>
              <w:rPr>
                <w:rFonts w:ascii="Calibri" w:hAnsi="Calibri"/>
                <w:b w:val="0"/>
                <w:i w:val="0"/>
                <w:color w:val="212121"/>
                <w:sz w:val="19"/>
              </w:rPr>
              <w:t>Suspected invasive disease / ALA</w:t>
            </w:r>
          </w:p>
        </w:tc>
        <w:tc>
          <w:tcPr>
            <w:tcW w:type="dxa" w:w="1512"/>
            <w:vAlign w:val="top"/>
          </w:tcPr>
          <w:p>
            <w:pPr>
              <w:spacing w:after="40" w:before="0" w:line="259" w:lineRule="auto"/>
            </w:pPr>
            <w:r>
              <w:rPr>
                <w:rFonts w:ascii="Calibri" w:hAnsi="Calibri"/>
                <w:b w:val="0"/>
                <w:i w:val="0"/>
                <w:color w:val="212121"/>
                <w:sz w:val="19"/>
              </w:rPr>
              <w:t>Negative / low titre</w:t>
            </w:r>
          </w:p>
        </w:tc>
        <w:tc>
          <w:tcPr>
            <w:tcW w:type="dxa" w:w="1512"/>
            <w:vAlign w:val="top"/>
          </w:tcPr>
          <w:p>
            <w:pPr>
              <w:spacing w:after="40" w:before="0" w:line="259" w:lineRule="auto"/>
            </w:pPr>
            <w:r>
              <w:rPr>
                <w:rFonts w:ascii="Calibri" w:hAnsi="Calibri"/>
                <w:b w:val="0"/>
                <w:i w:val="0"/>
                <w:color w:val="212121"/>
                <w:sz w:val="19"/>
              </w:rPr>
              <w:t>High / rising antibody titre</w:t>
            </w:r>
          </w:p>
        </w:tc>
        <w:tc>
          <w:tcPr>
            <w:tcW w:type="dxa" w:w="1468"/>
            <w:vAlign w:val="top"/>
          </w:tcPr>
          <w:p>
            <w:pPr>
              <w:spacing w:after="40" w:before="0" w:line="259" w:lineRule="auto"/>
            </w:pPr>
            <w:r>
              <w:rPr>
                <w:rFonts w:ascii="Calibri" w:hAnsi="Calibri"/>
                <w:b w:val="0"/>
                <w:i w:val="0"/>
                <w:color w:val="212121"/>
                <w:sz w:val="19"/>
              </w:rPr>
              <w:t>Highly sensitive for invasive disease but cannot separate current from past infection in endemic areas.</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Household screening of cyst passers</w:t>
            </w:r>
          </w:p>
        </w:tc>
        <w:tc>
          <w:tcPr>
            <w:tcW w:type="dxa" w:w="1655"/>
            <w:vAlign w:val="top"/>
          </w:tcPr>
          <w:p>
            <w:pPr>
              <w:spacing w:after="40" w:before="0" w:line="259" w:lineRule="auto"/>
            </w:pPr>
            <w:r>
              <w:rPr>
                <w:rFonts w:ascii="Calibri" w:hAnsi="Calibri"/>
                <w:b w:val="0"/>
                <w:i w:val="0"/>
                <w:color w:val="212121"/>
                <w:sz w:val="19"/>
              </w:rPr>
              <w:t>Contacts of an index case</w:t>
            </w:r>
          </w:p>
        </w:tc>
        <w:tc>
          <w:tcPr>
            <w:tcW w:type="dxa" w:w="1512"/>
            <w:vAlign w:val="top"/>
          </w:tcPr>
          <w:p>
            <w:pPr>
              <w:spacing w:after="40" w:before="0" w:line="259" w:lineRule="auto"/>
            </w:pPr>
            <w:r>
              <w:rPr>
                <w:rFonts w:ascii="Calibri" w:hAnsi="Calibri"/>
                <w:b w:val="0"/>
                <w:i w:val="0"/>
                <w:color w:val="212121"/>
                <w:sz w:val="19"/>
              </w:rPr>
              <w:t>No asymptomatic carriers / treated</w:t>
            </w:r>
          </w:p>
        </w:tc>
        <w:tc>
          <w:tcPr>
            <w:tcW w:type="dxa" w:w="1512"/>
            <w:vAlign w:val="top"/>
          </w:tcPr>
          <w:p>
            <w:pPr>
              <w:spacing w:after="40" w:before="0" w:line="259" w:lineRule="auto"/>
            </w:pPr>
            <w:r>
              <w:rPr>
                <w:rFonts w:ascii="Calibri" w:hAnsi="Calibri"/>
                <w:b w:val="0"/>
                <w:i w:val="0"/>
                <w:color w:val="212121"/>
                <w:sz w:val="19"/>
              </w:rPr>
              <w:t>Untreated cyst passer in the home</w:t>
            </w:r>
          </w:p>
        </w:tc>
        <w:tc>
          <w:tcPr>
            <w:tcW w:type="dxa" w:w="1468"/>
            <w:vAlign w:val="top"/>
          </w:tcPr>
          <w:p>
            <w:pPr>
              <w:spacing w:after="40" w:before="0" w:line="259" w:lineRule="auto"/>
            </w:pPr>
            <w:r>
              <w:rPr>
                <w:rFonts w:ascii="Calibri" w:hAnsi="Calibri"/>
                <w:b w:val="0"/>
                <w:i w:val="0"/>
                <w:color w:val="212121"/>
                <w:sz w:val="19"/>
              </w:rPr>
              <w:t>Asymptomatic carriers sustain transmission; luminal agents clear the reservoir.</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Ultrasonography of the liver</w:t>
            </w:r>
          </w:p>
        </w:tc>
        <w:tc>
          <w:tcPr>
            <w:tcW w:type="dxa" w:w="892"/>
            <w:vAlign w:val="top"/>
          </w:tcPr>
          <w:p>
            <w:pPr>
              <w:spacing w:after="40" w:before="0" w:line="259" w:lineRule="auto"/>
            </w:pPr>
            <w:r>
              <w:rPr>
                <w:rFonts w:ascii="Calibri" w:hAnsi="Calibri"/>
                <w:b w:val="0"/>
                <w:i w:val="0"/>
                <w:color w:val="212121"/>
                <w:sz w:val="16"/>
              </w:rPr>
              <w:t>Abdominal ultrasound</w:t>
            </w:r>
          </w:p>
        </w:tc>
        <w:tc>
          <w:tcPr>
            <w:tcW w:type="dxa" w:w="950"/>
            <w:vAlign w:val="top"/>
          </w:tcPr>
          <w:p>
            <w:pPr>
              <w:spacing w:after="40" w:before="0" w:line="259" w:lineRule="auto"/>
            </w:pPr>
            <w:r>
              <w:rPr>
                <w:rFonts w:ascii="Calibri" w:hAnsi="Calibri"/>
                <w:b w:val="0"/>
                <w:i w:val="0"/>
                <w:color w:val="212121"/>
                <w:sz w:val="16"/>
              </w:rPr>
              <w:t>Homogeneous liver, no collection</w:t>
            </w:r>
          </w:p>
        </w:tc>
        <w:tc>
          <w:tcPr>
            <w:tcW w:type="dxa" w:w="950"/>
            <w:vAlign w:val="top"/>
          </w:tcPr>
          <w:p>
            <w:pPr>
              <w:spacing w:after="40" w:before="0" w:line="259" w:lineRule="auto"/>
            </w:pPr>
            <w:r>
              <w:rPr>
                <w:rFonts w:ascii="Calibri" w:hAnsi="Calibri"/>
                <w:b w:val="0"/>
                <w:i w:val="0"/>
                <w:color w:val="212121"/>
                <w:sz w:val="16"/>
              </w:rPr>
              <w:t>Rounded, usually solitary, hypoechoic right-lobe lesion</w:t>
            </w:r>
          </w:p>
        </w:tc>
        <w:tc>
          <w:tcPr>
            <w:tcW w:type="dxa" w:w="1036"/>
            <w:vAlign w:val="top"/>
          </w:tcPr>
          <w:p>
            <w:pPr>
              <w:spacing w:after="40" w:before="0" w:line="259" w:lineRule="auto"/>
            </w:pPr>
            <w:r>
              <w:rPr>
                <w:rFonts w:ascii="Calibri" w:hAnsi="Calibri"/>
                <w:b w:val="0"/>
                <w:i w:val="0"/>
                <w:color w:val="212121"/>
                <w:sz w:val="16"/>
              </w:rPr>
              <w:t>First-line, bedside test for amoebic liver abscess; also guides aspiration</w:t>
            </w:r>
          </w:p>
        </w:tc>
        <w:tc>
          <w:tcPr>
            <w:tcW w:type="dxa" w:w="1036"/>
            <w:vAlign w:val="top"/>
          </w:tcPr>
          <w:p>
            <w:pPr>
              <w:spacing w:after="40" w:before="0" w:line="259" w:lineRule="auto"/>
            </w:pPr>
            <w:r>
              <w:rPr>
                <w:rFonts w:ascii="Calibri" w:hAnsi="Calibri"/>
                <w:b w:val="0"/>
                <w:i w:val="0"/>
                <w:color w:val="212121"/>
                <w:sz w:val="16"/>
              </w:rPr>
              <w:t>Adults with fever and right upper-quadrant pain</w:t>
            </w:r>
          </w:p>
        </w:tc>
        <w:tc>
          <w:tcPr>
            <w:tcW w:type="dxa" w:w="720"/>
            <w:vAlign w:val="top"/>
          </w:tcPr>
          <w:p>
            <w:pPr>
              <w:spacing w:after="40" w:before="0" w:line="259" w:lineRule="auto"/>
            </w:pPr>
            <w:r>
              <w:rPr>
                <w:rFonts w:ascii="Calibri" w:hAnsi="Calibri"/>
                <w:b w:val="0"/>
                <w:i w:val="0"/>
                <w:color w:val="212121"/>
                <w:sz w:val="16"/>
              </w:rPr>
              <w:t>Alcohol; Provoking factors</w:t>
            </w:r>
          </w:p>
        </w:tc>
        <w:tc>
          <w:tcPr>
            <w:tcW w:type="dxa" w:w="720"/>
            <w:vAlign w:val="top"/>
          </w:tcPr>
          <w:p>
            <w:pPr>
              <w:spacing w:after="40" w:before="0" w:line="259" w:lineRule="auto"/>
            </w:pPr>
            <w:r>
              <w:rPr>
                <w:rFonts w:ascii="Calibri" w:hAnsi="Calibri"/>
                <w:b w:val="0"/>
                <w:i w:val="0"/>
                <w:color w:val="212121"/>
                <w:sz w:val="16"/>
              </w:rPr>
              <w:t>Diagnostic (first-line)</w:t>
            </w:r>
          </w:p>
        </w:tc>
        <w:tc>
          <w:tcPr>
            <w:tcW w:type="dxa" w:w="720"/>
            <w:vAlign w:val="top"/>
          </w:tcPr>
          <w:p>
            <w:pPr>
              <w:spacing w:after="40" w:before="0" w:line="259" w:lineRule="auto"/>
            </w:pPr>
            <w:r>
              <w:rPr>
                <w:rFonts w:ascii="Calibri" w:hAnsi="Calibri"/>
                <w:b w:val="0"/>
                <w:i w:val="0"/>
                <w:color w:val="212121"/>
                <w:sz w:val="16"/>
              </w:rPr>
              <w:t>Right lobe involved in about 80% owing to portal streaming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Contrast CT abdomen</w:t>
            </w:r>
          </w:p>
        </w:tc>
        <w:tc>
          <w:tcPr>
            <w:tcW w:type="dxa" w:w="892"/>
            <w:vAlign w:val="top"/>
          </w:tcPr>
          <w:p>
            <w:pPr>
              <w:spacing w:after="40" w:before="0" w:line="259" w:lineRule="auto"/>
            </w:pPr>
            <w:r>
              <w:rPr>
                <w:rFonts w:ascii="Calibri" w:hAnsi="Calibri"/>
                <w:b w:val="0"/>
                <w:i w:val="0"/>
                <w:color w:val="212121"/>
                <w:sz w:val="16"/>
              </w:rPr>
              <w:t>Computed tomography</w:t>
            </w:r>
          </w:p>
        </w:tc>
        <w:tc>
          <w:tcPr>
            <w:tcW w:type="dxa" w:w="950"/>
            <w:vAlign w:val="top"/>
          </w:tcPr>
          <w:p>
            <w:pPr>
              <w:spacing w:after="40" w:before="0" w:line="259" w:lineRule="auto"/>
            </w:pPr>
            <w:r>
              <w:rPr>
                <w:rFonts w:ascii="Calibri" w:hAnsi="Calibri"/>
                <w:b w:val="0"/>
                <w:i w:val="0"/>
                <w:color w:val="212121"/>
                <w:sz w:val="16"/>
              </w:rPr>
              <w:t>No hepatic collection</w:t>
            </w:r>
          </w:p>
        </w:tc>
        <w:tc>
          <w:tcPr>
            <w:tcW w:type="dxa" w:w="950"/>
            <w:vAlign w:val="top"/>
          </w:tcPr>
          <w:p>
            <w:pPr>
              <w:spacing w:after="40" w:before="0" w:line="259" w:lineRule="auto"/>
            </w:pPr>
            <w:r>
              <w:rPr>
                <w:rFonts w:ascii="Calibri" w:hAnsi="Calibri"/>
                <w:b w:val="0"/>
                <w:i w:val="0"/>
                <w:color w:val="212121"/>
                <w:sz w:val="16"/>
              </w:rPr>
              <w:t>Well-defined hypodense lesion with rim enhancement; detects rupture</w:t>
            </w:r>
          </w:p>
        </w:tc>
        <w:tc>
          <w:tcPr>
            <w:tcW w:type="dxa" w:w="1036"/>
            <w:vAlign w:val="top"/>
          </w:tcPr>
          <w:p>
            <w:pPr>
              <w:spacing w:after="40" w:before="0" w:line="259" w:lineRule="auto"/>
            </w:pPr>
            <w:r>
              <w:rPr>
                <w:rFonts w:ascii="Calibri" w:hAnsi="Calibri"/>
                <w:b w:val="0"/>
                <w:i w:val="0"/>
                <w:color w:val="212121"/>
                <w:sz w:val="16"/>
              </w:rPr>
              <w:t>Characterises size, number and complications (pleural/peritoneal/pericardial rupture)</w:t>
            </w:r>
          </w:p>
        </w:tc>
        <w:tc>
          <w:tcPr>
            <w:tcW w:type="dxa" w:w="1036"/>
            <w:vAlign w:val="top"/>
          </w:tcPr>
          <w:p>
            <w:pPr>
              <w:spacing w:after="40" w:before="0" w:line="259" w:lineRule="auto"/>
            </w:pPr>
            <w:r>
              <w:rPr>
                <w:rFonts w:ascii="Calibri" w:hAnsi="Calibri"/>
                <w:b w:val="0"/>
                <w:i w:val="0"/>
                <w:color w:val="212121"/>
                <w:sz w:val="16"/>
              </w:rPr>
              <w:t>Large, multiple, left-lobe or complicated abscesses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complication work-up</w:t>
            </w:r>
          </w:p>
        </w:tc>
        <w:tc>
          <w:tcPr>
            <w:tcW w:type="dxa" w:w="720"/>
            <w:vAlign w:val="top"/>
          </w:tcPr>
          <w:p>
            <w:pPr>
              <w:spacing w:after="40" w:before="0" w:line="259" w:lineRule="auto"/>
            </w:pPr>
            <w:r>
              <w:rPr>
                <w:rFonts w:ascii="Calibri" w:hAnsi="Calibri"/>
                <w:b w:val="0"/>
                <w:i w:val="0"/>
                <w:color w:val="212121"/>
                <w:sz w:val="16"/>
              </w:rPr>
              <w:t>Superior for extrahepatic extension and surgical planning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Anti-amoebic antibody (IHA / ELISA)</w:t>
            </w:r>
          </w:p>
        </w:tc>
        <w:tc>
          <w:tcPr>
            <w:tcW w:type="dxa" w:w="892"/>
            <w:vAlign w:val="top"/>
          </w:tcPr>
          <w:p>
            <w:pPr>
              <w:spacing w:after="40" w:before="0" w:line="259" w:lineRule="auto"/>
            </w:pPr>
            <w:r>
              <w:rPr>
                <w:rFonts w:ascii="Calibri" w:hAnsi="Calibri"/>
                <w:b w:val="0"/>
                <w:i w:val="0"/>
                <w:color w:val="212121"/>
                <w:sz w:val="16"/>
              </w:rPr>
              <w:t>Amoebic serology</w:t>
            </w:r>
          </w:p>
        </w:tc>
        <w:tc>
          <w:tcPr>
            <w:tcW w:type="dxa" w:w="950"/>
            <w:vAlign w:val="top"/>
          </w:tcPr>
          <w:p>
            <w:pPr>
              <w:spacing w:after="40" w:before="0" w:line="259" w:lineRule="auto"/>
            </w:pPr>
            <w:r>
              <w:rPr>
                <w:rFonts w:ascii="Calibri" w:hAnsi="Calibri"/>
                <w:b w:val="0"/>
                <w:i w:val="0"/>
                <w:color w:val="212121"/>
                <w:sz w:val="16"/>
              </w:rPr>
              <w:t>Negative / low titre</w:t>
            </w:r>
          </w:p>
        </w:tc>
        <w:tc>
          <w:tcPr>
            <w:tcW w:type="dxa" w:w="950"/>
            <w:vAlign w:val="top"/>
          </w:tcPr>
          <w:p>
            <w:pPr>
              <w:spacing w:after="40" w:before="0" w:line="259" w:lineRule="auto"/>
            </w:pPr>
            <w:r>
              <w:rPr>
                <w:rFonts w:ascii="Calibri" w:hAnsi="Calibri"/>
                <w:b w:val="0"/>
                <w:i w:val="0"/>
                <w:color w:val="212121"/>
                <w:sz w:val="16"/>
              </w:rPr>
              <w:t>Positive, often high titre</w:t>
            </w:r>
          </w:p>
        </w:tc>
        <w:tc>
          <w:tcPr>
            <w:tcW w:type="dxa" w:w="1036"/>
            <w:vAlign w:val="top"/>
          </w:tcPr>
          <w:p>
            <w:pPr>
              <w:spacing w:after="40" w:before="0" w:line="259" w:lineRule="auto"/>
            </w:pPr>
            <w:r>
              <w:rPr>
                <w:rFonts w:ascii="Calibri" w:hAnsi="Calibri"/>
                <w:b w:val="0"/>
                <w:i w:val="0"/>
                <w:color w:val="212121"/>
                <w:sz w:val="16"/>
              </w:rPr>
              <w:t>Highly sensitive for invasive disease and liver abscess</w:t>
            </w:r>
          </w:p>
        </w:tc>
        <w:tc>
          <w:tcPr>
            <w:tcW w:type="dxa" w:w="1036"/>
            <w:vAlign w:val="top"/>
          </w:tcPr>
          <w:p>
            <w:pPr>
              <w:spacing w:after="40" w:before="0" w:line="259" w:lineRule="auto"/>
            </w:pPr>
            <w:r>
              <w:rPr>
                <w:rFonts w:ascii="Calibri" w:hAnsi="Calibri"/>
                <w:b w:val="0"/>
                <w:i w:val="0"/>
                <w:color w:val="212121"/>
                <w:sz w:val="16"/>
              </w:rPr>
              <w:t>Suspected ALA or invasive colitis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(supportive)</w:t>
            </w:r>
          </w:p>
        </w:tc>
        <w:tc>
          <w:tcPr>
            <w:tcW w:type="dxa" w:w="720"/>
            <w:vAlign w:val="top"/>
          </w:tcPr>
          <w:p>
            <w:pPr>
              <w:spacing w:after="40" w:before="0" w:line="259" w:lineRule="auto"/>
            </w:pPr>
            <w:r>
              <w:rPr>
                <w:rFonts w:ascii="Calibri" w:hAnsi="Calibri"/>
                <w:b w:val="0"/>
                <w:i w:val="0"/>
                <w:color w:val="212121"/>
                <w:sz w:val="16"/>
              </w:rPr>
              <w:t>Cannot distinguish current from past infection in endemic populations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Stool / aspirate PCR (nested multiplex)</w:t>
            </w:r>
          </w:p>
        </w:tc>
        <w:tc>
          <w:tcPr>
            <w:tcW w:type="dxa" w:w="892"/>
            <w:vAlign w:val="top"/>
          </w:tcPr>
          <w:p>
            <w:pPr>
              <w:spacing w:after="40" w:before="0" w:line="259" w:lineRule="auto"/>
            </w:pPr>
            <w:r>
              <w:rPr>
                <w:rFonts w:ascii="Calibri" w:hAnsi="Calibri"/>
                <w:b w:val="0"/>
                <w:i w:val="0"/>
                <w:color w:val="212121"/>
                <w:sz w:val="16"/>
              </w:rPr>
              <w:t>PCR assay</w:t>
            </w:r>
          </w:p>
        </w:tc>
        <w:tc>
          <w:tcPr>
            <w:tcW w:type="dxa" w:w="950"/>
            <w:vAlign w:val="top"/>
          </w:tcPr>
          <w:p>
            <w:pPr>
              <w:spacing w:after="40" w:before="0" w:line="259" w:lineRule="auto"/>
            </w:pPr>
            <w:r>
              <w:rPr>
                <w:rFonts w:ascii="Calibri" w:hAnsi="Calibri"/>
                <w:b w:val="0"/>
                <w:i w:val="0"/>
                <w:color w:val="212121"/>
                <w:sz w:val="16"/>
              </w:rPr>
              <w:t>E. histolytica DNA not detected</w:t>
            </w:r>
          </w:p>
        </w:tc>
        <w:tc>
          <w:tcPr>
            <w:tcW w:type="dxa" w:w="950"/>
            <w:vAlign w:val="top"/>
          </w:tcPr>
          <w:p>
            <w:pPr>
              <w:spacing w:after="40" w:before="0" w:line="259" w:lineRule="auto"/>
            </w:pPr>
            <w:r>
              <w:rPr>
                <w:rFonts w:ascii="Calibri" w:hAnsi="Calibri"/>
                <w:b w:val="0"/>
                <w:i w:val="0"/>
                <w:color w:val="212121"/>
                <w:sz w:val="16"/>
              </w:rPr>
              <w:t>E. histolytica DNA detected</w:t>
            </w:r>
          </w:p>
        </w:tc>
        <w:tc>
          <w:tcPr>
            <w:tcW w:type="dxa" w:w="1036"/>
            <w:vAlign w:val="top"/>
          </w:tcPr>
          <w:p>
            <w:pPr>
              <w:spacing w:after="40" w:before="0" w:line="259" w:lineRule="auto"/>
            </w:pPr>
            <w:r>
              <w:rPr>
                <w:rFonts w:ascii="Calibri" w:hAnsi="Calibri"/>
                <w:b w:val="0"/>
                <w:i w:val="0"/>
                <w:color w:val="212121"/>
                <w:sz w:val="16"/>
              </w:rPr>
              <w:t>Reference standard; distinguishes E. histolytica from E. dispar/moshkovskii</w:t>
            </w:r>
          </w:p>
        </w:tc>
        <w:tc>
          <w:tcPr>
            <w:tcW w:type="dxa" w:w="1036"/>
            <w:vAlign w:val="top"/>
          </w:tcPr>
          <w:p>
            <w:pPr>
              <w:spacing w:after="40" w:before="0" w:line="259" w:lineRule="auto"/>
            </w:pPr>
            <w:r>
              <w:rPr>
                <w:rFonts w:ascii="Calibri" w:hAnsi="Calibri"/>
                <w:b w:val="0"/>
                <w:i w:val="0"/>
                <w:color w:val="212121"/>
                <w:sz w:val="16"/>
              </w:rPr>
              <w:t>Confirmation and species differentiation</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About 92-100% sensitivity and specificity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Immunoassay</w:t>
            </w:r>
          </w:p>
        </w:tc>
        <w:tc>
          <w:tcPr>
            <w:tcW w:type="dxa" w:w="1036"/>
            <w:vAlign w:val="top"/>
          </w:tcPr>
          <w:p>
            <w:pPr>
              <w:spacing w:after="40" w:before="0" w:line="259" w:lineRule="auto"/>
            </w:pPr>
            <w:r>
              <w:rPr>
                <w:rFonts w:ascii="Calibri" w:hAnsi="Calibri"/>
                <w:b w:val="0"/>
                <w:i w:val="0"/>
                <w:color w:val="212121"/>
                <w:sz w:val="16"/>
              </w:rPr>
              <w:t>Stool antigen (Gal/GalNAc lectin) ELISA</w:t>
            </w:r>
          </w:p>
        </w:tc>
        <w:tc>
          <w:tcPr>
            <w:tcW w:type="dxa" w:w="892"/>
            <w:vAlign w:val="top"/>
          </w:tcPr>
          <w:p>
            <w:pPr>
              <w:spacing w:after="40" w:before="0" w:line="259" w:lineRule="auto"/>
            </w:pPr>
            <w:r>
              <w:rPr>
                <w:rFonts w:ascii="Calibri" w:hAnsi="Calibri"/>
                <w:b w:val="0"/>
                <w:i w:val="0"/>
                <w:color w:val="212121"/>
                <w:sz w:val="16"/>
              </w:rPr>
              <w:t>Faecal antigen test</w:t>
            </w:r>
          </w:p>
        </w:tc>
        <w:tc>
          <w:tcPr>
            <w:tcW w:type="dxa" w:w="950"/>
            <w:vAlign w:val="top"/>
          </w:tcPr>
          <w:p>
            <w:pPr>
              <w:spacing w:after="40" w:before="0" w:line="259" w:lineRule="auto"/>
            </w:pPr>
            <w:r>
              <w:rPr>
                <w:rFonts w:ascii="Calibri" w:hAnsi="Calibri"/>
                <w:b w:val="0"/>
                <w:i w:val="0"/>
                <w:color w:val="212121"/>
                <w:sz w:val="16"/>
              </w:rPr>
              <w:t>Antigen not detected</w:t>
            </w:r>
          </w:p>
        </w:tc>
        <w:tc>
          <w:tcPr>
            <w:tcW w:type="dxa" w:w="950"/>
            <w:vAlign w:val="top"/>
          </w:tcPr>
          <w:p>
            <w:pPr>
              <w:spacing w:after="40" w:before="0" w:line="259" w:lineRule="auto"/>
            </w:pPr>
            <w:r>
              <w:rPr>
                <w:rFonts w:ascii="Calibri" w:hAnsi="Calibri"/>
                <w:b w:val="0"/>
                <w:i w:val="0"/>
                <w:color w:val="212121"/>
                <w:sz w:val="16"/>
              </w:rPr>
              <w:t>E. histolytica antigen detected</w:t>
            </w:r>
          </w:p>
        </w:tc>
        <w:tc>
          <w:tcPr>
            <w:tcW w:type="dxa" w:w="1036"/>
            <w:vAlign w:val="top"/>
          </w:tcPr>
          <w:p>
            <w:pPr>
              <w:spacing w:after="40" w:before="0" w:line="259" w:lineRule="auto"/>
            </w:pPr>
            <w:r>
              <w:rPr>
                <w:rFonts w:ascii="Calibri" w:hAnsi="Calibri"/>
                <w:b w:val="0"/>
                <w:i w:val="0"/>
                <w:color w:val="212121"/>
                <w:sz w:val="16"/>
              </w:rPr>
              <w:t>Species-specific detection in intestinal disease</w:t>
            </w:r>
          </w:p>
        </w:tc>
        <w:tc>
          <w:tcPr>
            <w:tcW w:type="dxa" w:w="1036"/>
            <w:vAlign w:val="top"/>
          </w:tcPr>
          <w:p>
            <w:pPr>
              <w:spacing w:after="40" w:before="0" w:line="259" w:lineRule="auto"/>
            </w:pPr>
            <w:r>
              <w:rPr>
                <w:rFonts w:ascii="Calibri" w:hAnsi="Calibri"/>
                <w:b w:val="0"/>
                <w:i w:val="0"/>
                <w:color w:val="212121"/>
                <w:sz w:val="16"/>
              </w:rPr>
              <w:t>Patients with amoebic colitis / dysentery</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Sensitivity up to about 88%; more specific than microscopy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Stool / aspirate microscopy</w:t>
            </w:r>
          </w:p>
        </w:tc>
        <w:tc>
          <w:tcPr>
            <w:tcW w:type="dxa" w:w="892"/>
            <w:vAlign w:val="top"/>
          </w:tcPr>
          <w:p>
            <w:pPr>
              <w:spacing w:after="40" w:before="0" w:line="259" w:lineRule="auto"/>
            </w:pPr>
            <w:r>
              <w:rPr>
                <w:rFonts w:ascii="Calibri" w:hAnsi="Calibri"/>
                <w:b w:val="0"/>
                <w:i w:val="0"/>
                <w:color w:val="212121"/>
                <w:sz w:val="16"/>
              </w:rPr>
              <w:t>Wet-mount microscopy</w:t>
            </w:r>
          </w:p>
        </w:tc>
        <w:tc>
          <w:tcPr>
            <w:tcW w:type="dxa" w:w="950"/>
            <w:vAlign w:val="top"/>
          </w:tcPr>
          <w:p>
            <w:pPr>
              <w:spacing w:after="40" w:before="0" w:line="259" w:lineRule="auto"/>
            </w:pPr>
            <w:r>
              <w:rPr>
                <w:rFonts w:ascii="Calibri" w:hAnsi="Calibri"/>
                <w:b w:val="0"/>
                <w:i w:val="0"/>
                <w:color w:val="212121"/>
                <w:sz w:val="16"/>
              </w:rPr>
              <w:t>No cysts or trophozoites</w:t>
            </w:r>
          </w:p>
        </w:tc>
        <w:tc>
          <w:tcPr>
            <w:tcW w:type="dxa" w:w="950"/>
            <w:vAlign w:val="top"/>
          </w:tcPr>
          <w:p>
            <w:pPr>
              <w:spacing w:after="40" w:before="0" w:line="259" w:lineRule="auto"/>
            </w:pPr>
            <w:r>
              <w:rPr>
                <w:rFonts w:ascii="Calibri" w:hAnsi="Calibri"/>
                <w:b w:val="0"/>
                <w:i w:val="0"/>
                <w:color w:val="212121"/>
                <w:sz w:val="16"/>
              </w:rPr>
              <w:t>Cysts, or haematophagous (RBC-ingesting) trophozoites</w:t>
            </w:r>
          </w:p>
        </w:tc>
        <w:tc>
          <w:tcPr>
            <w:tcW w:type="dxa" w:w="1036"/>
            <w:vAlign w:val="top"/>
          </w:tcPr>
          <w:p>
            <w:pPr>
              <w:spacing w:after="40" w:before="0" w:line="259" w:lineRule="auto"/>
            </w:pPr>
            <w:r>
              <w:rPr>
                <w:rFonts w:ascii="Calibri" w:hAnsi="Calibri"/>
                <w:b w:val="0"/>
                <w:i w:val="0"/>
                <w:color w:val="212121"/>
                <w:sz w:val="16"/>
              </w:rPr>
              <w:t>Rapid and cheap; RBC-containing trophozoites indicate invasion</w:t>
            </w:r>
          </w:p>
        </w:tc>
        <w:tc>
          <w:tcPr>
            <w:tcW w:type="dxa" w:w="1036"/>
            <w:vAlign w:val="top"/>
          </w:tcPr>
          <w:p>
            <w:pPr>
              <w:spacing w:after="40" w:before="0" w:line="259" w:lineRule="auto"/>
            </w:pPr>
            <w:r>
              <w:rPr>
                <w:rFonts w:ascii="Calibri" w:hAnsi="Calibri"/>
                <w:b w:val="0"/>
                <w:i w:val="0"/>
                <w:color w:val="212121"/>
                <w:sz w:val="16"/>
              </w:rPr>
              <w:t>Dysentery, screening</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Under 60% sensitive; cannot separate E. histolytica from E. dispar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Total leucocyte count &amp; haemoglobin</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TLC 4,000-11,000/microL; normal Hb</w:t>
            </w:r>
          </w:p>
        </w:tc>
        <w:tc>
          <w:tcPr>
            <w:tcW w:type="dxa" w:w="950"/>
            <w:vAlign w:val="top"/>
          </w:tcPr>
          <w:p>
            <w:pPr>
              <w:spacing w:after="40" w:before="0" w:line="259" w:lineRule="auto"/>
            </w:pPr>
            <w:r>
              <w:rPr>
                <w:rFonts w:ascii="Calibri" w:hAnsi="Calibri"/>
                <w:b w:val="0"/>
                <w:i w:val="0"/>
                <w:color w:val="212121"/>
                <w:sz w:val="16"/>
              </w:rPr>
              <w:t>Neutrophil leucocytosis; anaemia</w:t>
            </w:r>
          </w:p>
        </w:tc>
        <w:tc>
          <w:tcPr>
            <w:tcW w:type="dxa" w:w="1036"/>
            <w:vAlign w:val="top"/>
          </w:tcPr>
          <w:p>
            <w:pPr>
              <w:spacing w:after="40" w:before="0" w:line="259" w:lineRule="auto"/>
            </w:pPr>
            <w:r>
              <w:rPr>
                <w:rFonts w:ascii="Calibri" w:hAnsi="Calibri"/>
                <w:b w:val="0"/>
                <w:i w:val="0"/>
                <w:color w:val="212121"/>
                <w:sz w:val="16"/>
              </w:rPr>
              <w:t>Supports invasive/abscess disease; anaemia very common</w:t>
            </w:r>
          </w:p>
        </w:tc>
        <w:tc>
          <w:tcPr>
            <w:tcW w:type="dxa" w:w="1036"/>
            <w:vAlign w:val="top"/>
          </w:tcPr>
          <w:p>
            <w:pPr>
              <w:spacing w:after="40" w:before="0" w:line="259" w:lineRule="auto"/>
            </w:pPr>
            <w:r>
              <w:rPr>
                <w:rFonts w:ascii="Calibri" w:hAnsi="Calibri"/>
                <w:b w:val="0"/>
                <w:i w:val="0"/>
                <w:color w:val="212121"/>
                <w:sz w:val="16"/>
              </w:rPr>
              <w:t>Patients with ALA or colitis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Anaemia present in about 69% of Indian ALA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tests</w:t>
            </w:r>
          </w:p>
        </w:tc>
        <w:tc>
          <w:tcPr>
            <w:tcW w:type="dxa" w:w="892"/>
            <w:vAlign w:val="top"/>
          </w:tcPr>
          <w:p>
            <w:pPr>
              <w:spacing w:after="40" w:before="0" w:line="259" w:lineRule="auto"/>
            </w:pPr>
            <w:r>
              <w:rPr>
                <w:rFonts w:ascii="Calibri" w:hAnsi="Calibri"/>
                <w:b w:val="0"/>
                <w:i w:val="0"/>
                <w:color w:val="212121"/>
                <w:sz w:val="16"/>
              </w:rPr>
              <w:t>LFT panel</w:t>
            </w:r>
          </w:p>
        </w:tc>
        <w:tc>
          <w:tcPr>
            <w:tcW w:type="dxa" w:w="950"/>
            <w:vAlign w:val="top"/>
          </w:tcPr>
          <w:p>
            <w:pPr>
              <w:spacing w:after="40" w:before="0" w:line="259" w:lineRule="auto"/>
            </w:pPr>
            <w:r>
              <w:rPr>
                <w:rFonts w:ascii="Calibri" w:hAnsi="Calibri"/>
                <w:b w:val="0"/>
                <w:i w:val="0"/>
                <w:color w:val="212121"/>
                <w:sz w:val="16"/>
              </w:rPr>
              <w:t>ALP, transaminases, bilirubin within range</w:t>
            </w:r>
          </w:p>
        </w:tc>
        <w:tc>
          <w:tcPr>
            <w:tcW w:type="dxa" w:w="950"/>
            <w:vAlign w:val="top"/>
          </w:tcPr>
          <w:p>
            <w:pPr>
              <w:spacing w:after="40" w:before="0" w:line="259" w:lineRule="auto"/>
            </w:pPr>
            <w:r>
              <w:rPr>
                <w:rFonts w:ascii="Calibri" w:hAnsi="Calibri"/>
                <w:b w:val="0"/>
                <w:i w:val="0"/>
                <w:color w:val="212121"/>
                <w:sz w:val="16"/>
              </w:rPr>
              <w:t>Raised alkaline phosphatase; mild transaminase/bilirubin rise</w:t>
            </w:r>
          </w:p>
        </w:tc>
        <w:tc>
          <w:tcPr>
            <w:tcW w:type="dxa" w:w="1036"/>
            <w:vAlign w:val="top"/>
          </w:tcPr>
          <w:p>
            <w:pPr>
              <w:spacing w:after="40" w:before="0" w:line="259" w:lineRule="auto"/>
            </w:pPr>
            <w:r>
              <w:rPr>
                <w:rFonts w:ascii="Calibri" w:hAnsi="Calibri"/>
                <w:b w:val="0"/>
                <w:i w:val="0"/>
                <w:color w:val="212121"/>
                <w:sz w:val="16"/>
              </w:rPr>
              <w:t>Reflects hepatic involvement; marked jaundice suggests large/complicated abscess</w:t>
            </w:r>
          </w:p>
        </w:tc>
        <w:tc>
          <w:tcPr>
            <w:tcW w:type="dxa" w:w="1036"/>
            <w:vAlign w:val="top"/>
          </w:tcPr>
          <w:p>
            <w:pPr>
              <w:spacing w:after="40" w:before="0" w:line="259" w:lineRule="auto"/>
            </w:pPr>
            <w:r>
              <w:rPr>
                <w:rFonts w:ascii="Calibri" w:hAnsi="Calibri"/>
                <w:b w:val="0"/>
                <w:i w:val="0"/>
                <w:color w:val="212121"/>
                <w:sz w:val="16"/>
              </w:rPr>
              <w:t>Patients with liver abscess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Jaundice in only about 11% and signals a poorer prognosis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Procedure</w:t>
            </w:r>
          </w:p>
        </w:tc>
        <w:tc>
          <w:tcPr>
            <w:tcW w:type="dxa" w:w="1036"/>
            <w:vAlign w:val="top"/>
          </w:tcPr>
          <w:p>
            <w:pPr>
              <w:spacing w:after="40" w:before="0" w:line="259" w:lineRule="auto"/>
            </w:pPr>
            <w:r>
              <w:rPr>
                <w:rFonts w:ascii="Calibri" w:hAnsi="Calibri"/>
                <w:b w:val="0"/>
                <w:i w:val="0"/>
                <w:color w:val="212121"/>
                <w:sz w:val="16"/>
              </w:rPr>
              <w:t>Image-guided aspiration of abscess</w:t>
            </w:r>
          </w:p>
        </w:tc>
        <w:tc>
          <w:tcPr>
            <w:tcW w:type="dxa" w:w="892"/>
            <w:vAlign w:val="top"/>
          </w:tcPr>
          <w:p>
            <w:pPr>
              <w:spacing w:after="40" w:before="0" w:line="259" w:lineRule="auto"/>
            </w:pPr>
            <w:r>
              <w:rPr>
                <w:rFonts w:ascii="Calibri" w:hAnsi="Calibri"/>
                <w:b w:val="0"/>
                <w:i w:val="0"/>
                <w:color w:val="212121"/>
                <w:sz w:val="16"/>
              </w:rPr>
              <w:t>Diagnostic/therapeutic aspiration</w:t>
            </w:r>
          </w:p>
        </w:tc>
        <w:tc>
          <w:tcPr>
            <w:tcW w:type="dxa" w:w="950"/>
            <w:vAlign w:val="top"/>
          </w:tcPr>
          <w:p>
            <w:pPr>
              <w:spacing w:after="40" w:before="0" w:line="259" w:lineRule="auto"/>
            </w:pPr>
            <w:r>
              <w:rPr>
                <w:rFonts w:ascii="Calibri" w:hAnsi="Calibri"/>
                <w:b w:val="0"/>
                <w:i w:val="0"/>
                <w:color w:val="212121"/>
                <w:sz w:val="16"/>
              </w:rPr>
              <w:t>Not applicable</w:t>
            </w:r>
          </w:p>
        </w:tc>
        <w:tc>
          <w:tcPr>
            <w:tcW w:type="dxa" w:w="950"/>
            <w:vAlign w:val="top"/>
          </w:tcPr>
          <w:p>
            <w:pPr>
              <w:spacing w:after="40" w:before="0" w:line="259" w:lineRule="auto"/>
            </w:pPr>
            <w:r>
              <w:rPr>
                <w:rFonts w:ascii="Calibri" w:hAnsi="Calibri"/>
                <w:b w:val="0"/>
                <w:i w:val="0"/>
                <w:color w:val="212121"/>
                <w:sz w:val="16"/>
              </w:rPr>
              <w:t>Sterile, odourless, reddish-brown 'anchovy-sauce' pus</w:t>
            </w:r>
          </w:p>
        </w:tc>
        <w:tc>
          <w:tcPr>
            <w:tcW w:type="dxa" w:w="1036"/>
            <w:vAlign w:val="top"/>
          </w:tcPr>
          <w:p>
            <w:pPr>
              <w:spacing w:after="40" w:before="0" w:line="259" w:lineRule="auto"/>
            </w:pPr>
            <w:r>
              <w:rPr>
                <w:rFonts w:ascii="Calibri" w:hAnsi="Calibri"/>
                <w:b w:val="0"/>
                <w:i w:val="0"/>
                <w:color w:val="212121"/>
                <w:sz w:val="16"/>
              </w:rPr>
              <w:t>Confirms ALA, relieves large/threatened abscess; culture to exclude pyogenic co-infection</w:t>
            </w:r>
          </w:p>
        </w:tc>
        <w:tc>
          <w:tcPr>
            <w:tcW w:type="dxa" w:w="1036"/>
            <w:vAlign w:val="top"/>
          </w:tcPr>
          <w:p>
            <w:pPr>
              <w:spacing w:after="40" w:before="0" w:line="259" w:lineRule="auto"/>
            </w:pPr>
            <w:r>
              <w:rPr>
                <w:rFonts w:ascii="Calibri" w:hAnsi="Calibri"/>
                <w:b w:val="0"/>
                <w:i w:val="0"/>
                <w:color w:val="212121"/>
                <w:sz w:val="16"/>
              </w:rPr>
              <w:t>Large, left-lobe, or non-responding / threatened-rupture abscesses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therapeutic</w:t>
            </w:r>
          </w:p>
        </w:tc>
        <w:tc>
          <w:tcPr>
            <w:tcW w:type="dxa" w:w="720"/>
            <w:vAlign w:val="top"/>
          </w:tcPr>
          <w:p>
            <w:pPr>
              <w:spacing w:after="40" w:before="0" w:line="259" w:lineRule="auto"/>
            </w:pPr>
            <w:r>
              <w:rPr>
                <w:rFonts w:ascii="Calibri" w:hAnsi="Calibri"/>
                <w:b w:val="0"/>
                <w:i w:val="0"/>
                <w:color w:val="212121"/>
                <w:sz w:val="16"/>
              </w:rPr>
              <w:t>Trophozoites are found mainly at the abscess wall, not in central pus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High fever with chills and right upper-quadrant pain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Fever plus right hypochondrial pain (often referred to the right shoulder)</w:t>
            </w:r>
          </w:p>
        </w:tc>
        <w:tc>
          <w:tcPr>
            <w:tcW w:type="dxa" w:w="1036"/>
            <w:vAlign w:val="top"/>
          </w:tcPr>
          <w:p>
            <w:pPr>
              <w:spacing w:after="40" w:before="0" w:line="259" w:lineRule="auto"/>
            </w:pPr>
            <w:r>
              <w:rPr>
                <w:rFonts w:ascii="Calibri" w:hAnsi="Calibri"/>
                <w:b w:val="0"/>
                <w:i w:val="0"/>
                <w:color w:val="212121"/>
                <w:sz w:val="16"/>
              </w:rPr>
              <w:t>Cardinal presentation of amoebic liver abscess</w:t>
            </w:r>
          </w:p>
        </w:tc>
        <w:tc>
          <w:tcPr>
            <w:tcW w:type="dxa" w:w="1036"/>
            <w:vAlign w:val="top"/>
          </w:tcPr>
          <w:p>
            <w:pPr>
              <w:spacing w:after="40" w:before="0" w:line="259" w:lineRule="auto"/>
            </w:pPr>
            <w:r>
              <w:rPr>
                <w:rFonts w:ascii="Calibri" w:hAnsi="Calibri"/>
                <w:b w:val="0"/>
                <w:i w:val="0"/>
                <w:color w:val="212121"/>
                <w:sz w:val="16"/>
              </w:rPr>
              <w:t>Middle-aged men in endemic areas</w:t>
            </w:r>
          </w:p>
        </w:tc>
        <w:tc>
          <w:tcPr>
            <w:tcW w:type="dxa" w:w="720"/>
            <w:vAlign w:val="top"/>
          </w:tcPr>
          <w:p>
            <w:pPr>
              <w:spacing w:after="40" w:before="0" w:line="259" w:lineRule="auto"/>
            </w:pPr>
            <w:r>
              <w:rPr>
                <w:rFonts w:ascii="Calibri" w:hAnsi="Calibri"/>
                <w:b w:val="0"/>
                <w:i w:val="0"/>
                <w:color w:val="212121"/>
                <w:sz w:val="16"/>
              </w:rPr>
              <w:t>Alcohol;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Abdominal pain (about 91%) and fever (about 73%) are the commonest symptoms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Bowel history</w:t>
            </w:r>
          </w:p>
        </w:tc>
        <w:tc>
          <w:tcPr>
            <w:tcW w:type="dxa" w:w="979"/>
            <w:vAlign w:val="top"/>
          </w:tcPr>
          <w:p>
            <w:pPr>
              <w:spacing w:after="40" w:before="0" w:line="259" w:lineRule="auto"/>
            </w:pPr>
            <w:r>
              <w:rPr>
                <w:rFonts w:ascii="Calibri" w:hAnsi="Calibri"/>
                <w:b w:val="0"/>
                <w:i w:val="0"/>
                <w:color w:val="212121"/>
                <w:sz w:val="16"/>
              </w:rPr>
              <w:t>Dysentery - loose stools with blood and mucus, tenesmus</w:t>
            </w:r>
          </w:p>
        </w:tc>
        <w:tc>
          <w:tcPr>
            <w:tcW w:type="dxa" w:w="950"/>
            <w:vAlign w:val="top"/>
          </w:tcPr>
          <w:p>
            <w:pPr>
              <w:spacing w:after="40" w:before="0" w:line="259" w:lineRule="auto"/>
            </w:pPr>
            <w:r>
              <w:rPr>
                <w:rFonts w:ascii="Calibri" w:hAnsi="Calibri"/>
                <w:b w:val="0"/>
                <w:i w:val="0"/>
                <w:color w:val="212121"/>
                <w:sz w:val="16"/>
              </w:rPr>
              <w:t>Normal bowel habit</w:t>
            </w:r>
          </w:p>
        </w:tc>
        <w:tc>
          <w:tcPr>
            <w:tcW w:type="dxa" w:w="950"/>
            <w:vAlign w:val="top"/>
          </w:tcPr>
          <w:p>
            <w:pPr>
              <w:spacing w:after="40" w:before="0" w:line="259" w:lineRule="auto"/>
            </w:pPr>
            <w:r>
              <w:rPr>
                <w:rFonts w:ascii="Calibri" w:hAnsi="Calibri"/>
                <w:b w:val="0"/>
                <w:i w:val="0"/>
                <w:color w:val="212121"/>
                <w:sz w:val="16"/>
              </w:rPr>
              <w:t>Bloody, mucoid diarrhoea with cramps</w:t>
            </w:r>
          </w:p>
        </w:tc>
        <w:tc>
          <w:tcPr>
            <w:tcW w:type="dxa" w:w="1036"/>
            <w:vAlign w:val="top"/>
          </w:tcPr>
          <w:p>
            <w:pPr>
              <w:spacing w:after="40" w:before="0" w:line="259" w:lineRule="auto"/>
            </w:pPr>
            <w:r>
              <w:rPr>
                <w:rFonts w:ascii="Calibri" w:hAnsi="Calibri"/>
                <w:b w:val="0"/>
                <w:i w:val="0"/>
                <w:color w:val="212121"/>
                <w:sz w:val="16"/>
              </w:rPr>
              <w:t>Indicates invasive amoebic colitis</w:t>
            </w:r>
          </w:p>
        </w:tc>
        <w:tc>
          <w:tcPr>
            <w:tcW w:type="dxa" w:w="1036"/>
            <w:vAlign w:val="top"/>
          </w:tcPr>
          <w:p>
            <w:pPr>
              <w:spacing w:after="40" w:before="0" w:line="259" w:lineRule="auto"/>
            </w:pPr>
            <w:r>
              <w:rPr>
                <w:rFonts w:ascii="Calibri" w:hAnsi="Calibri"/>
                <w:b w:val="0"/>
                <w:i w:val="0"/>
                <w:color w:val="212121"/>
                <w:sz w:val="16"/>
              </w:rPr>
              <w:t>Patients with intestinal amoebiasis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Only a minority of ALA patients have concurrent diarrhoea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 risk history</w:t>
            </w:r>
          </w:p>
        </w:tc>
        <w:tc>
          <w:tcPr>
            <w:tcW w:type="dxa" w:w="979"/>
            <w:vAlign w:val="top"/>
          </w:tcPr>
          <w:p>
            <w:pPr>
              <w:spacing w:after="40" w:before="0" w:line="259" w:lineRule="auto"/>
            </w:pPr>
            <w:r>
              <w:rPr>
                <w:rFonts w:ascii="Calibri" w:hAnsi="Calibri"/>
                <w:b w:val="0"/>
                <w:i w:val="0"/>
                <w:color w:val="212121"/>
                <w:sz w:val="16"/>
              </w:rPr>
              <w:t>Unsafe water, raw food, alcohol, poor sanitation, travel, sexual history</w:t>
            </w:r>
          </w:p>
        </w:tc>
        <w:tc>
          <w:tcPr>
            <w:tcW w:type="dxa" w:w="950"/>
            <w:vAlign w:val="top"/>
          </w:tcPr>
          <w:p>
            <w:pPr>
              <w:spacing w:after="40" w:before="0" w:line="259" w:lineRule="auto"/>
            </w:pPr>
            <w:r>
              <w:rPr>
                <w:rFonts w:ascii="Calibri" w:hAnsi="Calibri"/>
                <w:b w:val="0"/>
                <w:i w:val="0"/>
                <w:color w:val="212121"/>
                <w:sz w:val="16"/>
              </w:rPr>
              <w:t>Low-risk background</w:t>
            </w:r>
          </w:p>
        </w:tc>
        <w:tc>
          <w:tcPr>
            <w:tcW w:type="dxa" w:w="950"/>
            <w:vAlign w:val="top"/>
          </w:tcPr>
          <w:p>
            <w:pPr>
              <w:spacing w:after="40" w:before="0" w:line="259" w:lineRule="auto"/>
            </w:pPr>
            <w:r>
              <w:rPr>
                <w:rFonts w:ascii="Calibri" w:hAnsi="Calibri"/>
                <w:b w:val="0"/>
                <w:i w:val="0"/>
                <w:color w:val="212121"/>
                <w:sz w:val="16"/>
              </w:rPr>
              <w:t>Untreated water, alcohol use, poor sanitation, MSM contact</w:t>
            </w:r>
          </w:p>
        </w:tc>
        <w:tc>
          <w:tcPr>
            <w:tcW w:type="dxa" w:w="1036"/>
            <w:vAlign w:val="top"/>
          </w:tcPr>
          <w:p>
            <w:pPr>
              <w:spacing w:after="40" w:before="0" w:line="259" w:lineRule="auto"/>
            </w:pPr>
            <w:r>
              <w:rPr>
                <w:rFonts w:ascii="Calibri" w:hAnsi="Calibri"/>
                <w:b w:val="0"/>
                <w:i w:val="0"/>
                <w:color w:val="212121"/>
                <w:sz w:val="16"/>
              </w:rPr>
              <w:t>Establishes pre-test probability and transmission route</w:t>
            </w:r>
          </w:p>
        </w:tc>
        <w:tc>
          <w:tcPr>
            <w:tcW w:type="dxa" w:w="1036"/>
            <w:vAlign w:val="top"/>
          </w:tcPr>
          <w:p>
            <w:pPr>
              <w:spacing w:after="40" w:before="0" w:line="259" w:lineRule="auto"/>
            </w:pPr>
            <w:r>
              <w:rPr>
                <w:rFonts w:ascii="Calibri" w:hAnsi="Calibri"/>
                <w:b w:val="0"/>
                <w:i w:val="0"/>
                <w:color w:val="212121"/>
                <w:sz w:val="16"/>
              </w:rPr>
              <w:t>Endemic, low-income, alcohol-using populations</w:t>
            </w:r>
          </w:p>
        </w:tc>
        <w:tc>
          <w:tcPr>
            <w:tcW w:type="dxa" w:w="720"/>
            <w:vAlign w:val="top"/>
          </w:tcPr>
          <w:p>
            <w:pPr>
              <w:spacing w:after="40" w:before="0" w:line="259" w:lineRule="auto"/>
            </w:pPr>
            <w:r>
              <w:rPr>
                <w:rFonts w:ascii="Calibri" w:hAnsi="Calibri"/>
                <w:b w:val="0"/>
                <w:i w:val="0"/>
                <w:color w:val="212121"/>
                <w:sz w:val="16"/>
              </w:rPr>
              <w:t>Water; Hygiene; 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Alcohol and poor sanitation are the dominant Indian risk factors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General examination</w:t>
            </w:r>
          </w:p>
        </w:tc>
        <w:tc>
          <w:tcPr>
            <w:tcW w:type="dxa" w:w="979"/>
            <w:vAlign w:val="top"/>
          </w:tcPr>
          <w:p>
            <w:pPr>
              <w:spacing w:after="40" w:before="0" w:line="259" w:lineRule="auto"/>
            </w:pPr>
            <w:r>
              <w:rPr>
                <w:rFonts w:ascii="Calibri" w:hAnsi="Calibri"/>
                <w:b w:val="0"/>
                <w:i w:val="0"/>
                <w:color w:val="212121"/>
                <w:sz w:val="16"/>
              </w:rPr>
              <w:t>Toxic, febrile, pallor, occasional mild icterus</w:t>
            </w:r>
          </w:p>
        </w:tc>
        <w:tc>
          <w:tcPr>
            <w:tcW w:type="dxa" w:w="950"/>
            <w:vAlign w:val="top"/>
          </w:tcPr>
          <w:p>
            <w:pPr>
              <w:spacing w:after="40" w:before="0" w:line="259" w:lineRule="auto"/>
            </w:pPr>
            <w:r>
              <w:rPr>
                <w:rFonts w:ascii="Calibri" w:hAnsi="Calibri"/>
                <w:b w:val="0"/>
                <w:i w:val="0"/>
                <w:color w:val="212121"/>
                <w:sz w:val="16"/>
              </w:rPr>
              <w:t>Well, afebrile</w:t>
            </w:r>
          </w:p>
        </w:tc>
        <w:tc>
          <w:tcPr>
            <w:tcW w:type="dxa" w:w="950"/>
            <w:vAlign w:val="top"/>
          </w:tcPr>
          <w:p>
            <w:pPr>
              <w:spacing w:after="40" w:before="0" w:line="259" w:lineRule="auto"/>
            </w:pPr>
            <w:r>
              <w:rPr>
                <w:rFonts w:ascii="Calibri" w:hAnsi="Calibri"/>
                <w:b w:val="0"/>
                <w:i w:val="0"/>
                <w:color w:val="212121"/>
                <w:sz w:val="16"/>
              </w:rPr>
              <w:t>Ill-looking, febrile, pale; mild jaundice in a minority</w:t>
            </w:r>
          </w:p>
        </w:tc>
        <w:tc>
          <w:tcPr>
            <w:tcW w:type="dxa" w:w="1036"/>
            <w:vAlign w:val="top"/>
          </w:tcPr>
          <w:p>
            <w:pPr>
              <w:spacing w:after="40" w:before="0" w:line="259" w:lineRule="auto"/>
            </w:pPr>
            <w:r>
              <w:rPr>
                <w:rFonts w:ascii="Calibri" w:hAnsi="Calibri"/>
                <w:b w:val="0"/>
                <w:i w:val="0"/>
                <w:color w:val="212121"/>
                <w:sz w:val="16"/>
              </w:rPr>
              <w:t>Reflects systemic sepsis and anaemia of invasive disease</w:t>
            </w:r>
          </w:p>
        </w:tc>
        <w:tc>
          <w:tcPr>
            <w:tcW w:type="dxa" w:w="1036"/>
            <w:vAlign w:val="top"/>
          </w:tcPr>
          <w:p>
            <w:pPr>
              <w:spacing w:after="40" w:before="0" w:line="259" w:lineRule="auto"/>
            </w:pPr>
            <w:r>
              <w:rPr>
                <w:rFonts w:ascii="Calibri" w:hAnsi="Calibri"/>
                <w:b w:val="0"/>
                <w:i w:val="0"/>
                <w:color w:val="212121"/>
                <w:sz w:val="16"/>
              </w:rPr>
              <w:t>Patients with ALA or severe colitis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Deep jaundice suggests a large or complicated abscess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Tender, smooth hepatomegaly; intercostal / point tenderness</w:t>
            </w:r>
          </w:p>
        </w:tc>
        <w:tc>
          <w:tcPr>
            <w:tcW w:type="dxa" w:w="950"/>
            <w:vAlign w:val="top"/>
          </w:tcPr>
          <w:p>
            <w:pPr>
              <w:spacing w:after="40" w:before="0" w:line="259" w:lineRule="auto"/>
            </w:pPr>
            <w:r>
              <w:rPr>
                <w:rFonts w:ascii="Calibri" w:hAnsi="Calibri"/>
                <w:b w:val="0"/>
                <w:i w:val="0"/>
                <w:color w:val="212121"/>
                <w:sz w:val="16"/>
              </w:rPr>
              <w:t>Soft, non-tender abdomen</w:t>
            </w:r>
          </w:p>
        </w:tc>
        <w:tc>
          <w:tcPr>
            <w:tcW w:type="dxa" w:w="950"/>
            <w:vAlign w:val="top"/>
          </w:tcPr>
          <w:p>
            <w:pPr>
              <w:spacing w:after="40" w:before="0" w:line="259" w:lineRule="auto"/>
            </w:pPr>
            <w:r>
              <w:rPr>
                <w:rFonts w:ascii="Calibri" w:hAnsi="Calibri"/>
                <w:b w:val="0"/>
                <w:i w:val="0"/>
                <w:color w:val="212121"/>
                <w:sz w:val="16"/>
              </w:rPr>
              <w:t>Tender enlarged liver, right intercostal tenderness</w:t>
            </w:r>
          </w:p>
        </w:tc>
        <w:tc>
          <w:tcPr>
            <w:tcW w:type="dxa" w:w="1036"/>
            <w:vAlign w:val="top"/>
          </w:tcPr>
          <w:p>
            <w:pPr>
              <w:spacing w:after="40" w:before="0" w:line="259" w:lineRule="auto"/>
            </w:pPr>
            <w:r>
              <w:rPr>
                <w:rFonts w:ascii="Calibri" w:hAnsi="Calibri"/>
                <w:b w:val="0"/>
                <w:i w:val="0"/>
                <w:color w:val="212121"/>
                <w:sz w:val="16"/>
              </w:rPr>
              <w:t>Localises the hepatic abscess</w:t>
            </w:r>
          </w:p>
        </w:tc>
        <w:tc>
          <w:tcPr>
            <w:tcW w:type="dxa" w:w="1036"/>
            <w:vAlign w:val="top"/>
          </w:tcPr>
          <w:p>
            <w:pPr>
              <w:spacing w:after="40" w:before="0" w:line="259" w:lineRule="auto"/>
            </w:pPr>
            <w:r>
              <w:rPr>
                <w:rFonts w:ascii="Calibri" w:hAnsi="Calibri"/>
                <w:b w:val="0"/>
                <w:i w:val="0"/>
                <w:color w:val="212121"/>
                <w:sz w:val="16"/>
              </w:rPr>
              <w:t>Patients with liver abscess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Hepatomegaly present in about 69% of Indian ALA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Respiratory / complication screen</w:t>
            </w:r>
          </w:p>
        </w:tc>
        <w:tc>
          <w:tcPr>
            <w:tcW w:type="dxa" w:w="979"/>
            <w:vAlign w:val="top"/>
          </w:tcPr>
          <w:p>
            <w:pPr>
              <w:spacing w:after="40" w:before="0" w:line="259" w:lineRule="auto"/>
            </w:pPr>
            <w:r>
              <w:rPr>
                <w:rFonts w:ascii="Calibri" w:hAnsi="Calibri"/>
                <w:b w:val="0"/>
                <w:i w:val="0"/>
                <w:color w:val="212121"/>
                <w:sz w:val="16"/>
              </w:rPr>
              <w:t>Right basal signs - raised diaphragm, reduced movement, pleural effusion</w:t>
            </w:r>
          </w:p>
        </w:tc>
        <w:tc>
          <w:tcPr>
            <w:tcW w:type="dxa" w:w="950"/>
            <w:vAlign w:val="top"/>
          </w:tcPr>
          <w:p>
            <w:pPr>
              <w:spacing w:after="40" w:before="0" w:line="259" w:lineRule="auto"/>
            </w:pPr>
            <w:r>
              <w:rPr>
                <w:rFonts w:ascii="Calibri" w:hAnsi="Calibri"/>
                <w:b w:val="0"/>
                <w:i w:val="0"/>
                <w:color w:val="212121"/>
                <w:sz w:val="16"/>
              </w:rPr>
              <w:t>Clear chest, no effusion</w:t>
            </w:r>
          </w:p>
        </w:tc>
        <w:tc>
          <w:tcPr>
            <w:tcW w:type="dxa" w:w="950"/>
            <w:vAlign w:val="top"/>
          </w:tcPr>
          <w:p>
            <w:pPr>
              <w:spacing w:after="40" w:before="0" w:line="259" w:lineRule="auto"/>
            </w:pPr>
            <w:r>
              <w:rPr>
                <w:rFonts w:ascii="Calibri" w:hAnsi="Calibri"/>
                <w:b w:val="0"/>
                <w:i w:val="0"/>
                <w:color w:val="212121"/>
                <w:sz w:val="16"/>
              </w:rPr>
              <w:t>Right basal dullness, reduced air entry, rub</w:t>
            </w:r>
          </w:p>
        </w:tc>
        <w:tc>
          <w:tcPr>
            <w:tcW w:type="dxa" w:w="1036"/>
            <w:vAlign w:val="top"/>
          </w:tcPr>
          <w:p>
            <w:pPr>
              <w:spacing w:after="40" w:before="0" w:line="259" w:lineRule="auto"/>
            </w:pPr>
            <w:r>
              <w:rPr>
                <w:rFonts w:ascii="Calibri" w:hAnsi="Calibri"/>
                <w:b w:val="0"/>
                <w:i w:val="0"/>
                <w:color w:val="212121"/>
                <w:sz w:val="16"/>
              </w:rPr>
              <w:t>Suggests diaphragmatic irritation or pleuropulmonary rupture/extension</w:t>
            </w:r>
          </w:p>
        </w:tc>
        <w:tc>
          <w:tcPr>
            <w:tcW w:type="dxa" w:w="1036"/>
            <w:vAlign w:val="top"/>
          </w:tcPr>
          <w:p>
            <w:pPr>
              <w:spacing w:after="40" w:before="0" w:line="259" w:lineRule="auto"/>
            </w:pPr>
            <w:r>
              <w:rPr>
                <w:rFonts w:ascii="Calibri" w:hAnsi="Calibri"/>
                <w:b w:val="0"/>
                <w:i w:val="0"/>
                <w:color w:val="212121"/>
                <w:sz w:val="16"/>
              </w:rPr>
              <w:t>Patients with upper right-lobe or ruptured abscess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Rupture into the pleura/lung is a serious complication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High fever with chills and rigors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hepatic or colonic invasion and systemic inflammation; present in about 73% of amoebic liver abscess patients.</w:t>
            </w:r>
          </w:p>
        </w:tc>
      </w:tr>
      <w:tr>
        <w:trPr>
          <w:cantSplit/>
        </w:trPr>
        <w:tc>
          <w:tcPr>
            <w:tcW w:type="dxa" w:w="2304"/>
            <w:vAlign w:val="top"/>
          </w:tcPr>
          <w:p>
            <w:pPr>
              <w:spacing w:after="40" w:before="0" w:line="259" w:lineRule="auto"/>
            </w:pPr>
            <w:r>
              <w:rPr>
                <w:rFonts w:ascii="Calibri" w:hAnsi="Calibri"/>
                <w:b/>
                <w:i w:val="0"/>
                <w:color w:val="212121"/>
                <w:sz w:val="19"/>
              </w:rPr>
              <w:t>Right upper-quadrant / right hypochondrial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constant pain from hepatic capsular stretch, often referred to the right shoulder or scapula; abdominal pain occurs in about 91% of ALA cases.</w:t>
            </w:r>
          </w:p>
        </w:tc>
      </w:tr>
      <w:tr>
        <w:trPr>
          <w:cantSplit/>
        </w:trPr>
        <w:tc>
          <w:tcPr>
            <w:tcW w:type="dxa" w:w="2304"/>
            <w:vAlign w:val="top"/>
          </w:tcPr>
          <w:p>
            <w:pPr>
              <w:spacing w:after="40" w:before="0" w:line="259" w:lineRule="auto"/>
            </w:pPr>
            <w:r>
              <w:rPr>
                <w:rFonts w:ascii="Calibri" w:hAnsi="Calibri"/>
                <w:b/>
                <w:i w:val="0"/>
                <w:color w:val="212121"/>
                <w:sz w:val="19"/>
              </w:rPr>
              <w:t>Anorexia, nausea and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constitutional symptoms of invasive infection and hepatic abscess.</w:t>
            </w:r>
          </w:p>
        </w:tc>
      </w:tr>
      <w:tr>
        <w:trPr>
          <w:cantSplit/>
        </w:trPr>
        <w:tc>
          <w:tcPr>
            <w:tcW w:type="dxa" w:w="2304"/>
            <w:vAlign w:val="top"/>
          </w:tcPr>
          <w:p>
            <w:pPr>
              <w:spacing w:after="40" w:before="0" w:line="259" w:lineRule="auto"/>
            </w:pPr>
            <w:r>
              <w:rPr>
                <w:rFonts w:ascii="Calibri" w:hAnsi="Calibri"/>
                <w:b/>
                <w:i w:val="0"/>
                <w:color w:val="212121"/>
                <w:sz w:val="19"/>
              </w:rPr>
              <w:t>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with subacute presentations and prolonged illness.</w:t>
            </w:r>
          </w:p>
        </w:tc>
      </w:tr>
      <w:tr>
        <w:trPr>
          <w:cantSplit/>
        </w:trPr>
        <w:tc>
          <w:tcPr>
            <w:tcW w:type="dxa" w:w="2304"/>
            <w:vAlign w:val="top"/>
          </w:tcPr>
          <w:p>
            <w:pPr>
              <w:spacing w:after="40" w:before="0" w:line="259" w:lineRule="auto"/>
            </w:pPr>
            <w:r>
              <w:rPr>
                <w:rFonts w:ascii="Calibri" w:hAnsi="Calibri"/>
                <w:b/>
                <w:i w:val="0"/>
                <w:color w:val="212121"/>
                <w:sz w:val="19"/>
              </w:rPr>
              <w:t>Dysentery - loose stools with blood and mucus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amoebic colitis, with cramps and tenesmus; classically less toxic and more gradual than bacillary dysentery.</w:t>
            </w:r>
          </w:p>
        </w:tc>
      </w:tr>
      <w:tr>
        <w:trPr>
          <w:cantSplit/>
        </w:trPr>
        <w:tc>
          <w:tcPr>
            <w:tcW w:type="dxa" w:w="2304"/>
            <w:vAlign w:val="top"/>
          </w:tcPr>
          <w:p>
            <w:pPr>
              <w:spacing w:after="40" w:before="0" w:line="259" w:lineRule="auto"/>
            </w:pPr>
            <w:r>
              <w:rPr>
                <w:rFonts w:ascii="Calibri" w:hAnsi="Calibri"/>
                <w:b/>
                <w:i w:val="0"/>
                <w:color w:val="212121"/>
                <w:sz w:val="19"/>
              </w:rPr>
              <w:t>Abdominal cramps and bloating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Accompany colonic invasion and altered bowel habit.</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anaemia (present in about 69%), fever and poor intake.</w:t>
            </w:r>
          </w:p>
        </w:tc>
      </w:tr>
      <w:tr>
        <w:trPr>
          <w:cantSplit/>
        </w:trPr>
        <w:tc>
          <w:tcPr>
            <w:tcW w:type="dxa" w:w="2304"/>
            <w:vAlign w:val="top"/>
          </w:tcPr>
          <w:p>
            <w:pPr>
              <w:spacing w:after="40" w:before="0" w:line="259" w:lineRule="auto"/>
            </w:pPr>
            <w:r>
              <w:rPr>
                <w:rFonts w:ascii="Calibri" w:hAnsi="Calibri"/>
                <w:b/>
                <w:i w:val="0"/>
                <w:color w:val="212121"/>
                <w:sz w:val="19"/>
              </w:rPr>
              <w:t>Cough and right pleuritic chest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Arise from diaphragmatic irritation by an upper right-lobe abscess or early pleuropulmonary extension.</w:t>
            </w:r>
          </w:p>
        </w:tc>
      </w:tr>
      <w:tr>
        <w:trPr>
          <w:cantSplit/>
        </w:trPr>
        <w:tc>
          <w:tcPr>
            <w:tcW w:type="dxa" w:w="2304"/>
            <w:vAlign w:val="top"/>
          </w:tcPr>
          <w:p>
            <w:pPr>
              <w:spacing w:after="40" w:before="0" w:line="259" w:lineRule="auto"/>
            </w:pPr>
            <w:r>
              <w:rPr>
                <w:rFonts w:ascii="Calibri" w:hAnsi="Calibri"/>
                <w:b/>
                <w:i w:val="0"/>
                <w:color w:val="212121"/>
                <w:sz w:val="19"/>
              </w:rPr>
              <w:t>Right shoulder-tip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Referred pain from diaphragmatic irritation over the liver abscess.</w:t>
            </w:r>
          </w:p>
        </w:tc>
      </w:tr>
      <w:tr>
        <w:trPr>
          <w:cantSplit/>
        </w:trPr>
        <w:tc>
          <w:tcPr>
            <w:tcW w:type="dxa" w:w="2304"/>
            <w:vAlign w:val="top"/>
          </w:tcPr>
          <w:p>
            <w:pPr>
              <w:spacing w:after="40" w:before="0" w:line="259" w:lineRule="auto"/>
            </w:pPr>
            <w:r>
              <w:rPr>
                <w:rFonts w:ascii="Calibri" w:hAnsi="Calibri"/>
                <w:b/>
                <w:i w:val="0"/>
                <w:color w:val="212121"/>
                <w:sz w:val="19"/>
              </w:rPr>
              <w:t>Jaundice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Occurs in only about 11% of ALA and usually indicates a large or complicated abscess with a poorer prognosis.</w:t>
            </w:r>
          </w:p>
        </w:tc>
      </w:tr>
      <w:tr>
        <w:trPr>
          <w:cantSplit/>
        </w:trPr>
        <w:tc>
          <w:tcPr>
            <w:tcW w:type="dxa" w:w="2304"/>
            <w:vAlign w:val="top"/>
          </w:tcPr>
          <w:p>
            <w:pPr>
              <w:spacing w:after="40" w:before="0" w:line="259" w:lineRule="auto"/>
            </w:pPr>
            <w:r>
              <w:rPr>
                <w:rFonts w:ascii="Calibri" w:hAnsi="Calibri"/>
                <w:b/>
                <w:i w:val="0"/>
                <w:color w:val="212121"/>
                <w:sz w:val="19"/>
              </w:rPr>
              <w:t>Sudden severe pain / breathlessness from abscess rupture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Rupture into the peritoneum, pleura or pericardium causes acute deterioration and is life-threatening.</w:t>
            </w:r>
          </w:p>
        </w:tc>
      </w:tr>
      <w:tr>
        <w:trPr>
          <w:cantSplit/>
        </w:trPr>
        <w:tc>
          <w:tcPr>
            <w:tcW w:type="dxa" w:w="2304"/>
            <w:vAlign w:val="top"/>
          </w:tcPr>
          <w:p>
            <w:pPr>
              <w:spacing w:after="40" w:before="0" w:line="259" w:lineRule="auto"/>
            </w:pPr>
            <w:r>
              <w:rPr>
                <w:rFonts w:ascii="Calibri" w:hAnsi="Calibri"/>
                <w:b/>
                <w:i w:val="0"/>
                <w:color w:val="212121"/>
                <w:sz w:val="19"/>
              </w:rPr>
              <w:t>Headache, seizures or focal deficit (cerebral amoebiasis)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Haematogenous spread to the brain is uncommon but carries very high mortality.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Frequently the presenting sign of invasive amoebiasis and liver abscess.</w:t>
            </w:r>
          </w:p>
        </w:tc>
      </w:tr>
      <w:tr>
        <w:trPr>
          <w:cantSplit/>
        </w:trPr>
        <w:tc>
          <w:tcPr>
            <w:tcW w:type="dxa" w:w="3456"/>
            <w:vAlign w:val="top"/>
          </w:tcPr>
          <w:p>
            <w:pPr>
              <w:spacing w:after="40" w:before="0" w:line="259" w:lineRule="auto"/>
            </w:pPr>
            <w:r>
              <w:rPr>
                <w:rFonts w:ascii="Calibri" w:hAnsi="Calibri"/>
                <w:b/>
                <w:i w:val="0"/>
                <w:color w:val="212121"/>
                <w:sz w:val="19"/>
              </w:rPr>
              <w:t>Tender, smooth hepatomegaly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liver is enlarged and tender in about 69% of amoebic liver abscess patients.</w:t>
            </w:r>
          </w:p>
        </w:tc>
      </w:tr>
      <w:tr>
        <w:trPr>
          <w:cantSplit/>
        </w:trPr>
        <w:tc>
          <w:tcPr>
            <w:tcW w:type="dxa" w:w="3456"/>
            <w:vAlign w:val="top"/>
          </w:tcPr>
          <w:p>
            <w:pPr>
              <w:spacing w:after="40" w:before="0" w:line="259" w:lineRule="auto"/>
            </w:pPr>
            <w:r>
              <w:rPr>
                <w:rFonts w:ascii="Calibri" w:hAnsi="Calibri"/>
                <w:b/>
                <w:i w:val="0"/>
                <w:color w:val="212121"/>
                <w:sz w:val="19"/>
              </w:rPr>
              <w:t>Right intercostal / subcostal point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tenderness over the lower right ribs, a classic bedside clue to a right-lobe abscess.</w:t>
            </w:r>
          </w:p>
        </w:tc>
      </w:tr>
      <w:tr>
        <w:trPr>
          <w:cantSplit/>
        </w:trPr>
        <w:tc>
          <w:tcPr>
            <w:tcW w:type="dxa" w:w="3456"/>
            <w:vAlign w:val="top"/>
          </w:tcPr>
          <w:p>
            <w:pPr>
              <w:spacing w:after="40" w:before="0" w:line="259" w:lineRule="auto"/>
            </w:pPr>
            <w:r>
              <w:rPr>
                <w:rFonts w:ascii="Calibri" w:hAnsi="Calibri"/>
                <w:b/>
                <w:i w:val="0"/>
                <w:color w:val="212121"/>
                <w:sz w:val="19"/>
              </w:rPr>
              <w:t>Pallor / signs of anaemia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Anaemia is present in about 69% of Indian ALA patients from chronic infection and poor nutrition.</w:t>
            </w:r>
          </w:p>
        </w:tc>
      </w:tr>
      <w:tr>
        <w:trPr>
          <w:cantSplit/>
        </w:trPr>
        <w:tc>
          <w:tcPr>
            <w:tcW w:type="dxa" w:w="3456"/>
            <w:vAlign w:val="top"/>
          </w:tcPr>
          <w:p>
            <w:pPr>
              <w:spacing w:after="40" w:before="0" w:line="259" w:lineRule="auto"/>
            </w:pPr>
            <w:r>
              <w:rPr>
                <w:rFonts w:ascii="Calibri" w:hAnsi="Calibri"/>
                <w:b/>
                <w:i w:val="0"/>
                <w:color w:val="212121"/>
                <w:sz w:val="19"/>
              </w:rPr>
              <w:t>Abdominal tenderness / guarding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colonic invasion in colitis or peritoneal irritation in complicated abscess.</w:t>
            </w:r>
          </w:p>
        </w:tc>
      </w:tr>
      <w:tr>
        <w:trPr>
          <w:cantSplit/>
        </w:trPr>
        <w:tc>
          <w:tcPr>
            <w:tcW w:type="dxa" w:w="3456"/>
            <w:vAlign w:val="top"/>
          </w:tcPr>
          <w:p>
            <w:pPr>
              <w:spacing w:after="40" w:before="0" w:line="259" w:lineRule="auto"/>
            </w:pPr>
            <w:r>
              <w:rPr>
                <w:rFonts w:ascii="Calibri" w:hAnsi="Calibri"/>
                <w:b/>
                <w:i w:val="0"/>
                <w:color w:val="212121"/>
                <w:sz w:val="19"/>
              </w:rPr>
              <w:t>Right basal chest signs (reduced movement, dullness, effusion)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raised right hemidiaphragm, basal crepitations or effusion suggest sympathetic effusion or pleuropulmonary extension.</w:t>
            </w:r>
          </w:p>
        </w:tc>
      </w:tr>
      <w:tr>
        <w:trPr>
          <w:cantSplit/>
        </w:trPr>
        <w:tc>
          <w:tcPr>
            <w:tcW w:type="dxa" w:w="3456"/>
            <w:vAlign w:val="top"/>
          </w:tcPr>
          <w:p>
            <w:pPr>
              <w:spacing w:after="40" w:before="0" w:line="259" w:lineRule="auto"/>
            </w:pPr>
            <w:r>
              <w:rPr>
                <w:rFonts w:ascii="Calibri" w:hAnsi="Calibri"/>
                <w:b/>
                <w:i w:val="0"/>
                <w:color w:val="212121"/>
                <w:sz w:val="19"/>
              </w:rPr>
              <w:t>Mild icterus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Jaundice occurs in about 11% and points to a large or complicated abscess.</w:t>
            </w:r>
          </w:p>
        </w:tc>
      </w:tr>
      <w:tr>
        <w:trPr>
          <w:cantSplit/>
        </w:trPr>
        <w:tc>
          <w:tcPr>
            <w:tcW w:type="dxa" w:w="3456"/>
            <w:vAlign w:val="top"/>
          </w:tcPr>
          <w:p>
            <w:pPr>
              <w:spacing w:after="40" w:before="0" w:line="259" w:lineRule="auto"/>
            </w:pPr>
            <w:r>
              <w:rPr>
                <w:rFonts w:ascii="Calibri" w:hAnsi="Calibri"/>
                <w:b/>
                <w:i w:val="0"/>
                <w:color w:val="212121"/>
                <w:sz w:val="19"/>
              </w:rPr>
              <w:t>Intercostal fullness / localised bulge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pointing abscess may produce localised swelling or oedema over the lower right chest wall.</w:t>
            </w:r>
          </w:p>
        </w:tc>
      </w:tr>
      <w:tr>
        <w:trPr>
          <w:cantSplit/>
        </w:trPr>
        <w:tc>
          <w:tcPr>
            <w:tcW w:type="dxa" w:w="3456"/>
            <w:vAlign w:val="top"/>
          </w:tcPr>
          <w:p>
            <w:pPr>
              <w:spacing w:after="40" w:before="0" w:line="259" w:lineRule="auto"/>
            </w:pPr>
            <w:r>
              <w:rPr>
                <w:rFonts w:ascii="Calibri" w:hAnsi="Calibri"/>
                <w:b/>
                <w:i w:val="0"/>
                <w:color w:val="212121"/>
                <w:sz w:val="19"/>
              </w:rPr>
              <w:t>Signs of peritonitis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Board-like rigidity and rebound tenderness follow intraperitoneal rupture of an abscess or colonic perforation.</w:t>
            </w:r>
          </w:p>
        </w:tc>
      </w:tr>
      <w:tr>
        <w:trPr>
          <w:cantSplit/>
        </w:trPr>
        <w:tc>
          <w:tcPr>
            <w:tcW w:type="dxa" w:w="3456"/>
            <w:vAlign w:val="top"/>
          </w:tcPr>
          <w:p>
            <w:pPr>
              <w:spacing w:after="40" w:before="0" w:line="259" w:lineRule="auto"/>
            </w:pPr>
            <w:r>
              <w:rPr>
                <w:rFonts w:ascii="Calibri" w:hAnsi="Calibri"/>
                <w:b/>
                <w:i w:val="0"/>
                <w:color w:val="212121"/>
                <w:sz w:val="19"/>
              </w:rPr>
              <w:t>Pericardial rub / features of tamponade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Rupture of a left-lobe abscess into the pericardium is the most lethal complication of ALA.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Amoebic colitis and dysentery (bloody, mucoid diarrhoea with flask-shaped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Amoebic liver abscess (commonest extra-intestinal manifestation)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Fulminant necrotising colitis and toxic megacolon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Ameboma (annular colonic mass mimicking carcinoma)</w:t>
            </w:r>
          </w:p>
        </w:tc>
        <w:tc>
          <w:tcPr>
            <w:tcW w:type="dxa" w:w="2980"/>
            <w:vAlign w:val="top"/>
          </w:tcPr>
          <w:p>
            <w:pPr>
              <w:spacing w:after="40" w:before="0" w:line="259" w:lineRule="auto"/>
            </w:pPr>
            <w:r>
              <w:rPr>
                <w:rFonts w:ascii="Calibri" w:hAnsi="Calibri"/>
                <w:b w:val="0"/>
                <w:i w:val="0"/>
                <w:color w:val="212121"/>
                <w:sz w:val="19"/>
              </w:rPr>
              <w:t>Direct consequences of mucosal invasion by E. histolytica and haematogenous spread to the liver.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Rupture of a liver abscess into the pleura/lung (empyema, hepato-bronchial fistula)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Rupture into the peritoneum causing amoebic peritonitis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Pleuropulmonary amoebiasis (consolidation,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Intestinal perforation and lower-gastrointestinal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(pyogenic) infection of the abscess</w:t>
            </w:r>
          </w:p>
        </w:tc>
        <w:tc>
          <w:tcPr>
            <w:tcW w:type="dxa" w:w="2980"/>
            <w:vAlign w:val="top"/>
          </w:tcPr>
          <w:p>
            <w:pPr>
              <w:spacing w:after="40" w:before="0" w:line="259" w:lineRule="auto"/>
            </w:pPr>
            <w:r>
              <w:rPr>
                <w:rFonts w:ascii="Calibri" w:hAnsi="Calibri"/>
                <w:b w:val="0"/>
                <w:i w:val="0"/>
                <w:color w:val="212121"/>
                <w:sz w:val="19"/>
              </w:rPr>
              <w:t>Arise from extension or rupture of the primary lesions into adjacent cavities and from bowel-wall breakdown.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Rupture into the pericardium with cardiac tamponade (highest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Cerebral amoebic abscess and disseminated amoebiasis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Post-dysenteric colitis, colonic stricture or irritable bowel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Sepsis, multi-organ failure and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disability and malnutrition after severe disease</w:t>
            </w:r>
          </w:p>
        </w:tc>
        <w:tc>
          <w:tcPr>
            <w:tcW w:type="dxa" w:w="2980"/>
            <w:vAlign w:val="top"/>
          </w:tcPr>
          <w:p>
            <w:pPr>
              <w:spacing w:after="40" w:before="0" w:line="259" w:lineRule="auto"/>
            </w:pPr>
            <w:r>
              <w:rPr>
                <w:rFonts w:ascii="Calibri" w:hAnsi="Calibri"/>
                <w:b w:val="0"/>
                <w:i w:val="0"/>
                <w:color w:val="212121"/>
                <w:sz w:val="19"/>
              </w:rPr>
              <w:t>Rare but frequently fatal or disabling outcomes of untreated or complicated invasive amoebiasis.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Alcohol use / alcohol-related liver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strongest lifestyle association of amoebic liver abscess; impairs Kupffer-cell defence and favours abscess formation.</w:t>
            </w:r>
          </w:p>
          <w:p>
            <w:pPr>
              <w:spacing w:after="40" w:before="0" w:line="259" w:lineRule="auto"/>
            </w:pPr>
            <w:r>
              <w:rPr>
                <w:rFonts w:ascii="Calibri" w:hAnsi="Calibri"/>
                <w:b/>
                <w:i w:val="0"/>
                <w:color w:val="212121"/>
                <w:sz w:val="19"/>
              </w:rPr>
              <w:t>~63% of ALA</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Impaired phagocyte function predisposes to larger abscesses, pyogenic co-infection and worse outcomes.</w:t>
            </w:r>
          </w:p>
          <w:p>
            <w:pPr>
              <w:spacing w:after="40" w:before="0" w:line="259" w:lineRule="auto"/>
            </w:pPr>
            <w:r>
              <w:rPr>
                <w:rFonts w:ascii="Calibri" w:hAnsi="Calibri"/>
                <w:b/>
                <w:i w:val="0"/>
                <w:color w:val="212121"/>
                <w:sz w:val="19"/>
              </w:rPr>
              <w:t>~35% of ALA</w:t>
            </w:r>
          </w:p>
        </w:tc>
      </w:tr>
      <w:tr>
        <w:trPr>
          <w:cantSplit/>
        </w:trPr>
        <w:tc>
          <w:tcPr>
            <w:tcW w:type="dxa" w:w="2232"/>
            <w:vAlign w:val="top"/>
          </w:tcPr>
          <w:p>
            <w:pPr>
              <w:spacing w:after="40" w:before="0" w:line="259" w:lineRule="auto"/>
            </w:pPr>
            <w:r>
              <w:rPr>
                <w:rFonts w:ascii="Calibri" w:hAnsi="Calibri"/>
                <w:b/>
                <w:i w:val="0"/>
                <w:color w:val="212121"/>
                <w:sz w:val="19"/>
              </w:rPr>
              <w:t>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Very common at presentation from chronic infection and undernutrition.</w:t>
            </w:r>
          </w:p>
          <w:p>
            <w:pPr>
              <w:spacing w:after="40" w:before="0" w:line="259" w:lineRule="auto"/>
            </w:pPr>
            <w:r>
              <w:rPr>
                <w:rFonts w:ascii="Calibri" w:hAnsi="Calibri"/>
                <w:b/>
                <w:i w:val="0"/>
                <w:color w:val="212121"/>
                <w:sz w:val="19"/>
              </w:rPr>
              <w:t>~69% of ALA</w:t>
            </w:r>
          </w:p>
        </w:tc>
      </w:tr>
      <w:tr>
        <w:trPr>
          <w:cantSplit/>
        </w:trPr>
        <w:tc>
          <w:tcPr>
            <w:tcW w:type="dxa" w:w="2232"/>
            <w:vAlign w:val="top"/>
          </w:tcPr>
          <w:p>
            <w:pPr>
              <w:spacing w:after="40" w:before="0" w:line="259" w:lineRule="auto"/>
            </w:pPr>
            <w:r>
              <w:rPr>
                <w:rFonts w:ascii="Calibri" w:hAnsi="Calibri"/>
                <w:b/>
                <w:i w:val="0"/>
                <w:color w:val="212121"/>
                <w:sz w:val="19"/>
              </w:rPr>
              <w:t>Poor socioeconomic status / malnutrition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Clusters with unsafe water and sanitation, driving exposure and weakening host defence.</w:t>
            </w:r>
          </w:p>
          <w:p>
            <w:pPr>
              <w:spacing w:after="40" w:before="0" w:line="259" w:lineRule="auto"/>
            </w:pPr>
            <w:r>
              <w:rPr>
                <w:rFonts w:ascii="Calibri" w:hAnsi="Calibri"/>
                <w:b/>
                <w:i w:val="0"/>
                <w:color w:val="212121"/>
                <w:sz w:val="19"/>
              </w:rPr>
              <w:t>~75% of ALA</w:t>
            </w:r>
          </w:p>
        </w:tc>
      </w:tr>
      <w:tr>
        <w:trPr>
          <w:cantSplit/>
        </w:trPr>
        <w:tc>
          <w:tcPr>
            <w:tcW w:type="dxa" w:w="2232"/>
            <w:vAlign w:val="top"/>
          </w:tcPr>
          <w:p>
            <w:pPr>
              <w:spacing w:after="40" w:before="0" w:line="259" w:lineRule="auto"/>
            </w:pPr>
            <w:r>
              <w:rPr>
                <w:rFonts w:ascii="Calibri" w:hAnsi="Calibri"/>
                <w:b/>
                <w:i w:val="0"/>
                <w:color w:val="212121"/>
                <w:sz w:val="19"/>
              </w:rPr>
              <w:t>HIV infection / immunosuppression</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Increases carriage and invasive disease; steroids can precipitate fulminant colitis.</w:t>
            </w:r>
          </w:p>
          <w:p>
            <w:pPr>
              <w:spacing w:after="40" w:before="0" w:line="259" w:lineRule="auto"/>
            </w:pPr>
            <w:r>
              <w:rPr>
                <w:rFonts w:ascii="Calibri" w:hAnsi="Calibri"/>
                <w:b/>
                <w:i w:val="0"/>
                <w:color w:val="212121"/>
                <w:sz w:val="19"/>
              </w:rPr>
              <w:t>~1-17.5% in HIV cohorts</w:t>
            </w:r>
          </w:p>
        </w:tc>
      </w:tr>
      <w:tr>
        <w:trPr>
          <w:cantSplit/>
        </w:trPr>
        <w:tc>
          <w:tcPr>
            <w:tcW w:type="dxa" w:w="2232"/>
            <w:vAlign w:val="top"/>
          </w:tcPr>
          <w:p>
            <w:pPr>
              <w:spacing w:after="40" w:before="0" w:line="259" w:lineRule="auto"/>
            </w:pPr>
            <w:r>
              <w:rPr>
                <w:rFonts w:ascii="Calibri" w:hAnsi="Calibri"/>
                <w:b/>
                <w:i w:val="0"/>
                <w:color w:val="212121"/>
                <w:sz w:val="19"/>
              </w:rPr>
              <w:t>Secondary bacterial (pyogenic) co-infection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Complicates a proportion of liver abscesses, blurring the amoebic/pyogenic distinction and needing antibiotics plus drainage.</w:t>
            </w:r>
          </w:p>
        </w:tc>
      </w:tr>
      <w:tr>
        <w:trPr>
          <w:cantSplit/>
        </w:trPr>
        <w:tc>
          <w:tcPr>
            <w:tcW w:type="dxa" w:w="2232"/>
            <w:vAlign w:val="top"/>
          </w:tcPr>
          <w:p>
            <w:pPr>
              <w:spacing w:after="40" w:before="0" w:line="259" w:lineRule="auto"/>
            </w:pPr>
            <w:r>
              <w:rPr>
                <w:rFonts w:ascii="Calibri" w:hAnsi="Calibri"/>
                <w:b/>
                <w:i w:val="0"/>
                <w:color w:val="212121"/>
                <w:sz w:val="19"/>
              </w:rPr>
              <w:t>Pleuropulmonary involvement</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Right basal effusion, consolidation or empyema from diaphragmatic irritation or rupture of an upper right-lobe abscess.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amoebiasis spreads faecal-orally through water and food contaminated with human faeces, so safe water, sanitation and hand hygiene are the core defences.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only boiled, filtered or chlorinated water and avoid ice, raw salads and street food washed in unsafe water, especially in endemic regions.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thoroughly with soap after defecation and before preparing or eating food; ensure food-handlers do the same.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symptoms - persistent bloody-mucoid diarrhoea, or high fever with right upper-quadrant pain - and seek prompt medical care and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of treatment, including a luminal (cyst-clearing) agent after the tissue drug, to avoid relapse and onward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and treat asymptomatic cyst passers in the household, since they are the reservoir that re-infects contacts.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in endemic / low-sanitation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Alcohol-using men (high ALA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 of a case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Food-handlers and travellers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rule 'boil it, cook it, peel it, or forget it' for all food and drink in endemic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Boil or filter drinking water; avoid untreated surface or well water, which independently raises 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raw fruit and vegetables in safe water and peel where possible; prefer freshly, thoroughly cooked food served hot.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street food and salads of uncertain hygiene, and food handled by anyone with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food-handlers are screened and treated if they are cyst passers.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to endemic regions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Consumers of street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sharing water sources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or stop alcohol, which is the strongest lifestyle risk factor for amoebic liver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alcohol-using men - the group at highest ALA risk - about combined abstinence and safe water/food practices.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during and after treatment of a liver abscess to aid hepatic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 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ALA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the prescribed tissue amoebicide (metronidazole, tinidazole or ornidazole) for the full course to treat invasive colitis or liver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follow with a luminal agent (paromomycin or diloxanide furoate) to eradicate residual colonic cysts and prevent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oral hydration and oral rehydration solution during dysentery to replace fluid and electrolyte losses.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adequate-protein, easily digestible diet during recovery to correct malnutrition and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Undergo image-guided aspiration/drainage when the abscess is large, in the left lobe, or not responding to drug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amoebic colitis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amoebic liver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 anaemic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large or complicated abscesses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acute febrile illness and while an abscess is being treated or drained.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activity gradually as fever, pain and abscess size resolve, guided by follow-up imaging.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Rebuild strength and stamina after prolonged illness with light, progressive exercise.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ALA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Post-drainage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patients after prolonged illness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rest and sleep during the acute illness to support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fever and pain so that sleep is not disrupted during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Acutely ill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which impairs general and mucosal immunity and commonly coexists with heavy alcohol use in at-risk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tobacco-cessation support alongside alcohol counselling.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Alcohol-using men at ALA risk</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support during a prolonged illness that may involve hospitalisation and repeated abscess drainage.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and low mood related to invasive infection and its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alcohol-cessation counselling with mental-health support where dependence is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complicated / prolonged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patients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007/s10123-025-00645-8" TargetMode="External"/><Relationship Id="rId10" Type="http://schemas.openxmlformats.org/officeDocument/2006/relationships/hyperlink" Target="https://www.ncbi.nlm.nih.gov/books/NBK557718/" TargetMode="External"/><Relationship Id="rId11" Type="http://schemas.openxmlformats.org/officeDocument/2006/relationships/hyperlink" Target="https://link.springer.com/article/10.1007/s11686-022-00547-z" TargetMode="External"/><Relationship Id="rId12" Type="http://schemas.openxmlformats.org/officeDocument/2006/relationships/hyperlink" Target="https://journals.plos.org/plosntds/article?id=10.1371%2Fjournal.pntd.0009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