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Typhoid / Enteric Fever</w:t>
      </w:r>
    </w:p>
    <w:p>
      <w:pPr>
        <w:spacing w:before="0" w:after="160"/>
      </w:pPr>
      <w:r>
        <w:rPr>
          <w:rFonts w:ascii="Calibri" w:hAnsi="Calibri"/>
          <w:b/>
          <w:i w:val="0"/>
          <w:color w:val="212121"/>
          <w:sz w:val="22"/>
        </w:rPr>
        <w:t xml:space="preserve">AKA </w:t>
      </w:r>
      <w:r>
        <w:rPr>
          <w:rFonts w:ascii="Calibri" w:hAnsi="Calibri"/>
          <w:b w:val="0"/>
          <w:i w:val="0"/>
          <w:color w:val="212121"/>
          <w:sz w:val="22"/>
        </w:rPr>
        <w:t>i.e., Typhoid fever, Paratyphoid fever, Enteric fever, Motijhara / Miyaadi bukhar (Hindi), Slow fever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Typhoid (enteric) fever is an acute, potentially life-threatening systemic infection caused by the human-restricted bacterium Salmonella enterica serovar Typhi; the closely related paratyphoid fever is caused by serovars Paratyphi A, B or C, and the two are together termed enteric fever. It spreads by the faecal-oral route through food or water contaminated by the faeces or urine of an infected person or a chronic carrier. After ingestion the bacteria invade the small-bowel mucosa, multiply within mononuclear phagocytes and disseminate to produce a prolonged bacteraemic illness characterised by sustained stepwise fever, abdominal symptoms and, if untreated, serious intestinal and systemic complications.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Typhoid remains a major public-health problem in India. Globally an estimated 9 million people fall ill and about 110,000 die from typhoid each year (WHO, 2019 estimates), and South Asia - India, Pakistan and Bangladesh - carries the largest share of the burden; roughly 85% of typhoid diagnosed in returning travellers to the United States is acquired in this region. Community-based surveillance in India (the Surveillance for Enteric Fever in India, SEFI) has documented a high incidence of blood-culture-confirmed enteric fever, particularly among children and young adults living in crowded urban and peri-urban settings with unsafe water and poor sanitation.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Enteric fever is suspected in any patient with prolonged fever (typically 3 or more days) after exposure in, or travel to, an endemic area, and is confirmed by isolation of the organism. Diagnosis rests on one or more of the following, ideally obtained before antibiotics are started: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 culture isolating Salmonella Typhi or Paratyphi - the diagnostic gold standard; a single sample is only ~50-66% sensitive, so adequate blood volume and, where possible, repeat/multiple cultures improve yield;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bone-marrow culture, the most sensitive test (~80-96%), which can remain positive despite prior antibiotics and is reserved for difficult or already-treated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and urine cultures, which turn positive later in the illness and are also used to detect carriers;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antimicrobial susceptibility testing on any isolate to identify multidrug-resistant (MDR), fluoroquinolone-non-susceptible and extensively drug-resistant (XDR) strains and guide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serology - the Widal test (anti-O and anti-H agglutinins, a fourfold rise or high single titre) and rapid IgM tests (Typhidot, TUBEX) - which have limited specificity in endemic India and should not be relied upon alone because of frequent false positives.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Enteric fever is classified by causative organism, clinical course/severity, drug-resistance pattern and carrier state:</w:t>
      </w:r>
    </w:p>
    <w:p>
      <w:pPr>
        <w:spacing w:before="0" w:after="80"/>
      </w:pPr>
      <w:r>
        <w:rPr>
          <w:rFonts w:ascii="Calibri" w:hAnsi="Calibri"/>
          <w:b w:val="0"/>
          <w:i w:val="0"/>
          <w:color w:val="212121"/>
          <w:sz w:val="21"/>
        </w:rPr>
        <w:t>(1) By organism - typhoid fever, caused by Salmonella enterica serovar Typhi, and paratyphoid fever, caused by serovars Paratyphi A, B or C; paratyphoid is generally milder but clinically indistinguishable at the bedside;</w:t>
      </w:r>
    </w:p>
    <w:p>
      <w:pPr>
        <w:spacing w:before="0" w:after="80"/>
      </w:pPr>
      <w:r>
        <w:rPr>
          <w:rFonts w:ascii="Calibri" w:hAnsi="Calibri"/>
          <w:b w:val="0"/>
          <w:i w:val="0"/>
          <w:color w:val="212121"/>
          <w:sz w:val="21"/>
        </w:rPr>
        <w:t>(2) By clinical course - uncomplicated enteric fever versus complicated disease, in which second-to-third week complications such as intestinal perforation, gastrointestinal haemorrhage or encephalopathy develop;</w:t>
      </w:r>
    </w:p>
    <w:p>
      <w:pPr>
        <w:spacing w:before="0" w:after="80"/>
      </w:pPr>
      <w:r>
        <w:rPr>
          <w:rFonts w:ascii="Calibri" w:hAnsi="Calibri"/>
          <w:b w:val="0"/>
          <w:i w:val="0"/>
          <w:color w:val="212121"/>
          <w:sz w:val="21"/>
        </w:rPr>
        <w:t>(3) By drug-resistance pattern - fully sensitive strains, multidrug-resistant (MDR: resistant to ampicillin, chloramphenicol and co-trimoxazole), fluoroquinolone-non-susceptible strains (now dominant across South Asia), and extensively drug-resistant (XDR: MDR plus fluoroquinolone and third-generation cephalosporin resistance) strains, with azithromycin- and ceftriaxone-resistant isolates now emerging;</w:t>
      </w:r>
    </w:p>
    <w:p>
      <w:pPr>
        <w:spacing w:before="0" w:after="80"/>
      </w:pPr>
      <w:r>
        <w:rPr>
          <w:rFonts w:ascii="Calibri" w:hAnsi="Calibri"/>
          <w:b w:val="0"/>
          <w:i w:val="0"/>
          <w:color w:val="212121"/>
          <w:sz w:val="21"/>
        </w:rPr>
        <w:t>(4) By host carriage - acute infection, transient convalescent carriage, and chronic carriage (persistent shedding of the organism, usually from the gallbladder, for 12 months or longer), which sustains person-to-person transmission.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Salmonella enterica serovars Typhi and Paratyphi A/B/C - human-restricted Gram-negative bacilli transmitted by the faecal-oral route, with no significant animal reservoir.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Contaminated water and food: consumption of water or food contaminated with human faeces (including via infected food-handlers) is the principal driver of transmission in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sanitation and open defecation: inadequate sewage disposal and lack of safely-managed sanitation allow faecal contamination of the water supply and environment.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carriers: 1-4% of cases become long-term gallbladder carriers who intermittently shed the organism and act as a persistent human reservoir, especially when working as food-handlers.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Reduced gastric acidity: antacids, proton-pump inhibitors, H2-blockers or achlorhydria lower the infectious dose needed to establish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Overcrowding, urbanisation and monsoon flooding: dense peri-urban slums and seasonal contamination of water sources amplify transmission.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susceptibility: young age, malnutrition and immunosuppression (e.g., HIV) increase the risk and severity of invasive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(5-15 years)</w:t>
            </w:r>
          </w:p>
        </w:tc>
        <w:tc>
          <w:tcPr>
            <w:tcW w:type="dxa" w:w="4276"/>
            <w:vAlign w:val="top"/>
          </w:tcPr>
          <w:p>
            <w:pPr>
              <w:spacing w:after="60" w:line="259" w:lineRule="auto"/>
            </w:pPr>
            <w:r>
              <w:rPr>
                <w:rFonts w:ascii="Calibri" w:hAnsi="Calibri"/>
                <w:b w:val="0"/>
                <w:i w:val="0"/>
                <w:color w:val="212121"/>
                <w:sz w:val="19"/>
              </w:rPr>
              <w:t>Highest incidence group in endemic India: waning maternal immunity, greater environmental and street-food exposure, and immature acquired immunity converge, so community surveillance repeatedly finds the peak burden of blood-culture-confirmed enteric fever in this age band.</w:t>
            </w:r>
          </w:p>
          <w:p>
            <w:pPr>
              <w:spacing w:after="40" w:before="60" w:line="259" w:lineRule="auto"/>
            </w:pPr>
            <w:r>
              <w:rPr>
                <w:rFonts w:ascii="Calibri" w:hAnsi="Calibri"/>
                <w:b w:val="0"/>
                <w:i w:val="0"/>
                <w:color w:val="212121"/>
                <w:sz w:val="19"/>
              </w:rPr>
              <w:t>WHO identifies children as being at highest risk of typhoid, and community surveillance in India (SEFI) documents a high incidence of enteric fever in children and young adults.</w:t>
            </w:r>
          </w:p>
          <w:p>
            <w:pPr>
              <w:spacing w:after="40" w:line="252" w:lineRule="auto"/>
            </w:pPr>
            <w:hyperlink r:id="rId9">
              <w:r>
                <w:rPr>
                  <w:rFonts w:ascii="Calibri" w:hAnsi="Calibri" w:cs="Calibri"/>
                  <w:sz w:val="18"/>
                  <w:color w:val="1155CC"/>
                  <w:u w:val="single"/>
                </w:rPr>
                <w:t xml:space="preserve">who.int - typhoid fact sheet</w:t>
              </w:r>
            </w:hyperlink>
          </w:p>
          <w:p>
            <w:pPr>
              <w:spacing w:before="60" w:after="40"/>
            </w:pPr>
            <w:r>
              <w:rPr>
                <w:rFonts w:ascii="Calibri" w:hAnsi="Calibri"/>
                <w:b w:val="0"/>
                <w:i w:val="0"/>
                <w:color w:val="5A5A5A"/>
                <w:sz w:val="18"/>
              </w:rPr>
              <w:t>#children  #schoolage  #endemic  #SEFI  #waterborne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(young adults)</w:t>
            </w:r>
          </w:p>
        </w:tc>
        <w:tc>
          <w:tcPr>
            <w:tcW w:type="dxa" w:w="4276"/>
            <w:vAlign w:val="top"/>
          </w:tcPr>
          <w:p>
            <w:pPr>
              <w:spacing w:after="60" w:line="259" w:lineRule="auto"/>
            </w:pPr>
            <w:r>
              <w:rPr>
                <w:rFonts w:ascii="Calibri" w:hAnsi="Calibri"/>
                <w:b w:val="0"/>
                <w:i w:val="0"/>
                <w:color w:val="212121"/>
                <w:sz w:val="19"/>
              </w:rPr>
              <w:t>Young adults remain a substantial share of cases through workplace and street-food exposure and travel; disease is usually classic but can still progress to perforation and haemorrhage if treatment is delayed.</w:t>
            </w:r>
          </w:p>
          <w:p>
            <w:pPr>
              <w:spacing w:after="40" w:before="60" w:line="259" w:lineRule="auto"/>
            </w:pPr>
            <w:r>
              <w:rPr>
                <w:rFonts w:ascii="Calibri" w:hAnsi="Calibri"/>
                <w:b w:val="0"/>
                <w:i w:val="0"/>
                <w:color w:val="212121"/>
                <w:sz w:val="19"/>
              </w:rPr>
              <w:t>Community surveillance in India (SEFI) documented substantial enteric-fever incidence extending into adolescents and young adults.</w:t>
            </w:r>
          </w:p>
          <w:p>
            <w:pPr>
              <w:spacing w:after="40" w:line="252" w:lineRule="auto"/>
            </w:pPr>
            <w:hyperlink r:id="rId10">
              <w:r>
                <w:rPr>
                  <w:rFonts w:ascii="Calibri" w:hAnsi="Calibri" w:cs="Calibri"/>
                  <w:sz w:val="18"/>
                  <w:color w:val="1155CC"/>
                  <w:u w:val="single"/>
                </w:rPr>
                <w:t xml:space="preserve">pubmed - SEFI pediatric cohort, North India</w:t>
              </w:r>
            </w:hyperlink>
          </w:p>
          <w:p>
            <w:pPr>
              <w:spacing w:before="60" w:after="40"/>
            </w:pPr>
            <w:r>
              <w:rPr>
                <w:rFonts w:ascii="Calibri" w:hAnsi="Calibri"/>
                <w:b w:val="0"/>
                <w:i w:val="0"/>
                <w:color w:val="5A5A5A"/>
                <w:sz w:val="18"/>
              </w:rPr>
              <w:t>#youngadults  #streetfood  #occupational  #travel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Incidence is lower in the elderly but complications, atypical presentation and mortality are higher; blunted febrile response and comorbidity (gallstones, immunosenescence, PPI use) raise the risk of severe disease and chronic carriage.</w:t>
            </w:r>
          </w:p>
          <w:p>
            <w:pPr>
              <w:spacing w:after="40" w:before="60" w:line="259" w:lineRule="auto"/>
            </w:pPr>
            <w:r>
              <w:rPr>
                <w:rFonts w:ascii="Calibri" w:hAnsi="Calibri"/>
                <w:b w:val="0"/>
                <w:i w:val="0"/>
                <w:color w:val="212121"/>
                <w:sz w:val="19"/>
              </w:rPr>
              <w:t>Case-fatality falls below 1% with early appropriate treatment but reaches 10-30% in untreated disease, and is highest at the extremes of age and with delayed care.</w:t>
            </w:r>
          </w:p>
          <w:p>
            <w:pPr>
              <w:spacing w:after="40" w:line="252" w:lineRule="auto"/>
            </w:pPr>
            <w:hyperlink r:id="rId11">
              <w:r>
                <w:rPr>
                  <w:rFonts w:ascii="Calibri" w:hAnsi="Calibri" w:cs="Calibri"/>
                  <w:sz w:val="18"/>
                  <w:color w:val="1155CC"/>
                  <w:u w:val="single"/>
                </w:rPr>
                <w:t xml:space="preserve">cdc.gov - Yellow Book 2024, typhoid &amp; paratyphoid</w:t>
              </w:r>
            </w:hyperlink>
          </w:p>
          <w:p>
            <w:pPr>
              <w:spacing w:before="60" w:after="40"/>
            </w:pPr>
            <w:r>
              <w:rPr>
                <w:rFonts w:ascii="Calibri" w:hAnsi="Calibri"/>
                <w:b w:val="0"/>
                <w:i w:val="0"/>
                <w:color w:val="5A5A5A"/>
                <w:sz w:val="18"/>
              </w:rPr>
              <w:t>#elderly  #atypical  #comorbidity  #mortality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Hospital- and clinic-based series in India often report a male predominance among reported cases, attributed largely to greater out-of-home eating, occupational exposure and healthcare-seeking differences rather than a true biological difference in susceptibility.</w:t>
            </w:r>
          </w:p>
          <w:p>
            <w:pPr>
              <w:spacing w:after="40" w:before="60" w:line="259" w:lineRule="auto"/>
            </w:pPr>
            <w:r>
              <w:rPr>
                <w:rFonts w:ascii="Calibri" w:hAnsi="Calibri"/>
                <w:b w:val="0"/>
                <w:i w:val="0"/>
                <w:color w:val="212121"/>
                <w:sz w:val="19"/>
              </w:rPr>
              <w:t>Reported and hospitalised enteric-fever series in South Asia frequently show a male preponderance; the difference is largely behavioural/exposure-related.</w:t>
            </w:r>
          </w:p>
          <w:p>
            <w:pPr>
              <w:spacing w:before="60" w:after="40"/>
            </w:pPr>
            <w:r>
              <w:rPr>
                <w:rFonts w:ascii="Calibri" w:hAnsi="Calibri"/>
                <w:b w:val="0"/>
                <w:i w:val="0"/>
                <w:color w:val="5A5A5A"/>
                <w:sz w:val="18"/>
              </w:rPr>
              <w:t>#male  #exposure  #streetfood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urban-slum residents</w:t>
            </w:r>
          </w:p>
        </w:tc>
        <w:tc>
          <w:tcPr>
            <w:tcW w:type="dxa" w:w="4276"/>
            <w:vAlign w:val="top"/>
          </w:tcPr>
          <w:p>
            <w:pPr>
              <w:spacing w:after="60" w:line="259" w:lineRule="auto"/>
            </w:pPr>
            <w:r>
              <w:rPr>
                <w:rFonts w:ascii="Calibri" w:hAnsi="Calibri"/>
                <w:b w:val="0"/>
                <w:i w:val="0"/>
                <w:color w:val="212121"/>
                <w:sz w:val="19"/>
              </w:rPr>
              <w:t>Poverty clusters the key risk factors - unsafe water, shared or absent sanitation, overcrowding and reliance on cheap street food - so incidence is concentrated in low-income urban and peri-urban populations.</w:t>
            </w:r>
          </w:p>
          <w:p>
            <w:pPr>
              <w:spacing w:after="40" w:before="60" w:line="259" w:lineRule="auto"/>
            </w:pPr>
            <w:r>
              <w:rPr>
                <w:rFonts w:ascii="Calibri" w:hAnsi="Calibri"/>
                <w:b w:val="0"/>
                <w:i w:val="0"/>
                <w:color w:val="212121"/>
                <w:sz w:val="19"/>
              </w:rPr>
              <w:t>WHO links typhoid predominantly to poor sanitation and lack of clean drinking water, conditions concentrated in low-income settlements.</w:t>
            </w:r>
          </w:p>
          <w:p>
            <w:pPr>
              <w:spacing w:after="40" w:line="252" w:lineRule="auto"/>
            </w:pPr>
            <w:hyperlink r:id="rId9">
              <w:r>
                <w:rPr>
                  <w:rFonts w:ascii="Calibri" w:hAnsi="Calibri" w:cs="Calibri"/>
                  <w:sz w:val="18"/>
                  <w:color w:val="1155CC"/>
                  <w:u w:val="single"/>
                </w:rPr>
                <w:t xml:space="preserve">who.int - typhoid fact sheet</w:t>
              </w:r>
            </w:hyperlink>
          </w:p>
          <w:p>
            <w:pPr>
              <w:spacing w:before="60" w:after="40"/>
            </w:pPr>
            <w:r>
              <w:rPr>
                <w:rFonts w:ascii="Calibri" w:hAnsi="Calibri"/>
                <w:b w:val="0"/>
                <w:i w:val="0"/>
                <w:color w:val="5A5A5A"/>
                <w:sz w:val="18"/>
              </w:rPr>
              <w:t>#poverty  #slums  #sanitation  #overcrowding  #unsafewater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South Asian / Indian population</w:t>
            </w:r>
          </w:p>
        </w:tc>
        <w:tc>
          <w:tcPr>
            <w:tcW w:type="dxa" w:w="4276"/>
            <w:vAlign w:val="top"/>
          </w:tcPr>
          <w:p>
            <w:pPr>
              <w:spacing w:after="60" w:line="259" w:lineRule="auto"/>
            </w:pPr>
            <w:r>
              <w:rPr>
                <w:rFonts w:ascii="Calibri" w:hAnsi="Calibri"/>
                <w:b w:val="0"/>
                <w:i w:val="0"/>
                <w:color w:val="212121"/>
                <w:sz w:val="19"/>
              </w:rPr>
              <w:t>India, together with Pakistan and Bangladesh, forms the global epicentre of enteric fever because of dense populations, contaminated water sources and gaps in sanitation; the region also drives the emergence of drug-resistant strains.</w:t>
            </w:r>
          </w:p>
          <w:p>
            <w:pPr>
              <w:spacing w:after="40" w:before="60" w:line="259" w:lineRule="auto"/>
            </w:pPr>
            <w:r>
              <w:rPr>
                <w:rFonts w:ascii="Calibri" w:hAnsi="Calibri"/>
                <w:b w:val="0"/>
                <w:i w:val="0"/>
                <w:color w:val="212121"/>
                <w:sz w:val="19"/>
              </w:rPr>
              <w:t>About 85% of typhoid and 92% of paratyphoid cases diagnosed in the US occur in travellers, most returning from South Asia - primarily Bangladesh, India and Pakistan.</w:t>
            </w:r>
          </w:p>
          <w:p>
            <w:pPr>
              <w:spacing w:after="40" w:line="252" w:lineRule="auto"/>
            </w:pPr>
            <w:hyperlink r:id="rId12">
              <w:r>
                <w:rPr>
                  <w:rFonts w:ascii="Calibri" w:hAnsi="Calibri" w:cs="Calibri"/>
                  <w:sz w:val="18"/>
                  <w:color w:val="1155CC"/>
                  <w:u w:val="single"/>
                </w:rPr>
                <w:t xml:space="preserve">cdc.gov - about typhoid fever</w:t>
              </w:r>
            </w:hyperlink>
          </w:p>
          <w:p>
            <w:pPr>
              <w:spacing w:before="60" w:after="40"/>
            </w:pPr>
            <w:r>
              <w:rPr>
                <w:rFonts w:ascii="Calibri" w:hAnsi="Calibri"/>
                <w:b w:val="0"/>
                <w:i w:val="0"/>
                <w:color w:val="5A5A5A"/>
                <w:sz w:val="18"/>
              </w:rPr>
              <w:t>#SouthAsia  #India  #endemic  #hotspot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Settlement type</w:t>
            </w:r>
          </w:p>
        </w:tc>
        <w:tc>
          <w:tcPr>
            <w:tcW w:type="dxa" w:w="2160"/>
            <w:vAlign w:val="top"/>
          </w:tcPr>
          <w:p>
            <w:pPr>
              <w:spacing w:after="40" w:before="0" w:line="259" w:lineRule="auto"/>
            </w:pPr>
            <w:r>
              <w:rPr>
                <w:rFonts w:ascii="Calibri" w:hAnsi="Calibri"/>
                <w:b w:val="0"/>
                <w:i w:val="0"/>
                <w:color w:val="212121"/>
                <w:sz w:val="19"/>
              </w:rPr>
              <w:t>Peri-urban slums &amp; overcrowded settlements</w:t>
            </w:r>
          </w:p>
        </w:tc>
        <w:tc>
          <w:tcPr>
            <w:tcW w:type="dxa" w:w="4276"/>
            <w:vAlign w:val="top"/>
          </w:tcPr>
          <w:p>
            <w:pPr>
              <w:spacing w:after="60" w:line="259" w:lineRule="auto"/>
            </w:pPr>
            <w:r>
              <w:rPr>
                <w:rFonts w:ascii="Calibri" w:hAnsi="Calibri"/>
                <w:b w:val="0"/>
                <w:i w:val="0"/>
                <w:color w:val="212121"/>
                <w:sz w:val="19"/>
              </w:rPr>
              <w:t>Rapid, unplanned urbanisation creates dense settlements where contaminated piped or hand-pump water, shared latrines and poor drainage sustain year-round transmission.</w:t>
            </w:r>
          </w:p>
          <w:p>
            <w:pPr>
              <w:spacing w:after="40" w:before="60" w:line="259" w:lineRule="auto"/>
            </w:pPr>
            <w:r>
              <w:rPr>
                <w:rFonts w:ascii="Calibri" w:hAnsi="Calibri"/>
                <w:b w:val="0"/>
                <w:i w:val="0"/>
                <w:color w:val="212121"/>
                <w:sz w:val="19"/>
              </w:rPr>
              <w:t>Community surveillance across Indian urban sites (SEFI) found high enteric-fever incidence in crowded urban and peri-urban settings.</w:t>
            </w:r>
          </w:p>
          <w:p>
            <w:pPr>
              <w:spacing w:after="40" w:line="252" w:lineRule="auto"/>
            </w:pPr>
            <w:hyperlink r:id="rId10">
              <w:r>
                <w:rPr>
                  <w:rFonts w:ascii="Calibri" w:hAnsi="Calibri" w:cs="Calibri"/>
                  <w:sz w:val="18"/>
                  <w:color w:val="1155CC"/>
                  <w:u w:val="single"/>
                </w:rPr>
                <w:t xml:space="preserve">pubmed - SEFI cohort, North India</w:t>
              </w:r>
            </w:hyperlink>
          </w:p>
          <w:p>
            <w:pPr>
              <w:spacing w:before="60" w:after="40"/>
            </w:pPr>
            <w:r>
              <w:rPr>
                <w:rFonts w:ascii="Calibri" w:hAnsi="Calibri"/>
                <w:b w:val="0"/>
                <w:i w:val="0"/>
                <w:color w:val="5A5A5A"/>
                <w:sz w:val="18"/>
              </w:rPr>
              <w:t>#urbanization  #slums  #crowding  #pipedwater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Monsoon &amp; flood-prone areas</w:t>
            </w:r>
          </w:p>
        </w:tc>
        <w:tc>
          <w:tcPr>
            <w:tcW w:type="dxa" w:w="4276"/>
            <w:vAlign w:val="top"/>
          </w:tcPr>
          <w:p>
            <w:pPr>
              <w:spacing w:after="60" w:line="259" w:lineRule="auto"/>
            </w:pPr>
            <w:r>
              <w:rPr>
                <w:rFonts w:ascii="Calibri" w:hAnsi="Calibri"/>
                <w:b w:val="0"/>
                <w:i w:val="0"/>
                <w:color w:val="212121"/>
                <w:sz w:val="19"/>
              </w:rPr>
              <w:t>Heavy monsoon rains and flooding contaminate drinking-water sources with sewage, producing seasonal peaks of enteric fever in many parts of India.</w:t>
            </w:r>
          </w:p>
          <w:p>
            <w:pPr>
              <w:spacing w:after="40" w:before="60" w:line="259" w:lineRule="auto"/>
            </w:pPr>
            <w:r>
              <w:rPr>
                <w:rFonts w:ascii="Calibri" w:hAnsi="Calibri"/>
                <w:b w:val="0"/>
                <w:i w:val="0"/>
                <w:color w:val="212121"/>
                <w:sz w:val="19"/>
              </w:rPr>
              <w:t>Typhoid transmission is closely tied to faecal contamination of water, which rises during monsoon flooding.</w:t>
            </w:r>
          </w:p>
          <w:p>
            <w:pPr>
              <w:spacing w:after="40" w:line="252" w:lineRule="auto"/>
            </w:pPr>
            <w:hyperlink r:id="rId9">
              <w:r>
                <w:rPr>
                  <w:rFonts w:ascii="Calibri" w:hAnsi="Calibri" w:cs="Calibri"/>
                  <w:sz w:val="18"/>
                  <w:color w:val="1155CC"/>
                  <w:u w:val="single"/>
                </w:rPr>
                <w:t xml:space="preserve">who.int - typhoid fact sheet</w:t>
              </w:r>
            </w:hyperlink>
          </w:p>
          <w:p>
            <w:pPr>
              <w:spacing w:before="60" w:after="40"/>
            </w:pPr>
            <w:r>
              <w:rPr>
                <w:rFonts w:ascii="Calibri" w:hAnsi="Calibri"/>
                <w:b w:val="0"/>
                <w:i w:val="0"/>
                <w:color w:val="5A5A5A"/>
                <w:sz w:val="18"/>
              </w:rPr>
              <w:t>#monsoon  #flooding  #seasonal  #watercontamination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 &amp; hygiene</w:t>
            </w:r>
          </w:p>
        </w:tc>
        <w:tc>
          <w:tcPr>
            <w:tcW w:type="dxa" w:w="2160"/>
            <w:vAlign w:val="top"/>
          </w:tcPr>
          <w:p>
            <w:pPr>
              <w:spacing w:after="40" w:before="0" w:line="259" w:lineRule="auto"/>
            </w:pPr>
            <w:r>
              <w:rPr>
                <w:rFonts w:ascii="Calibri" w:hAnsi="Calibri"/>
                <w:b w:val="0"/>
                <w:i w:val="0"/>
                <w:color w:val="212121"/>
                <w:sz w:val="19"/>
              </w:rPr>
              <w:t>Open defecation / poor hand hygiene</w:t>
            </w:r>
          </w:p>
        </w:tc>
        <w:tc>
          <w:tcPr>
            <w:tcW w:type="dxa" w:w="4276"/>
            <w:vAlign w:val="top"/>
          </w:tcPr>
          <w:p>
            <w:pPr>
              <w:spacing w:after="60" w:line="259" w:lineRule="auto"/>
            </w:pPr>
            <w:r>
              <w:rPr>
                <w:rFonts w:ascii="Calibri" w:hAnsi="Calibri"/>
                <w:b w:val="0"/>
                <w:i w:val="0"/>
                <w:color w:val="212121"/>
                <w:sz w:val="19"/>
              </w:rPr>
              <w:t>Absent safe sanitation and infrequent handwashing with soap after defecation and before handling food keep the faecal-oral cycle open, the core mechanism of transmission.</w:t>
            </w:r>
          </w:p>
          <w:p>
            <w:pPr>
              <w:spacing w:after="40" w:before="60" w:line="259" w:lineRule="auto"/>
            </w:pPr>
            <w:r>
              <w:rPr>
                <w:rFonts w:ascii="Calibri" w:hAnsi="Calibri"/>
                <w:b w:val="0"/>
                <w:i w:val="0"/>
                <w:color w:val="212121"/>
                <w:sz w:val="19"/>
              </w:rPr>
              <w:t>Typhoid persists predominantly where sanitation is poor and clean drinking water is lacking (WHO).</w:t>
            </w:r>
          </w:p>
          <w:p>
            <w:pPr>
              <w:spacing w:after="40" w:line="252" w:lineRule="auto"/>
            </w:pPr>
            <w:hyperlink r:id="rId9">
              <w:r>
                <w:rPr>
                  <w:rFonts w:ascii="Calibri" w:hAnsi="Calibri" w:cs="Calibri"/>
                  <w:sz w:val="18"/>
                  <w:color w:val="1155CC"/>
                  <w:u w:val="single"/>
                </w:rPr>
                <w:t xml:space="preserve">who.int - typhoid fact sheet</w:t>
              </w:r>
            </w:hyperlink>
          </w:p>
          <w:p>
            <w:pPr>
              <w:spacing w:before="60" w:after="40"/>
            </w:pPr>
            <w:r>
              <w:rPr>
                <w:rFonts w:ascii="Calibri" w:hAnsi="Calibri"/>
                <w:b w:val="0"/>
                <w:i w:val="0"/>
                <w:color w:val="5A5A5A"/>
                <w:sz w:val="18"/>
              </w:rPr>
              <w:t>#opendefecation  #handwashing  #WASH  #faecaloral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source</w:t>
            </w:r>
          </w:p>
        </w:tc>
        <w:tc>
          <w:tcPr>
            <w:tcW w:type="dxa" w:w="2160"/>
            <w:vAlign w:val="top"/>
          </w:tcPr>
          <w:p>
            <w:pPr>
              <w:spacing w:after="40" w:before="0" w:line="259" w:lineRule="auto"/>
            </w:pPr>
            <w:r>
              <w:rPr>
                <w:rFonts w:ascii="Calibri" w:hAnsi="Calibri"/>
                <w:b w:val="0"/>
                <w:i w:val="0"/>
                <w:color w:val="212121"/>
                <w:sz w:val="19"/>
              </w:rPr>
              <w:t>Users of untreated / unsafe drinking water</w:t>
            </w:r>
          </w:p>
        </w:tc>
        <w:tc>
          <w:tcPr>
            <w:tcW w:type="dxa" w:w="4276"/>
            <w:vAlign w:val="top"/>
          </w:tcPr>
          <w:p>
            <w:pPr>
              <w:spacing w:after="60" w:line="259" w:lineRule="auto"/>
            </w:pPr>
            <w:r>
              <w:rPr>
                <w:rFonts w:ascii="Calibri" w:hAnsi="Calibri"/>
                <w:b w:val="0"/>
                <w:i w:val="0"/>
                <w:color w:val="212121"/>
                <w:sz w:val="19"/>
              </w:rPr>
              <w:t>Drinking untreated surface, well or intermittently-supplied piped water - and ice made from it - is a direct vehicle for Salmonella Typhi.</w:t>
            </w:r>
          </w:p>
          <w:p>
            <w:pPr>
              <w:spacing w:after="40" w:before="60" w:line="259" w:lineRule="auto"/>
            </w:pPr>
            <w:r>
              <w:rPr>
                <w:rFonts w:ascii="Calibri" w:hAnsi="Calibri"/>
                <w:b w:val="0"/>
                <w:i w:val="0"/>
                <w:color w:val="212121"/>
                <w:sz w:val="19"/>
              </w:rPr>
              <w:t>Contaminated water is a principal route of typhoid transmission; adequate treatment/chlorination inactivates the organism.</w:t>
            </w:r>
          </w:p>
          <w:p>
            <w:pPr>
              <w:spacing w:after="40" w:line="252" w:lineRule="auto"/>
            </w:pPr>
            <w:hyperlink r:id="rId12">
              <w:r>
                <w:rPr>
                  <w:rFonts w:ascii="Calibri" w:hAnsi="Calibri" w:cs="Calibri"/>
                  <w:sz w:val="18"/>
                  <w:color w:val="1155CC"/>
                  <w:u w:val="single"/>
                </w:rPr>
                <w:t xml:space="preserve">cdc.gov - about typhoid fever</w:t>
              </w:r>
            </w:hyperlink>
          </w:p>
          <w:p>
            <w:pPr>
              <w:spacing w:before="60" w:after="40"/>
            </w:pPr>
            <w:r>
              <w:rPr>
                <w:rFonts w:ascii="Calibri" w:hAnsi="Calibri"/>
                <w:b w:val="0"/>
                <w:i w:val="0"/>
                <w:color w:val="5A5A5A"/>
                <w:sz w:val="18"/>
              </w:rPr>
              <w:t>#unsafewater  #untreatedwater  #ice  #chlorination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Food-handlers who are chronic carriers</w:t>
            </w:r>
          </w:p>
        </w:tc>
        <w:tc>
          <w:tcPr>
            <w:tcW w:type="dxa" w:w="4276"/>
            <w:vAlign w:val="top"/>
          </w:tcPr>
          <w:p>
            <w:pPr>
              <w:spacing w:after="60" w:line="259" w:lineRule="auto"/>
            </w:pPr>
            <w:r>
              <w:rPr>
                <w:rFonts w:ascii="Calibri" w:hAnsi="Calibri"/>
                <w:b w:val="0"/>
                <w:i w:val="0"/>
                <w:color w:val="212121"/>
                <w:sz w:val="19"/>
              </w:rPr>
              <w:t>An unrecognised chronic carrier working with food can seed large outbreaks; the gallbladder reservoir sheds the organism intermittently into food prepared without adequate hand hygiene.</w:t>
            </w:r>
          </w:p>
          <w:p>
            <w:pPr>
              <w:spacing w:after="40" w:before="60" w:line="259" w:lineRule="auto"/>
            </w:pPr>
            <w:r>
              <w:rPr>
                <w:rFonts w:ascii="Calibri" w:hAnsi="Calibri"/>
                <w:b w:val="0"/>
                <w:i w:val="0"/>
                <w:color w:val="212121"/>
                <w:sz w:val="19"/>
              </w:rPr>
              <w:t>1-4% of people with typhoid become chronic carriers, shedding Salmonella Typhi for more than a year.</w:t>
            </w:r>
          </w:p>
          <w:p>
            <w:pPr>
              <w:spacing w:after="40" w:line="252" w:lineRule="auto"/>
            </w:pPr>
            <w:hyperlink r:id="rId13">
              <w:r>
                <w:rPr>
                  <w:rFonts w:ascii="Calibri" w:hAnsi="Calibri" w:cs="Calibri"/>
                  <w:sz w:val="18"/>
                  <w:color w:val="1155CC"/>
                  <w:u w:val="single"/>
                </w:rPr>
                <w:t xml:space="preserve">cdc.gov - typhoid clinical guidance</w:t>
              </w:r>
            </w:hyperlink>
          </w:p>
          <w:p>
            <w:pPr>
              <w:spacing w:before="60" w:after="40"/>
            </w:pPr>
            <w:r>
              <w:rPr>
                <w:rFonts w:ascii="Calibri" w:hAnsi="Calibri"/>
                <w:b w:val="0"/>
                <w:i w:val="0"/>
                <w:color w:val="5A5A5A"/>
                <w:sz w:val="18"/>
              </w:rPr>
              <w:t>#carrier  #foodhandler  #outbreak  #gallbladder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Travellers &amp; VFR visitors to endemic South Asia</w:t>
            </w:r>
          </w:p>
        </w:tc>
        <w:tc>
          <w:tcPr>
            <w:tcW w:type="dxa" w:w="4276"/>
            <w:vAlign w:val="top"/>
          </w:tcPr>
          <w:p>
            <w:pPr>
              <w:spacing w:after="60" w:line="259" w:lineRule="auto"/>
            </w:pPr>
            <w:r>
              <w:rPr>
                <w:rFonts w:ascii="Calibri" w:hAnsi="Calibri"/>
                <w:b w:val="0"/>
                <w:i w:val="0"/>
                <w:color w:val="212121"/>
                <w:sz w:val="19"/>
              </w:rPr>
              <w:t>Travellers - especially those visiting friends and relatives (VFR) who eat local street food and drink untreated water - acquire typhoid, frequently with fluoroquinolone-resistant strains.</w:t>
            </w:r>
          </w:p>
          <w:p>
            <w:pPr>
              <w:spacing w:after="40" w:before="60" w:line="259" w:lineRule="auto"/>
            </w:pPr>
            <w:r>
              <w:rPr>
                <w:rFonts w:ascii="Calibri" w:hAnsi="Calibri"/>
                <w:b w:val="0"/>
                <w:i w:val="0"/>
                <w:color w:val="212121"/>
                <w:sz w:val="19"/>
              </w:rPr>
              <w:t>About 85% of US typhoid cases occur in international travellers, most returning from South Asia, and &gt;90% of these infections are fluoroquinolone-non-susceptible.</w:t>
            </w:r>
          </w:p>
          <w:p>
            <w:pPr>
              <w:spacing w:after="40" w:line="252" w:lineRule="auto"/>
            </w:pPr>
            <w:hyperlink r:id="rId11">
              <w:r>
                <w:rPr>
                  <w:rFonts w:ascii="Calibri" w:hAnsi="Calibri" w:cs="Calibri"/>
                  <w:sz w:val="18"/>
                  <w:color w:val="1155CC"/>
                  <w:u w:val="single"/>
                </w:rPr>
                <w:t xml:space="preserve">cdc.gov - Yellow Book 2024, typhoid &amp; paratyphoid</w:t>
              </w:r>
            </w:hyperlink>
          </w:p>
          <w:p>
            <w:pPr>
              <w:spacing w:before="60" w:after="40"/>
            </w:pPr>
            <w:r>
              <w:rPr>
                <w:rFonts w:ascii="Calibri" w:hAnsi="Calibri"/>
                <w:b w:val="0"/>
                <w:i w:val="0"/>
                <w:color w:val="5A5A5A"/>
                <w:sz w:val="18"/>
              </w:rPr>
              <w:t>#travel  #VFR  #returningtraveller  #resistance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Street-food &amp; raw-produce consumers</w:t>
            </w:r>
          </w:p>
        </w:tc>
        <w:tc>
          <w:tcPr>
            <w:tcW w:type="dxa" w:w="4276"/>
            <w:vAlign w:val="top"/>
          </w:tcPr>
          <w:p>
            <w:pPr>
              <w:spacing w:after="60" w:line="259" w:lineRule="auto"/>
            </w:pPr>
            <w:r>
              <w:rPr>
                <w:rFonts w:ascii="Calibri" w:hAnsi="Calibri"/>
                <w:b w:val="0"/>
                <w:i w:val="0"/>
                <w:color w:val="212121"/>
                <w:sz w:val="19"/>
              </w:rPr>
              <w:t>Roadside food, raw salads, unpeeled or pre-cut fruit, cut fruit and unpasteurised drinks washed or prepared with contaminated water are common vehicles, particularly in urban India.</w:t>
            </w:r>
          </w:p>
          <w:p>
            <w:pPr>
              <w:spacing w:after="40" w:before="60" w:line="259" w:lineRule="auto"/>
            </w:pPr>
            <w:r>
              <w:rPr>
                <w:rFonts w:ascii="Calibri" w:hAnsi="Calibri"/>
                <w:b w:val="0"/>
                <w:i w:val="0"/>
                <w:color w:val="212121"/>
                <w:sz w:val="19"/>
              </w:rPr>
              <w:t>CDC advises travellers to eat only freshly cooked, hot food and avoid raw produce, street food and ice in endemic areas to prevent typhoid.</w:t>
            </w:r>
          </w:p>
          <w:p>
            <w:pPr>
              <w:spacing w:after="40" w:line="252" w:lineRule="auto"/>
            </w:pPr>
            <w:hyperlink r:id="rId11">
              <w:r>
                <w:rPr>
                  <w:rFonts w:ascii="Calibri" w:hAnsi="Calibri" w:cs="Calibri"/>
                  <w:sz w:val="18"/>
                  <w:color w:val="1155CC"/>
                  <w:u w:val="single"/>
                </w:rPr>
                <w:t xml:space="preserve">cdc.gov - Yellow Book 2024, typhoid &amp; paratyphoid</w:t>
              </w:r>
            </w:hyperlink>
          </w:p>
          <w:p>
            <w:pPr>
              <w:spacing w:before="60" w:after="40"/>
            </w:pPr>
            <w:r>
              <w:rPr>
                <w:rFonts w:ascii="Calibri" w:hAnsi="Calibri"/>
                <w:b w:val="0"/>
                <w:i w:val="0"/>
                <w:color w:val="5A5A5A"/>
                <w:sz w:val="18"/>
              </w:rPr>
              <w:t>#streetfood  #rawsalad  #cutfruit  #unpasteurised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w:t>
            </w:r>
          </w:p>
        </w:tc>
        <w:tc>
          <w:tcPr>
            <w:tcW w:type="dxa" w:w="2160"/>
            <w:vAlign w:val="top"/>
          </w:tcPr>
          <w:p>
            <w:pPr>
              <w:spacing w:after="40" w:before="0" w:line="259" w:lineRule="auto"/>
            </w:pPr>
            <w:r>
              <w:rPr>
                <w:rFonts w:ascii="Calibri" w:hAnsi="Calibri"/>
                <w:b w:val="0"/>
                <w:i w:val="0"/>
                <w:color w:val="212121"/>
                <w:sz w:val="19"/>
              </w:rPr>
              <w:t>Household contacts of cases or carriers</w:t>
            </w:r>
          </w:p>
        </w:tc>
        <w:tc>
          <w:tcPr>
            <w:tcW w:type="dxa" w:w="4276"/>
            <w:vAlign w:val="top"/>
          </w:tcPr>
          <w:p>
            <w:pPr>
              <w:spacing w:after="60" w:line="259" w:lineRule="auto"/>
            </w:pPr>
            <w:r>
              <w:rPr>
                <w:rFonts w:ascii="Calibri" w:hAnsi="Calibri"/>
                <w:b w:val="0"/>
                <w:i w:val="0"/>
                <w:color w:val="212121"/>
                <w:sz w:val="19"/>
              </w:rPr>
              <w:t>Shared water, food and sanitation mean household contacts of a case or carrier share high exposure; familial clustering also reflects shared environment more than strong inherited susceptibility, though HLA-linked host factors modulate outcome.</w:t>
            </w:r>
          </w:p>
          <w:p>
            <w:pPr>
              <w:spacing w:after="40" w:before="60" w:line="259" w:lineRule="auto"/>
            </w:pPr>
            <w:r>
              <w:rPr>
                <w:rFonts w:ascii="Calibri" w:hAnsi="Calibri"/>
                <w:b w:val="0"/>
                <w:i w:val="0"/>
                <w:color w:val="212121"/>
                <w:sz w:val="19"/>
              </w:rPr>
              <w:t>Chronic carriers within a household act as a persistent reservoir, sustaining transmission to close contacts.</w:t>
            </w:r>
          </w:p>
          <w:p>
            <w:pPr>
              <w:spacing w:after="40" w:line="252" w:lineRule="auto"/>
            </w:pPr>
            <w:hyperlink r:id="rId13">
              <w:r>
                <w:rPr>
                  <w:rFonts w:ascii="Calibri" w:hAnsi="Calibri" w:cs="Calibri"/>
                  <w:sz w:val="18"/>
                  <w:color w:val="1155CC"/>
                  <w:u w:val="single"/>
                </w:rPr>
                <w:t xml:space="preserve">cdc.gov - typhoid clinical guidance</w:t>
              </w:r>
            </w:hyperlink>
          </w:p>
          <w:p>
            <w:pPr>
              <w:spacing w:before="60" w:after="40"/>
            </w:pPr>
            <w:r>
              <w:rPr>
                <w:rFonts w:ascii="Calibri" w:hAnsi="Calibri"/>
                <w:b w:val="0"/>
                <w:i w:val="0"/>
                <w:color w:val="5A5A5A"/>
                <w:sz w:val="18"/>
              </w:rPr>
              <w:t>#household  #contacts  #clustering  #sharedexposure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Cholelithiasis</w:t>
            </w:r>
          </w:p>
        </w:tc>
        <w:tc>
          <w:tcPr>
            <w:tcW w:type="dxa" w:w="2160"/>
            <w:vAlign w:val="top"/>
          </w:tcPr>
          <w:p>
            <w:pPr>
              <w:spacing w:after="40" w:before="0" w:line="259" w:lineRule="auto"/>
            </w:pPr>
            <w:r>
              <w:rPr>
                <w:rFonts w:ascii="Calibri" w:hAnsi="Calibri"/>
                <w:b w:val="0"/>
                <w:i w:val="0"/>
                <w:color w:val="212121"/>
                <w:sz w:val="19"/>
              </w:rPr>
              <w:t>Patients with gallstones</w:t>
            </w:r>
          </w:p>
        </w:tc>
        <w:tc>
          <w:tcPr>
            <w:tcW w:type="dxa" w:w="4276"/>
            <w:vAlign w:val="top"/>
          </w:tcPr>
          <w:p>
            <w:pPr>
              <w:spacing w:after="60" w:line="259" w:lineRule="auto"/>
            </w:pPr>
            <w:r>
              <w:rPr>
                <w:rFonts w:ascii="Calibri" w:hAnsi="Calibri"/>
                <w:b w:val="0"/>
                <w:i w:val="0"/>
                <w:color w:val="212121"/>
                <w:sz w:val="19"/>
              </w:rPr>
              <w:t>Gallstones create a biofilm niche in the gallbladder that favours chronic Salmonella Typhi carriage; such carriers are the key long-term reservoir and are at increased risk of gallbladder cancer.</w:t>
            </w:r>
          </w:p>
          <w:p>
            <w:pPr>
              <w:spacing w:after="40" w:before="60" w:line="259" w:lineRule="auto"/>
            </w:pPr>
            <w:r>
              <w:rPr>
                <w:rFonts w:ascii="Calibri" w:hAnsi="Calibri"/>
                <w:b w:val="0"/>
                <w:i w:val="0"/>
                <w:color w:val="212121"/>
                <w:sz w:val="19"/>
              </w:rPr>
              <w:t>Chronic biliary carriage develops in 1-4% of cases and is strongly associated with gallstones; long-standing carriage is linked to gallbladder carcinoma.</w:t>
            </w:r>
          </w:p>
          <w:p>
            <w:pPr>
              <w:spacing w:after="40" w:line="252" w:lineRule="auto"/>
            </w:pPr>
            <w:hyperlink r:id="rId14">
              <w:r>
                <w:rPr>
                  <w:rFonts w:ascii="Calibri" w:hAnsi="Calibri" w:cs="Calibri"/>
                  <w:sz w:val="18"/>
                  <w:color w:val="1155CC"/>
                  <w:u w:val="single"/>
                </w:rPr>
                <w:t xml:space="preserve">pubmed - meta-analysis: chronic S. Typhi carriage &amp; gallbladder cancer</w:t>
              </w:r>
            </w:hyperlink>
          </w:p>
          <w:p>
            <w:pPr>
              <w:spacing w:before="60" w:after="40"/>
            </w:pPr>
            <w:r>
              <w:rPr>
                <w:rFonts w:ascii="Calibri" w:hAnsi="Calibri"/>
                <w:b w:val="0"/>
                <w:i w:val="0"/>
                <w:color w:val="5A5A5A"/>
                <w:sz w:val="18"/>
              </w:rPr>
              <w:t>#gallstones  #carrier  #gallbladdercancer  #biofilm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Reduced gastric acidity</w:t>
            </w:r>
          </w:p>
        </w:tc>
        <w:tc>
          <w:tcPr>
            <w:tcW w:type="dxa" w:w="2160"/>
            <w:vAlign w:val="top"/>
          </w:tcPr>
          <w:p>
            <w:pPr>
              <w:spacing w:after="40" w:before="0" w:line="259" w:lineRule="auto"/>
            </w:pPr>
            <w:r>
              <w:rPr>
                <w:rFonts w:ascii="Calibri" w:hAnsi="Calibri"/>
                <w:b w:val="0"/>
                <w:i w:val="0"/>
                <w:color w:val="212121"/>
                <w:sz w:val="19"/>
              </w:rPr>
              <w:t>Users of PPIs/antacids, achlorhydria</w:t>
            </w:r>
          </w:p>
        </w:tc>
        <w:tc>
          <w:tcPr>
            <w:tcW w:type="dxa" w:w="4276"/>
            <w:vAlign w:val="top"/>
          </w:tcPr>
          <w:p>
            <w:pPr>
              <w:spacing w:after="60" w:line="259" w:lineRule="auto"/>
            </w:pPr>
            <w:r>
              <w:rPr>
                <w:rFonts w:ascii="Calibri" w:hAnsi="Calibri"/>
                <w:b w:val="0"/>
                <w:i w:val="0"/>
                <w:color w:val="212121"/>
                <w:sz w:val="19"/>
              </w:rPr>
              <w:t>Gastric acid is a major barrier to ingested Salmonella; proton-pump inhibitors, antacids, H2-blockers, prior gastric surgery or achlorhydria lower the infectious dose required, increasing susceptibility.</w:t>
            </w:r>
          </w:p>
          <w:p>
            <w:pPr>
              <w:spacing w:after="40" w:before="60" w:line="259" w:lineRule="auto"/>
            </w:pPr>
            <w:r>
              <w:rPr>
                <w:rFonts w:ascii="Calibri" w:hAnsi="Calibri"/>
                <w:b w:val="0"/>
                <w:i w:val="0"/>
                <w:color w:val="212121"/>
                <w:sz w:val="19"/>
              </w:rPr>
              <w:t>Reduced gastric acidity lowers the infective dose of Salmonella Typhi needed to establish infection.</w:t>
            </w:r>
          </w:p>
          <w:p>
            <w:pPr>
              <w:spacing w:before="60" w:after="40"/>
            </w:pPr>
            <w:r>
              <w:rPr>
                <w:rFonts w:ascii="Calibri" w:hAnsi="Calibri"/>
                <w:b w:val="0"/>
                <w:i w:val="0"/>
                <w:color w:val="5A5A5A"/>
                <w:sz w:val="18"/>
              </w:rPr>
              <w:t>#PPI  #antacid  #achlorhydria  #gastricacid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People living with HIV / immunocompromised</w:t>
            </w:r>
          </w:p>
        </w:tc>
        <w:tc>
          <w:tcPr>
            <w:tcW w:type="dxa" w:w="4276"/>
            <w:vAlign w:val="top"/>
          </w:tcPr>
          <w:p>
            <w:pPr>
              <w:spacing w:after="60" w:line="259" w:lineRule="auto"/>
            </w:pPr>
            <w:r>
              <w:rPr>
                <w:rFonts w:ascii="Calibri" w:hAnsi="Calibri"/>
                <w:b w:val="0"/>
                <w:i w:val="0"/>
                <w:color w:val="212121"/>
                <w:sz w:val="19"/>
              </w:rPr>
              <w:t>Impaired cell-mediated immunity increases susceptibility to, and severity of, invasive Salmonella infection, with higher rates of bacteraemia, relapse and complications.</w:t>
            </w:r>
          </w:p>
          <w:p>
            <w:pPr>
              <w:spacing w:after="40" w:before="60" w:line="259" w:lineRule="auto"/>
            </w:pPr>
            <w:r>
              <w:rPr>
                <w:rFonts w:ascii="Calibri" w:hAnsi="Calibri"/>
                <w:b w:val="0"/>
                <w:i w:val="0"/>
                <w:color w:val="212121"/>
                <w:sz w:val="19"/>
              </w:rPr>
              <w:t>Immunosuppression predisposes to more severe and invasive non-typhoidal and typhoidal Salmonella infection.</w:t>
            </w:r>
          </w:p>
          <w:p>
            <w:pPr>
              <w:spacing w:before="60" w:after="40"/>
            </w:pPr>
            <w:r>
              <w:rPr>
                <w:rFonts w:ascii="Calibri" w:hAnsi="Calibri"/>
                <w:b w:val="0"/>
                <w:i w:val="0"/>
                <w:color w:val="5A5A5A"/>
                <w:sz w:val="18"/>
              </w:rPr>
              <w:t>#HIV  #immunosuppression  #invasive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Undernourished children</w:t>
            </w:r>
          </w:p>
        </w:tc>
        <w:tc>
          <w:tcPr>
            <w:tcW w:type="dxa" w:w="4276"/>
            <w:vAlign w:val="top"/>
          </w:tcPr>
          <w:p>
            <w:pPr>
              <w:spacing w:after="60" w:line="259" w:lineRule="auto"/>
            </w:pPr>
            <w:r>
              <w:rPr>
                <w:rFonts w:ascii="Calibri" w:hAnsi="Calibri"/>
                <w:b w:val="0"/>
                <w:i w:val="0"/>
                <w:color w:val="212121"/>
                <w:sz w:val="19"/>
              </w:rPr>
              <w:t>Protein-energy malnutrition impairs mucosal and systemic immunity, both predisposing to enteric fever and worsening its severity and recovery in Indian children.</w:t>
            </w:r>
          </w:p>
          <w:p>
            <w:pPr>
              <w:spacing w:after="40" w:before="60" w:line="259" w:lineRule="auto"/>
            </w:pPr>
            <w:r>
              <w:rPr>
                <w:rFonts w:ascii="Calibri" w:hAnsi="Calibri"/>
                <w:b w:val="0"/>
                <w:i w:val="0"/>
                <w:color w:val="212121"/>
                <w:sz w:val="19"/>
              </w:rPr>
              <w:t>Malnutrition is a recognised risk factor for more severe enteric fever in children in endemic settings.</w:t>
            </w:r>
          </w:p>
          <w:p>
            <w:pPr>
              <w:spacing w:before="60" w:after="40"/>
            </w:pPr>
            <w:r>
              <w:rPr>
                <w:rFonts w:ascii="Calibri" w:hAnsi="Calibri"/>
                <w:b w:val="0"/>
                <w:i w:val="0"/>
                <w:color w:val="5A5A5A"/>
                <w:sz w:val="18"/>
              </w:rPr>
              <w:t>#malnutrition  #children  #undernutrition  #severity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Salmonella Typhi transmission; general fitness and nutrition support immune competence, while bed rest during the acute febrile phase (weeks 2-3) is advised to lower the risk of intestinal perforation.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 contaminated by an infected food-handler or washed/prepared with unsafe water is a principal route of transmission; eating only freshly cooked, hot food and avoiding raw produce, cut fruit and street food markedly reduces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acquisition; adequate rest and sleep support immune recovery and convalescence after enteric fever.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risk factor for enteric fever, though it impairs mucosal and respiratory defences generally.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reduces gastric acidity and impairs hepatic and immune function, which can theoretically increase susceptibility and worsen outcomes; direct evidence is limited, but alcohol should be avoided during illness and antibiotic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influence acquisition; severe disease can itself cause delirium (the 'typhoid state'), and prolonged illness/hospitalisation may provoke anxiety needing supportive 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is the principal vehicle for Salmonella Typhi; boiling, filtration or adequate chlorination inactivates the organism and is central to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with soap (after defecation, before preparing/eating food) and safely-managed sanitation interrupt the faecal-oral cycle and are core preventive measures.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Ingestion of faecally contaminated food or water, monsoon flooding, travel to endemic areas, contact with a chronic carrier and gastric-acid suppression (PPIs/antacids) all provoke or precipitate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faecal contamination (E. coli / thermotolerant coliforms per 100 mL)</w:t>
            </w:r>
          </w:p>
        </w:tc>
        <w:tc>
          <w:tcPr>
            <w:tcW w:type="dxa" w:w="1655"/>
            <w:vAlign w:val="top"/>
          </w:tcPr>
          <w:p>
            <w:pPr>
              <w:spacing w:after="40" w:before="0" w:line="259" w:lineRule="auto"/>
            </w:pPr>
            <w:r>
              <w:rPr>
                <w:rFonts w:ascii="Calibri" w:hAnsi="Calibri"/>
                <w:b w:val="0"/>
                <w:i w:val="0"/>
                <w:color w:val="212121"/>
                <w:sz w:val="19"/>
              </w:rPr>
              <w:t>General population, endemic areas</w:t>
            </w:r>
          </w:p>
        </w:tc>
        <w:tc>
          <w:tcPr>
            <w:tcW w:type="dxa" w:w="1512"/>
            <w:vAlign w:val="top"/>
          </w:tcPr>
          <w:p>
            <w:pPr>
              <w:spacing w:after="40" w:before="0" w:line="259" w:lineRule="auto"/>
            </w:pPr>
            <w:r>
              <w:rPr>
                <w:rFonts w:ascii="Calibri" w:hAnsi="Calibri"/>
                <w:b w:val="0"/>
                <w:i w:val="0"/>
                <w:color w:val="212121"/>
                <w:sz w:val="19"/>
              </w:rPr>
              <w:t>0 CFU/100 mL (WHO safe-water standard)</w:t>
            </w:r>
          </w:p>
        </w:tc>
        <w:tc>
          <w:tcPr>
            <w:tcW w:type="dxa" w:w="1512"/>
            <w:vAlign w:val="top"/>
          </w:tcPr>
          <w:p>
            <w:pPr>
              <w:spacing w:after="40" w:before="0" w:line="259" w:lineRule="auto"/>
            </w:pPr>
            <w:r>
              <w:rPr>
                <w:rFonts w:ascii="Calibri" w:hAnsi="Calibri"/>
                <w:b w:val="0"/>
                <w:i w:val="0"/>
                <w:color w:val="212121"/>
                <w:sz w:val="19"/>
              </w:rPr>
              <w:t>Any detectable E. coli/coliforms per 100 mL</w:t>
            </w:r>
          </w:p>
        </w:tc>
        <w:tc>
          <w:tcPr>
            <w:tcW w:type="dxa" w:w="1468"/>
            <w:vAlign w:val="top"/>
          </w:tcPr>
          <w:p>
            <w:pPr>
              <w:spacing w:after="60" w:line="259" w:lineRule="auto"/>
            </w:pPr>
            <w:r>
              <w:rPr>
                <w:rFonts w:ascii="Calibri" w:hAnsi="Calibri"/>
                <w:b w:val="0"/>
                <w:i w:val="0"/>
                <w:color w:val="212121"/>
                <w:sz w:val="19"/>
              </w:rPr>
              <w:t>Contaminated water is the principal vehicle for Salmonella Typhi</w:t>
            </w:r>
          </w:p>
          <w:p>
            <w:pPr>
              <w:spacing w:after="40" w:line="252" w:lineRule="auto"/>
            </w:pPr>
            <w:hyperlink r:id="rId9">
              <w:r>
                <w:rPr>
                  <w:rFonts w:ascii="Calibri" w:hAnsi="Calibri" w:cs="Calibri"/>
                  <w:sz w:val="18"/>
                  <w:color w:val="1155CC"/>
                  <w:u w:val="single"/>
                </w:rPr>
                <w:t xml:space="preserve">https://www.who.int/news-room/fact-sheets/detail/typhoid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residual chlorine at point of use</w:t>
            </w:r>
          </w:p>
        </w:tc>
        <w:tc>
          <w:tcPr>
            <w:tcW w:type="dxa" w:w="1655"/>
            <w:vAlign w:val="top"/>
          </w:tcPr>
          <w:p>
            <w:pPr>
              <w:spacing w:after="40" w:before="0" w:line="259" w:lineRule="auto"/>
            </w:pPr>
            <w:r>
              <w:rPr>
                <w:rFonts w:ascii="Calibri" w:hAnsi="Calibri"/>
                <w:b w:val="0"/>
                <w:i w:val="0"/>
                <w:color w:val="212121"/>
                <w:sz w:val="19"/>
              </w:rPr>
              <w:t>Piped / treated water supplies</w:t>
            </w:r>
          </w:p>
        </w:tc>
        <w:tc>
          <w:tcPr>
            <w:tcW w:type="dxa" w:w="1512"/>
            <w:vAlign w:val="top"/>
          </w:tcPr>
          <w:p>
            <w:pPr>
              <w:spacing w:after="40" w:before="0" w:line="259" w:lineRule="auto"/>
            </w:pPr>
            <w:r>
              <w:rPr>
                <w:rFonts w:ascii="Calibri" w:hAnsi="Calibri"/>
                <w:b w:val="0"/>
                <w:i w:val="0"/>
                <w:color w:val="212121"/>
                <w:sz w:val="19"/>
              </w:rPr>
              <w:t>&gt;= 0.2 mg/L</w:t>
            </w:r>
          </w:p>
        </w:tc>
        <w:tc>
          <w:tcPr>
            <w:tcW w:type="dxa" w:w="1512"/>
            <w:vAlign w:val="top"/>
          </w:tcPr>
          <w:p>
            <w:pPr>
              <w:spacing w:after="40" w:before="0" w:line="259" w:lineRule="auto"/>
            </w:pPr>
            <w:r>
              <w:rPr>
                <w:rFonts w:ascii="Calibri" w:hAnsi="Calibri"/>
                <w:b w:val="0"/>
                <w:i w:val="0"/>
                <w:color w:val="212121"/>
                <w:sz w:val="19"/>
              </w:rPr>
              <w:t>&lt; 0.2 mg/L</w:t>
            </w:r>
          </w:p>
        </w:tc>
        <w:tc>
          <w:tcPr>
            <w:tcW w:type="dxa" w:w="1468"/>
            <w:vAlign w:val="top"/>
          </w:tcPr>
          <w:p>
            <w:pPr>
              <w:spacing w:after="40" w:before="0" w:line="259" w:lineRule="auto"/>
            </w:pPr>
            <w:r>
              <w:rPr>
                <w:rFonts w:ascii="Calibri" w:hAnsi="Calibri"/>
                <w:b w:val="0"/>
                <w:i w:val="0"/>
                <w:color w:val="212121"/>
                <w:sz w:val="19"/>
              </w:rPr>
              <w:t>Adequate chlorination inactivates the organism</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at key times</w:t>
            </w:r>
          </w:p>
        </w:tc>
        <w:tc>
          <w:tcPr>
            <w:tcW w:type="dxa" w:w="1655"/>
            <w:vAlign w:val="top"/>
          </w:tcPr>
          <w:p>
            <w:pPr>
              <w:spacing w:after="40" w:before="0" w:line="259" w:lineRule="auto"/>
            </w:pPr>
            <w:r>
              <w:rPr>
                <w:rFonts w:ascii="Calibri" w:hAnsi="Calibri"/>
                <w:b w:val="0"/>
                <w:i w:val="0"/>
                <w:color w:val="212121"/>
                <w:sz w:val="19"/>
              </w:rPr>
              <w:t>Households, food-handlers</w:t>
            </w:r>
          </w:p>
        </w:tc>
        <w:tc>
          <w:tcPr>
            <w:tcW w:type="dxa" w:w="1512"/>
            <w:vAlign w:val="top"/>
          </w:tcPr>
          <w:p>
            <w:pPr>
              <w:spacing w:after="40" w:before="0" w:line="259" w:lineRule="auto"/>
            </w:pPr>
            <w:r>
              <w:rPr>
                <w:rFonts w:ascii="Calibri" w:hAnsi="Calibri"/>
                <w:b w:val="0"/>
                <w:i w:val="0"/>
                <w:color w:val="212121"/>
                <w:sz w:val="19"/>
              </w:rPr>
              <w:t>Consistently after toilet use and before cooking/eating</w:t>
            </w:r>
          </w:p>
        </w:tc>
        <w:tc>
          <w:tcPr>
            <w:tcW w:type="dxa" w:w="1512"/>
            <w:vAlign w:val="top"/>
          </w:tcPr>
          <w:p>
            <w:pPr>
              <w:spacing w:after="40" w:before="0" w:line="259" w:lineRule="auto"/>
            </w:pPr>
            <w:r>
              <w:rPr>
                <w:rFonts w:ascii="Calibri" w:hAnsi="Calibri"/>
                <w:b w:val="0"/>
                <w:i w:val="0"/>
                <w:color w:val="212121"/>
                <w:sz w:val="19"/>
              </w:rPr>
              <w:t>Rarely or never</w:t>
            </w:r>
          </w:p>
        </w:tc>
        <w:tc>
          <w:tcPr>
            <w:tcW w:type="dxa" w:w="1468"/>
            <w:vAlign w:val="top"/>
          </w:tcPr>
          <w:p>
            <w:pPr>
              <w:spacing w:after="40" w:before="0" w:line="259" w:lineRule="auto"/>
            </w:pPr>
            <w:r>
              <w:rPr>
                <w:rFonts w:ascii="Calibri" w:hAnsi="Calibri"/>
                <w:b w:val="0"/>
                <w:i w:val="0"/>
                <w:color w:val="212121"/>
                <w:sz w:val="19"/>
              </w:rPr>
              <w:t>Hand hygiene interrupts faecal-oral transmission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Access to safely-managed sanitation</w:t>
            </w:r>
          </w:p>
        </w:tc>
        <w:tc>
          <w:tcPr>
            <w:tcW w:type="dxa" w:w="1655"/>
            <w:vAlign w:val="top"/>
          </w:tcPr>
          <w:p>
            <w:pPr>
              <w:spacing w:after="40" w:before="0" w:line="259" w:lineRule="auto"/>
            </w:pPr>
            <w:r>
              <w:rPr>
                <w:rFonts w:ascii="Calibri" w:hAnsi="Calibri"/>
                <w:b w:val="0"/>
                <w:i w:val="0"/>
                <w:color w:val="212121"/>
                <w:sz w:val="19"/>
              </w:rPr>
              <w:t>Communities</w:t>
            </w:r>
          </w:p>
        </w:tc>
        <w:tc>
          <w:tcPr>
            <w:tcW w:type="dxa" w:w="1512"/>
            <w:vAlign w:val="top"/>
          </w:tcPr>
          <w:p>
            <w:pPr>
              <w:spacing w:after="40" w:before="0" w:line="259" w:lineRule="auto"/>
            </w:pPr>
            <w:r>
              <w:rPr>
                <w:rFonts w:ascii="Calibri" w:hAnsi="Calibri"/>
                <w:b w:val="0"/>
                <w:i w:val="0"/>
                <w:color w:val="212121"/>
                <w:sz w:val="19"/>
              </w:rPr>
              <w:t>Improved, safely-managed latrine</w:t>
            </w:r>
          </w:p>
        </w:tc>
        <w:tc>
          <w:tcPr>
            <w:tcW w:type="dxa" w:w="1512"/>
            <w:vAlign w:val="top"/>
          </w:tcPr>
          <w:p>
            <w:pPr>
              <w:spacing w:after="40" w:before="0" w:line="259" w:lineRule="auto"/>
            </w:pPr>
            <w:r>
              <w:rPr>
                <w:rFonts w:ascii="Calibri" w:hAnsi="Calibri"/>
                <w:b w:val="0"/>
                <w:i w:val="0"/>
                <w:color w:val="212121"/>
                <w:sz w:val="19"/>
              </w:rPr>
              <w:t>Open defecation or shared/unimproved facility</w:t>
            </w:r>
          </w:p>
        </w:tc>
        <w:tc>
          <w:tcPr>
            <w:tcW w:type="dxa" w:w="1468"/>
            <w:vAlign w:val="top"/>
          </w:tcPr>
          <w:p>
            <w:pPr>
              <w:spacing w:after="60" w:line="259" w:lineRule="auto"/>
            </w:pPr>
            <w:r>
              <w:rPr>
                <w:rFonts w:ascii="Calibri" w:hAnsi="Calibri"/>
                <w:b w:val="0"/>
                <w:i w:val="0"/>
                <w:color w:val="212121"/>
                <w:sz w:val="19"/>
              </w:rPr>
              <w:t>Poor sanitation sustains endemic transmission</w:t>
            </w:r>
          </w:p>
          <w:p>
            <w:pPr>
              <w:spacing w:after="40" w:line="252" w:lineRule="auto"/>
            </w:pPr>
            <w:hyperlink r:id="rId9">
              <w:r>
                <w:rPr>
                  <w:rFonts w:ascii="Calibri" w:hAnsi="Calibri" w:cs="Calibri"/>
                  <w:sz w:val="18"/>
                  <w:color w:val="1155CC"/>
                  <w:u w:val="single"/>
                </w:rPr>
                <w:t xml:space="preserve">https://www.who.int/news-room/fact-sheets/detail/typhoid</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Street-food / raw cut-fruit consumption</w:t>
            </w:r>
          </w:p>
        </w:tc>
        <w:tc>
          <w:tcPr>
            <w:tcW w:type="dxa" w:w="1655"/>
            <w:vAlign w:val="top"/>
          </w:tcPr>
          <w:p>
            <w:pPr>
              <w:spacing w:after="40" w:before="0" w:line="259" w:lineRule="auto"/>
            </w:pPr>
            <w:r>
              <w:rPr>
                <w:rFonts w:ascii="Calibri" w:hAnsi="Calibri"/>
                <w:b w:val="0"/>
                <w:i w:val="0"/>
                <w:color w:val="212121"/>
                <w:sz w:val="19"/>
              </w:rPr>
              <w:t>Urban residents, travellers</w:t>
            </w:r>
          </w:p>
        </w:tc>
        <w:tc>
          <w:tcPr>
            <w:tcW w:type="dxa" w:w="1512"/>
            <w:vAlign w:val="top"/>
          </w:tcPr>
          <w:p>
            <w:pPr>
              <w:spacing w:after="40" w:before="0" w:line="259" w:lineRule="auto"/>
            </w:pPr>
            <w:r>
              <w:rPr>
                <w:rFonts w:ascii="Calibri" w:hAnsi="Calibri"/>
                <w:b w:val="0"/>
                <w:i w:val="0"/>
                <w:color w:val="212121"/>
                <w:sz w:val="19"/>
              </w:rPr>
              <w:t>Avoid; eat freshly cooked, hot food</w:t>
            </w:r>
          </w:p>
        </w:tc>
        <w:tc>
          <w:tcPr>
            <w:tcW w:type="dxa" w:w="1512"/>
            <w:vAlign w:val="top"/>
          </w:tcPr>
          <w:p>
            <w:pPr>
              <w:spacing w:after="40" w:before="0" w:line="259" w:lineRule="auto"/>
            </w:pPr>
            <w:r>
              <w:rPr>
                <w:rFonts w:ascii="Calibri" w:hAnsi="Calibri"/>
                <w:b w:val="0"/>
                <w:i w:val="0"/>
                <w:color w:val="212121"/>
                <w:sz w:val="19"/>
              </w:rPr>
              <w:t>Frequent street food, raw salads, ice, cut fruit</w:t>
            </w:r>
          </w:p>
        </w:tc>
        <w:tc>
          <w:tcPr>
            <w:tcW w:type="dxa" w:w="1468"/>
            <w:vAlign w:val="top"/>
          </w:tcPr>
          <w:p>
            <w:pPr>
              <w:spacing w:after="60" w:line="259" w:lineRule="auto"/>
            </w:pPr>
            <w:r>
              <w:rPr>
                <w:rFonts w:ascii="Calibri" w:hAnsi="Calibri"/>
                <w:b w:val="0"/>
                <w:i w:val="0"/>
                <w:color w:val="212121"/>
                <w:sz w:val="19"/>
              </w:rPr>
              <w:t>Common exposure route in endemic India</w:t>
            </w:r>
          </w:p>
          <w:p>
            <w:pPr>
              <w:spacing w:after="40" w:line="252" w:lineRule="auto"/>
            </w:pPr>
            <w:hyperlink r:id="rId11">
              <w:r>
                <w:rPr>
                  <w:rFonts w:ascii="Calibri" w:hAnsi="Calibri" w:cs="Calibri"/>
                  <w:sz w:val="18"/>
                  <w:color w:val="1155CC"/>
                  <w:u w:val="single"/>
                </w:rPr>
                <w:t xml:space="preserve">https://wwwnc.cdc.gov/travel/yellowbook/2024/infections-diseases/typhoid-and-paratyphoid-fever</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Gastric acid-suppressing drug use (PPI / antacid / H2-blocker)</w:t>
            </w:r>
          </w:p>
        </w:tc>
        <w:tc>
          <w:tcPr>
            <w:tcW w:type="dxa" w:w="1655"/>
            <w:vAlign w:val="top"/>
          </w:tcPr>
          <w:p>
            <w:pPr>
              <w:spacing w:after="40" w:before="0" w:line="259" w:lineRule="auto"/>
            </w:pPr>
            <w:r>
              <w:rPr>
                <w:rFonts w:ascii="Calibri" w:hAnsi="Calibri"/>
                <w:b w:val="0"/>
                <w:i w:val="0"/>
                <w:color w:val="212121"/>
                <w:sz w:val="19"/>
              </w:rPr>
              <w:t>Dyspepsia patients, elderly</w:t>
            </w:r>
          </w:p>
        </w:tc>
        <w:tc>
          <w:tcPr>
            <w:tcW w:type="dxa" w:w="1512"/>
            <w:vAlign w:val="top"/>
          </w:tcPr>
          <w:p>
            <w:pPr>
              <w:spacing w:after="40" w:before="0" w:line="259" w:lineRule="auto"/>
            </w:pPr>
            <w:r>
              <w:rPr>
                <w:rFonts w:ascii="Calibri" w:hAnsi="Calibri"/>
                <w:b w:val="0"/>
                <w:i w:val="0"/>
                <w:color w:val="212121"/>
                <w:sz w:val="19"/>
              </w:rPr>
              <w:t>Use only when clinically indicated</w:t>
            </w:r>
          </w:p>
        </w:tc>
        <w:tc>
          <w:tcPr>
            <w:tcW w:type="dxa" w:w="1512"/>
            <w:vAlign w:val="top"/>
          </w:tcPr>
          <w:p>
            <w:pPr>
              <w:spacing w:after="40" w:before="0" w:line="259" w:lineRule="auto"/>
            </w:pPr>
            <w:r>
              <w:rPr>
                <w:rFonts w:ascii="Calibri" w:hAnsi="Calibri"/>
                <w:b w:val="0"/>
                <w:i w:val="0"/>
                <w:color w:val="212121"/>
                <w:sz w:val="19"/>
              </w:rPr>
              <w:t>Chronic unmonitored use</w:t>
            </w:r>
          </w:p>
        </w:tc>
        <w:tc>
          <w:tcPr>
            <w:tcW w:type="dxa" w:w="1468"/>
            <w:vAlign w:val="top"/>
          </w:tcPr>
          <w:p>
            <w:pPr>
              <w:spacing w:after="40" w:before="0" w:line="259" w:lineRule="auto"/>
            </w:pPr>
            <w:r>
              <w:rPr>
                <w:rFonts w:ascii="Calibri" w:hAnsi="Calibri"/>
                <w:b w:val="0"/>
                <w:i w:val="0"/>
                <w:color w:val="212121"/>
                <w:sz w:val="19"/>
              </w:rPr>
              <w:t>Reduced gastric acid lowers the infective dose of S. Typhi</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Nutritional status in children (mid-upper-arm circumference / weight-for-age)</w:t>
            </w:r>
          </w:p>
        </w:tc>
        <w:tc>
          <w:tcPr>
            <w:tcW w:type="dxa" w:w="1655"/>
            <w:vAlign w:val="top"/>
          </w:tcPr>
          <w:p>
            <w:pPr>
              <w:spacing w:after="40" w:before="0" w:line="259" w:lineRule="auto"/>
            </w:pPr>
            <w:r>
              <w:rPr>
                <w:rFonts w:ascii="Calibri" w:hAnsi="Calibri"/>
                <w:b w:val="0"/>
                <w:i w:val="0"/>
                <w:color w:val="212121"/>
                <w:sz w:val="19"/>
              </w:rPr>
              <w:t>Children &lt; 15 years</w:t>
            </w:r>
          </w:p>
        </w:tc>
        <w:tc>
          <w:tcPr>
            <w:tcW w:type="dxa" w:w="1512"/>
            <w:vAlign w:val="top"/>
          </w:tcPr>
          <w:p>
            <w:pPr>
              <w:spacing w:after="40" w:before="0" w:line="259" w:lineRule="auto"/>
            </w:pPr>
            <w:r>
              <w:rPr>
                <w:rFonts w:ascii="Calibri" w:hAnsi="Calibri"/>
                <w:b w:val="0"/>
                <w:i w:val="0"/>
                <w:color w:val="212121"/>
                <w:sz w:val="19"/>
              </w:rPr>
              <w:t>Normal for age (MUAC &gt;= 13.5 cm)</w:t>
            </w:r>
          </w:p>
        </w:tc>
        <w:tc>
          <w:tcPr>
            <w:tcW w:type="dxa" w:w="1512"/>
            <w:vAlign w:val="top"/>
          </w:tcPr>
          <w:p>
            <w:pPr>
              <w:spacing w:after="40" w:before="0" w:line="259" w:lineRule="auto"/>
            </w:pPr>
            <w:r>
              <w:rPr>
                <w:rFonts w:ascii="Calibri" w:hAnsi="Calibri"/>
                <w:b w:val="0"/>
                <w:i w:val="0"/>
                <w:color w:val="212121"/>
                <w:sz w:val="19"/>
              </w:rPr>
              <w:t>Wasting/underweight (MUAC &lt; 11.5 cm)</w:t>
            </w:r>
          </w:p>
        </w:tc>
        <w:tc>
          <w:tcPr>
            <w:tcW w:type="dxa" w:w="1468"/>
            <w:vAlign w:val="top"/>
          </w:tcPr>
          <w:p>
            <w:pPr>
              <w:spacing w:after="40" w:before="0" w:line="259" w:lineRule="auto"/>
            </w:pPr>
            <w:r>
              <w:rPr>
                <w:rFonts w:ascii="Calibri" w:hAnsi="Calibri"/>
                <w:b w:val="0"/>
                <w:i w:val="0"/>
                <w:color w:val="212121"/>
                <w:sz w:val="19"/>
              </w:rPr>
              <w:t>Malnutrition worsens severity and recovery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Typhoid conjugate vaccine (TCV) status</w:t>
            </w:r>
          </w:p>
        </w:tc>
        <w:tc>
          <w:tcPr>
            <w:tcW w:type="dxa" w:w="1655"/>
            <w:vAlign w:val="top"/>
          </w:tcPr>
          <w:p>
            <w:pPr>
              <w:spacing w:after="40" w:before="0" w:line="259" w:lineRule="auto"/>
            </w:pPr>
            <w:r>
              <w:rPr>
                <w:rFonts w:ascii="Calibri" w:hAnsi="Calibri"/>
                <w:b w:val="0"/>
                <w:i w:val="0"/>
                <w:color w:val="212121"/>
                <w:sz w:val="19"/>
              </w:rPr>
              <w:t>Children &gt;= 6 months in endemic areas; travellers</w:t>
            </w:r>
          </w:p>
        </w:tc>
        <w:tc>
          <w:tcPr>
            <w:tcW w:type="dxa" w:w="1512"/>
            <w:vAlign w:val="top"/>
          </w:tcPr>
          <w:p>
            <w:pPr>
              <w:spacing w:after="40" w:before="0" w:line="259" w:lineRule="auto"/>
            </w:pPr>
            <w:r>
              <w:rPr>
                <w:rFonts w:ascii="Calibri" w:hAnsi="Calibri"/>
                <w:b w:val="0"/>
                <w:i w:val="0"/>
                <w:color w:val="212121"/>
                <w:sz w:val="19"/>
              </w:rPr>
              <w:t>Vaccinated per schedule</w:t>
            </w:r>
          </w:p>
        </w:tc>
        <w:tc>
          <w:tcPr>
            <w:tcW w:type="dxa" w:w="1512"/>
            <w:vAlign w:val="top"/>
          </w:tcPr>
          <w:p>
            <w:pPr>
              <w:spacing w:after="40" w:before="0" w:line="259" w:lineRule="auto"/>
            </w:pPr>
            <w:r>
              <w:rPr>
                <w:rFonts w:ascii="Calibri" w:hAnsi="Calibri"/>
                <w:b w:val="0"/>
                <w:i w:val="0"/>
                <w:color w:val="212121"/>
                <w:sz w:val="19"/>
              </w:rPr>
              <w:t>Unvaccinated</w:t>
            </w:r>
          </w:p>
        </w:tc>
        <w:tc>
          <w:tcPr>
            <w:tcW w:type="dxa" w:w="1468"/>
            <w:vAlign w:val="top"/>
          </w:tcPr>
          <w:p>
            <w:pPr>
              <w:spacing w:after="60" w:line="259" w:lineRule="auto"/>
            </w:pPr>
            <w:r>
              <w:rPr>
                <w:rFonts w:ascii="Calibri" w:hAnsi="Calibri"/>
                <w:b w:val="0"/>
                <w:i w:val="0"/>
                <w:color w:val="212121"/>
                <w:sz w:val="19"/>
              </w:rPr>
              <w:t>A single dose of TCV shows ~79-88% protective efficacy in children</w:t>
            </w:r>
          </w:p>
          <w:p>
            <w:pPr>
              <w:spacing w:after="40" w:line="252" w:lineRule="auto"/>
            </w:pPr>
            <w:hyperlink r:id="rId15">
              <w:r>
                <w:rPr>
                  <w:rFonts w:ascii="Calibri" w:hAnsi="Calibri" w:cs="Calibri"/>
                  <w:sz w:val="18"/>
                  <w:color w:val="1155CC"/>
                  <w:u w:val="single"/>
                </w:rPr>
                <w:t xml:space="preserve">https://www.who.int/teams/immunization-vaccines-and-biologicals/diseases/typhoid</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 (S. Typhi / Paratyphi)</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 or Paratyphi</w:t>
            </w:r>
          </w:p>
        </w:tc>
        <w:tc>
          <w:tcPr>
            <w:tcW w:type="dxa" w:w="1036"/>
            <w:vAlign w:val="top"/>
          </w:tcPr>
          <w:p>
            <w:pPr>
              <w:spacing w:after="40" w:before="0" w:line="259" w:lineRule="auto"/>
            </w:pPr>
            <w:r>
              <w:rPr>
                <w:rFonts w:ascii="Calibri" w:hAnsi="Calibri"/>
                <w:b w:val="0"/>
                <w:i w:val="0"/>
                <w:color w:val="212121"/>
                <w:sz w:val="16"/>
              </w:rPr>
              <w:t>Diagnostic gold standard; isolation confirms enteric fever and enables susceptibility testing</w:t>
            </w:r>
          </w:p>
        </w:tc>
        <w:tc>
          <w:tcPr>
            <w:tcW w:type="dxa" w:w="1036"/>
            <w:vAlign w:val="top"/>
          </w:tcPr>
          <w:p>
            <w:pPr>
              <w:spacing w:after="40" w:before="0" w:line="259" w:lineRule="auto"/>
            </w:pPr>
            <w:r>
              <w:rPr>
                <w:rFonts w:ascii="Calibri" w:hAnsi="Calibri"/>
                <w:b w:val="0"/>
                <w:i w:val="0"/>
                <w:color w:val="212121"/>
                <w:sz w:val="16"/>
              </w:rPr>
              <w:t>Any patient with prolonged fever after endemic exposure; take before antibiotics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Single-sample sensitivity ~50-66%; adequate blood volume and repeat cultures improve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Bone-marrow culture</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 / Paratyphi</w:t>
            </w:r>
          </w:p>
        </w:tc>
        <w:tc>
          <w:tcPr>
            <w:tcW w:type="dxa" w:w="1036"/>
            <w:vAlign w:val="top"/>
          </w:tcPr>
          <w:p>
            <w:pPr>
              <w:spacing w:after="40" w:before="0" w:line="259" w:lineRule="auto"/>
            </w:pPr>
            <w:r>
              <w:rPr>
                <w:rFonts w:ascii="Calibri" w:hAnsi="Calibri"/>
                <w:b w:val="0"/>
                <w:i w:val="0"/>
                <w:color w:val="212121"/>
                <w:sz w:val="16"/>
              </w:rPr>
              <w:t>Most sensitive test; can stay positive despite prior antibiotics</w:t>
            </w:r>
          </w:p>
        </w:tc>
        <w:tc>
          <w:tcPr>
            <w:tcW w:type="dxa" w:w="1036"/>
            <w:vAlign w:val="top"/>
          </w:tcPr>
          <w:p>
            <w:pPr>
              <w:spacing w:after="40" w:before="0" w:line="259" w:lineRule="auto"/>
            </w:pPr>
            <w:r>
              <w:rPr>
                <w:rFonts w:ascii="Calibri" w:hAnsi="Calibri"/>
                <w:b w:val="0"/>
                <w:i w:val="0"/>
                <w:color w:val="212121"/>
                <w:sz w:val="16"/>
              </w:rPr>
              <w:t>Culture-negative, pre-treated or diagnostically difficult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Sensitivity ~80-96%; invasive, reserved for difficult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Leukopenia or normal WBC, eosinopenia, mild anaemia, thrombocytopenia</w:t>
            </w:r>
          </w:p>
        </w:tc>
        <w:tc>
          <w:tcPr>
            <w:tcW w:type="dxa" w:w="1036"/>
            <w:vAlign w:val="top"/>
          </w:tcPr>
          <w:p>
            <w:pPr>
              <w:spacing w:after="40" w:before="0" w:line="259" w:lineRule="auto"/>
            </w:pPr>
            <w:r>
              <w:rPr>
                <w:rFonts w:ascii="Calibri" w:hAnsi="Calibri"/>
                <w:b w:val="0"/>
                <w:i w:val="0"/>
                <w:color w:val="212121"/>
                <w:sz w:val="16"/>
              </w:rPr>
              <w:t>Supportive pattern; a normal/low WBC with eosinopenia in a febrile patient is characteristic</w:t>
            </w:r>
          </w:p>
        </w:tc>
        <w:tc>
          <w:tcPr>
            <w:tcW w:type="dxa" w:w="1036"/>
            <w:vAlign w:val="top"/>
          </w:tcPr>
          <w:p>
            <w:pPr>
              <w:spacing w:after="40" w:before="0" w:line="259" w:lineRule="auto"/>
            </w:pPr>
            <w:r>
              <w:rPr>
                <w:rFonts w:ascii="Calibri" w:hAnsi="Calibri"/>
                <w:b w:val="0"/>
                <w:i w:val="0"/>
                <w:color w:val="212121"/>
                <w:sz w:val="16"/>
              </w:rPr>
              <w:t>All suspected enteric fever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New leukocytosis should raise concern for perforation or abscess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Antimicrobial susceptibility testing (MDR / FQ / XDR)</w:t>
            </w:r>
          </w:p>
        </w:tc>
        <w:tc>
          <w:tcPr>
            <w:tcW w:type="dxa" w:w="892"/>
            <w:vAlign w:val="top"/>
          </w:tcPr>
          <w:p>
            <w:pPr>
              <w:spacing w:after="40" w:before="0" w:line="259" w:lineRule="auto"/>
            </w:pPr>
            <w:r>
              <w:rPr>
                <w:rFonts w:ascii="Calibri" w:hAnsi="Calibri"/>
                <w:b w:val="0"/>
                <w:i w:val="0"/>
                <w:color w:val="212121"/>
                <w:sz w:val="16"/>
              </w:rPr>
              <w:t>AST</w:t>
            </w:r>
          </w:p>
        </w:tc>
        <w:tc>
          <w:tcPr>
            <w:tcW w:type="dxa" w:w="950"/>
            <w:vAlign w:val="top"/>
          </w:tcPr>
          <w:p>
            <w:pPr>
              <w:spacing w:after="40" w:before="0" w:line="259" w:lineRule="auto"/>
            </w:pPr>
            <w:r>
              <w:rPr>
                <w:rFonts w:ascii="Calibri" w:hAnsi="Calibri"/>
                <w:b w:val="0"/>
                <w:i w:val="0"/>
                <w:color w:val="212121"/>
                <w:sz w:val="16"/>
              </w:rPr>
              <w:t>Pan-susceptible isolate</w:t>
            </w:r>
          </w:p>
        </w:tc>
        <w:tc>
          <w:tcPr>
            <w:tcW w:type="dxa" w:w="950"/>
            <w:vAlign w:val="top"/>
          </w:tcPr>
          <w:p>
            <w:pPr>
              <w:spacing w:after="40" w:before="0" w:line="259" w:lineRule="auto"/>
            </w:pPr>
            <w:r>
              <w:rPr>
                <w:rFonts w:ascii="Calibri" w:hAnsi="Calibri"/>
                <w:b w:val="0"/>
                <w:i w:val="0"/>
                <w:color w:val="212121"/>
                <w:sz w:val="16"/>
              </w:rPr>
              <w:t>MDR, fluoroquinolone-non-susceptible, XDR, or ceftriaxone/azithromycin resistance</w:t>
            </w:r>
          </w:p>
        </w:tc>
        <w:tc>
          <w:tcPr>
            <w:tcW w:type="dxa" w:w="1036"/>
            <w:vAlign w:val="top"/>
          </w:tcPr>
          <w:p>
            <w:pPr>
              <w:spacing w:after="40" w:before="0" w:line="259" w:lineRule="auto"/>
            </w:pPr>
            <w:r>
              <w:rPr>
                <w:rFonts w:ascii="Calibri" w:hAnsi="Calibri"/>
                <w:b w:val="0"/>
                <w:i w:val="0"/>
                <w:color w:val="212121"/>
                <w:sz w:val="16"/>
              </w:rPr>
              <w:t>Guides definitive therapy; XDR = MDR plus fluoroquinolone and third-generation cephalosporin resistance</w:t>
            </w:r>
          </w:p>
        </w:tc>
        <w:tc>
          <w:tcPr>
            <w:tcW w:type="dxa" w:w="1036"/>
            <w:vAlign w:val="top"/>
          </w:tcPr>
          <w:p>
            <w:pPr>
              <w:spacing w:after="40" w:before="0" w:line="259" w:lineRule="auto"/>
            </w:pPr>
            <w:r>
              <w:rPr>
                <w:rFonts w:ascii="Calibri" w:hAnsi="Calibri"/>
                <w:b w:val="0"/>
                <w:i w:val="0"/>
                <w:color w:val="212121"/>
                <w:sz w:val="16"/>
              </w:rPr>
              <w:t>All culture-positive cases; treatment failure or travel from Pakistan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&gt;90% of South Asian isolates are fluoroquinolone-non-susceptible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Widal test (anti-O and anti-H agglutinins)</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Low/baseline titres</w:t>
            </w:r>
          </w:p>
        </w:tc>
        <w:tc>
          <w:tcPr>
            <w:tcW w:type="dxa" w:w="950"/>
            <w:vAlign w:val="top"/>
          </w:tcPr>
          <w:p>
            <w:pPr>
              <w:spacing w:after="40" w:before="0" w:line="259" w:lineRule="auto"/>
            </w:pPr>
            <w:r>
              <w:rPr>
                <w:rFonts w:ascii="Calibri" w:hAnsi="Calibri"/>
                <w:b w:val="0"/>
                <w:i w:val="0"/>
                <w:color w:val="212121"/>
                <w:sz w:val="16"/>
              </w:rPr>
              <w:t>High single titre or fourfold rise on paired sera</w:t>
            </w:r>
          </w:p>
        </w:tc>
        <w:tc>
          <w:tcPr>
            <w:tcW w:type="dxa" w:w="1036"/>
            <w:vAlign w:val="top"/>
          </w:tcPr>
          <w:p>
            <w:pPr>
              <w:spacing w:after="40" w:before="0" w:line="259" w:lineRule="auto"/>
            </w:pPr>
            <w:r>
              <w:rPr>
                <w:rFonts w:ascii="Calibri" w:hAnsi="Calibri"/>
                <w:b w:val="0"/>
                <w:i w:val="0"/>
                <w:color w:val="212121"/>
                <w:sz w:val="16"/>
              </w:rPr>
              <w:t>Only supportive; endemic baseline titres and cross-reactivity cause frequent false positives</w:t>
            </w:r>
          </w:p>
        </w:tc>
        <w:tc>
          <w:tcPr>
            <w:tcW w:type="dxa" w:w="1036"/>
            <w:vAlign w:val="top"/>
          </w:tcPr>
          <w:p>
            <w:pPr>
              <w:spacing w:after="40" w:before="0" w:line="259" w:lineRule="auto"/>
            </w:pPr>
            <w:r>
              <w:rPr>
                <w:rFonts w:ascii="Calibri" w:hAnsi="Calibri"/>
                <w:b w:val="0"/>
                <w:i w:val="0"/>
                <w:color w:val="212121"/>
                <w:sz w:val="16"/>
              </w:rPr>
              <w:t>Resource-limited settings without culture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recommended as a stand-alone diagnostic (false positives)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Rapid IgM antibody test (Typhidot / TUBEX)</w:t>
            </w:r>
          </w:p>
        </w:tc>
        <w:tc>
          <w:tcPr>
            <w:tcW w:type="dxa" w:w="892"/>
            <w:vAlign w:val="top"/>
          </w:tcPr>
          <w:p>
            <w:pPr>
              <w:spacing w:after="40" w:before="0" w:line="259" w:lineRule="auto"/>
            </w:pPr>
            <w:r>
              <w:rPr>
                <w:rFonts w:ascii="Calibri" w:hAnsi="Calibri"/>
                <w:b w:val="0"/>
                <w:i w:val="0"/>
                <w:color w:val="212121"/>
                <w:sz w:val="16"/>
              </w:rPr>
              <w:t>Rapid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IgM</w:t>
            </w:r>
          </w:p>
        </w:tc>
        <w:tc>
          <w:tcPr>
            <w:tcW w:type="dxa" w:w="1036"/>
            <w:vAlign w:val="top"/>
          </w:tcPr>
          <w:p>
            <w:pPr>
              <w:spacing w:after="40" w:before="0" w:line="259" w:lineRule="auto"/>
            </w:pPr>
            <w:r>
              <w:rPr>
                <w:rFonts w:ascii="Calibri" w:hAnsi="Calibri"/>
                <w:b w:val="0"/>
                <w:i w:val="0"/>
                <w:color w:val="212121"/>
                <w:sz w:val="16"/>
              </w:rPr>
              <w:t>Point-of-care adjunct; becomes positive earlier than the Widal test</w:t>
            </w:r>
          </w:p>
        </w:tc>
        <w:tc>
          <w:tcPr>
            <w:tcW w:type="dxa" w:w="1036"/>
            <w:vAlign w:val="top"/>
          </w:tcPr>
          <w:p>
            <w:pPr>
              <w:spacing w:after="40" w:before="0" w:line="259" w:lineRule="auto"/>
            </w:pPr>
            <w:r>
              <w:rPr>
                <w:rFonts w:ascii="Calibri" w:hAnsi="Calibri"/>
                <w:b w:val="0"/>
                <w:i w:val="0"/>
                <w:color w:val="212121"/>
                <w:sz w:val="16"/>
              </w:rPr>
              <w:t>Endemic outpatient settings, early illness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Confirm with culture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LFT</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Mild transaminase elevation, mild hyperbilirubinaemia</w:t>
            </w:r>
          </w:p>
        </w:tc>
        <w:tc>
          <w:tcPr>
            <w:tcW w:type="dxa" w:w="1036"/>
            <w:vAlign w:val="top"/>
          </w:tcPr>
          <w:p>
            <w:pPr>
              <w:spacing w:after="40" w:before="0" w:line="259" w:lineRule="auto"/>
            </w:pPr>
            <w:r>
              <w:rPr>
                <w:rFonts w:ascii="Calibri" w:hAnsi="Calibri"/>
                <w:b w:val="0"/>
                <w:i w:val="0"/>
                <w:color w:val="212121"/>
                <w:sz w:val="16"/>
              </w:rPr>
              <w:t>Reactive typhoid hepatitis is common; usually resolves with treatment</w:t>
            </w:r>
          </w:p>
        </w:tc>
        <w:tc>
          <w:tcPr>
            <w:tcW w:type="dxa" w:w="1036"/>
            <w:vAlign w:val="top"/>
          </w:tcPr>
          <w:p>
            <w:pPr>
              <w:spacing w:after="40" w:before="0" w:line="259" w:lineRule="auto"/>
            </w:pPr>
            <w:r>
              <w:rPr>
                <w:rFonts w:ascii="Calibri" w:hAnsi="Calibri"/>
                <w:b w:val="0"/>
                <w:i w:val="0"/>
                <w:color w:val="212121"/>
                <w:sz w:val="16"/>
              </w:rPr>
              <w:t>Prolonged fever with hepatomegaly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Marked derangement should prompt search for alternative diagnoses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and urine culture</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w:t>
            </w:r>
          </w:p>
        </w:tc>
        <w:tc>
          <w:tcPr>
            <w:tcW w:type="dxa" w:w="1036"/>
            <w:vAlign w:val="top"/>
          </w:tcPr>
          <w:p>
            <w:pPr>
              <w:spacing w:after="40" w:before="0" w:line="259" w:lineRule="auto"/>
            </w:pPr>
            <w:r>
              <w:rPr>
                <w:rFonts w:ascii="Calibri" w:hAnsi="Calibri"/>
                <w:b w:val="0"/>
                <w:i w:val="0"/>
                <w:color w:val="212121"/>
                <w:sz w:val="16"/>
              </w:rPr>
              <w:t>Positive later in illness; also used to detect and monitor carriers</w:t>
            </w:r>
          </w:p>
        </w:tc>
        <w:tc>
          <w:tcPr>
            <w:tcW w:type="dxa" w:w="1036"/>
            <w:vAlign w:val="top"/>
          </w:tcPr>
          <w:p>
            <w:pPr>
              <w:spacing w:after="40" w:before="0" w:line="259" w:lineRule="auto"/>
            </w:pPr>
            <w:r>
              <w:rPr>
                <w:rFonts w:ascii="Calibri" w:hAnsi="Calibri"/>
                <w:b w:val="0"/>
                <w:i w:val="0"/>
                <w:color w:val="212121"/>
                <w:sz w:val="16"/>
              </w:rPr>
              <w:t>Convalescents, suspected carriers, food-handlers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Persistent positivity beyond 12 months defines chronic carriage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Prolonged stepwise fever, headache, abdominal pain, anorexia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Sustained fever &gt;= 3-4 days with systemic symptoms</w:t>
            </w:r>
          </w:p>
        </w:tc>
        <w:tc>
          <w:tcPr>
            <w:tcW w:type="dxa" w:w="1036"/>
            <w:vAlign w:val="top"/>
          </w:tcPr>
          <w:p>
            <w:pPr>
              <w:spacing w:after="40" w:before="0" w:line="259" w:lineRule="auto"/>
            </w:pPr>
            <w:r>
              <w:rPr>
                <w:rFonts w:ascii="Calibri" w:hAnsi="Calibri"/>
                <w:b w:val="0"/>
                <w:i w:val="0"/>
                <w:color w:val="212121"/>
                <w:sz w:val="16"/>
              </w:rPr>
              <w:t>Cardinal presentation of enteric fever</w:t>
            </w:r>
          </w:p>
        </w:tc>
        <w:tc>
          <w:tcPr>
            <w:tcW w:type="dxa" w:w="1036"/>
            <w:vAlign w:val="top"/>
          </w:tcPr>
          <w:p>
            <w:pPr>
              <w:spacing w:after="40" w:before="0" w:line="259" w:lineRule="auto"/>
            </w:pPr>
            <w:r>
              <w:rPr>
                <w:rFonts w:ascii="Calibri" w:hAnsi="Calibri"/>
                <w:b w:val="0"/>
                <w:i w:val="0"/>
                <w:color w:val="212121"/>
                <w:sz w:val="16"/>
              </w:rPr>
              <w:t>Endemic residents, returning travellers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Constipation is typical in adults, diarrhoea more common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 travel history</w:t>
            </w:r>
          </w:p>
        </w:tc>
        <w:tc>
          <w:tcPr>
            <w:tcW w:type="dxa" w:w="979"/>
            <w:vAlign w:val="top"/>
          </w:tcPr>
          <w:p>
            <w:pPr>
              <w:spacing w:after="40" w:before="0" w:line="259" w:lineRule="auto"/>
            </w:pPr>
            <w:r>
              <w:rPr>
                <w:rFonts w:ascii="Calibri" w:hAnsi="Calibri"/>
                <w:b w:val="0"/>
                <w:i w:val="0"/>
                <w:color w:val="212121"/>
                <w:sz w:val="16"/>
              </w:rPr>
              <w:t>Unsafe water or food, endemic residence, recent South Asia travel</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Endemic exposure present</w:t>
            </w:r>
          </w:p>
        </w:tc>
        <w:tc>
          <w:tcPr>
            <w:tcW w:type="dxa" w:w="1036"/>
            <w:vAlign w:val="top"/>
          </w:tcPr>
          <w:p>
            <w:pPr>
              <w:spacing w:after="40" w:before="0" w:line="259" w:lineRule="auto"/>
            </w:pPr>
            <w:r>
              <w:rPr>
                <w:rFonts w:ascii="Calibri" w:hAnsi="Calibri"/>
                <w:b w:val="0"/>
                <w:i w:val="0"/>
                <w:color w:val="212121"/>
                <w:sz w:val="16"/>
              </w:rPr>
              <w:t>Establishes pre-test probability and guides empiric therapy</w:t>
            </w:r>
          </w:p>
        </w:tc>
        <w:tc>
          <w:tcPr>
            <w:tcW w:type="dxa" w:w="1036"/>
            <w:vAlign w:val="top"/>
          </w:tcPr>
          <w:p>
            <w:pPr>
              <w:spacing w:after="40" w:before="0" w:line="259" w:lineRule="auto"/>
            </w:pPr>
            <w:r>
              <w:rPr>
                <w:rFonts w:ascii="Calibri" w:hAnsi="Calibri"/>
                <w:b w:val="0"/>
                <w:i w:val="0"/>
                <w:color w:val="212121"/>
                <w:sz w:val="16"/>
              </w:rPr>
              <w:t>Travellers/VFR, slum residents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~85% of traveller cases are acquired in South Asia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pattern and duration</w:t>
            </w:r>
          </w:p>
        </w:tc>
        <w:tc>
          <w:tcPr>
            <w:tcW w:type="dxa" w:w="979"/>
            <w:vAlign w:val="top"/>
          </w:tcPr>
          <w:p>
            <w:pPr>
              <w:spacing w:after="40" w:before="0" w:line="259" w:lineRule="auto"/>
            </w:pPr>
            <w:r>
              <w:rPr>
                <w:rFonts w:ascii="Calibri" w:hAnsi="Calibri"/>
                <w:b w:val="0"/>
                <w:i w:val="0"/>
                <w:color w:val="212121"/>
                <w:sz w:val="16"/>
              </w:rPr>
              <w:t>Stepladder rise; failure to defervesce</w:t>
            </w:r>
          </w:p>
        </w:tc>
        <w:tc>
          <w:tcPr>
            <w:tcW w:type="dxa" w:w="950"/>
            <w:vAlign w:val="top"/>
          </w:tcPr>
          <w:p>
            <w:pPr>
              <w:spacing w:after="40" w:before="0" w:line="259" w:lineRule="auto"/>
            </w:pPr>
            <w:r>
              <w:rPr>
                <w:rFonts w:ascii="Calibri" w:hAnsi="Calibri"/>
                <w:b w:val="0"/>
                <w:i w:val="0"/>
                <w:color w:val="212121"/>
                <w:sz w:val="16"/>
              </w:rPr>
              <w:t>Short, self-limited fever</w:t>
            </w:r>
          </w:p>
        </w:tc>
        <w:tc>
          <w:tcPr>
            <w:tcW w:type="dxa" w:w="950"/>
            <w:vAlign w:val="top"/>
          </w:tcPr>
          <w:p>
            <w:pPr>
              <w:spacing w:after="40" w:before="0" w:line="259" w:lineRule="auto"/>
            </w:pPr>
            <w:r>
              <w:rPr>
                <w:rFonts w:ascii="Calibri" w:hAnsi="Calibri"/>
                <w:b w:val="0"/>
                <w:i w:val="0"/>
                <w:color w:val="212121"/>
                <w:sz w:val="16"/>
              </w:rPr>
              <w:t>Sustained or stepladder fever beyond one week</w:t>
            </w:r>
          </w:p>
        </w:tc>
        <w:tc>
          <w:tcPr>
            <w:tcW w:type="dxa" w:w="1036"/>
            <w:vAlign w:val="top"/>
          </w:tcPr>
          <w:p>
            <w:pPr>
              <w:spacing w:after="40" w:before="0" w:line="259" w:lineRule="auto"/>
            </w:pPr>
            <w:r>
              <w:rPr>
                <w:rFonts w:ascii="Calibri" w:hAnsi="Calibri"/>
                <w:b w:val="0"/>
                <w:i w:val="0"/>
                <w:color w:val="212121"/>
                <w:sz w:val="16"/>
              </w:rPr>
              <w:t>Helps distinguish enteric fever from other acute febrile illnesses</w:t>
            </w:r>
          </w:p>
        </w:tc>
        <w:tc>
          <w:tcPr>
            <w:tcW w:type="dxa" w:w="1036"/>
            <w:vAlign w:val="top"/>
          </w:tcPr>
          <w:p>
            <w:pPr>
              <w:spacing w:after="40" w:before="0" w:line="259" w:lineRule="auto"/>
            </w:pPr>
            <w:r>
              <w:rPr>
                <w:rFonts w:ascii="Calibri" w:hAnsi="Calibri"/>
                <w:b w:val="0"/>
                <w:i w:val="0"/>
                <w:color w:val="212121"/>
                <w:sz w:val="16"/>
              </w:rPr>
              <w:t>Patients with prolonged fever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Clinically overlaps with malaria and dengue in India - test for these too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Hepatosplenomegaly, tenderness, guarding</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Hepatomegaly/splenomegaly, tenderness; rigidity suggests perforation</w:t>
            </w:r>
          </w:p>
        </w:tc>
        <w:tc>
          <w:tcPr>
            <w:tcW w:type="dxa" w:w="1036"/>
            <w:vAlign w:val="top"/>
          </w:tcPr>
          <w:p>
            <w:pPr>
              <w:spacing w:after="40" w:before="0" w:line="259" w:lineRule="auto"/>
            </w:pPr>
            <w:r>
              <w:rPr>
                <w:rFonts w:ascii="Calibri" w:hAnsi="Calibri"/>
                <w:b w:val="0"/>
                <w:i w:val="0"/>
                <w:color w:val="212121"/>
                <w:sz w:val="16"/>
              </w:rPr>
              <w:t>Splenomegaly is common; board-like rigidity signals a surgical emergency</w:t>
            </w:r>
          </w:p>
        </w:tc>
        <w:tc>
          <w:tcPr>
            <w:tcW w:type="dxa" w:w="1036"/>
            <w:vAlign w:val="top"/>
          </w:tcPr>
          <w:p>
            <w:pPr>
              <w:spacing w:after="40" w:before="0" w:line="259" w:lineRule="auto"/>
            </w:pPr>
            <w:r>
              <w:rPr>
                <w:rFonts w:ascii="Calibri" w:hAnsi="Calibri"/>
                <w:b w:val="0"/>
                <w:i w:val="0"/>
                <w:color w:val="212121"/>
                <w:sz w:val="16"/>
              </w:rPr>
              <w:t>Week 2-3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Hepatosplenomegaly reported in ~29-50%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Skin examination (rose spots)</w:t>
            </w:r>
          </w:p>
        </w:tc>
        <w:tc>
          <w:tcPr>
            <w:tcW w:type="dxa" w:w="979"/>
            <w:vAlign w:val="top"/>
          </w:tcPr>
          <w:p>
            <w:pPr>
              <w:spacing w:after="40" w:before="0" w:line="259" w:lineRule="auto"/>
            </w:pPr>
            <w:r>
              <w:rPr>
                <w:rFonts w:ascii="Calibri" w:hAnsi="Calibri"/>
                <w:b w:val="0"/>
                <w:i w:val="0"/>
                <w:color w:val="212121"/>
                <w:sz w:val="16"/>
              </w:rPr>
              <w:t>Blanching rose-pink macules on trunk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Rose spots present</w:t>
            </w:r>
          </w:p>
        </w:tc>
        <w:tc>
          <w:tcPr>
            <w:tcW w:type="dxa" w:w="1036"/>
            <w:vAlign w:val="top"/>
          </w:tcPr>
          <w:p>
            <w:pPr>
              <w:spacing w:after="40" w:before="0" w:line="259" w:lineRule="auto"/>
            </w:pPr>
            <w:r>
              <w:rPr>
                <w:rFonts w:ascii="Calibri" w:hAnsi="Calibri"/>
                <w:b w:val="0"/>
                <w:i w:val="0"/>
                <w:color w:val="212121"/>
                <w:sz w:val="16"/>
              </w:rPr>
              <w:t>Specific but insensitive sign of enteric fever</w:t>
            </w:r>
          </w:p>
        </w:tc>
        <w:tc>
          <w:tcPr>
            <w:tcW w:type="dxa" w:w="1036"/>
            <w:vAlign w:val="top"/>
          </w:tcPr>
          <w:p>
            <w:pPr>
              <w:spacing w:after="40" w:before="0" w:line="259" w:lineRule="auto"/>
            </w:pPr>
            <w:r>
              <w:rPr>
                <w:rFonts w:ascii="Calibri" w:hAnsi="Calibri"/>
                <w:b w:val="0"/>
                <w:i w:val="0"/>
                <w:color w:val="212121"/>
                <w:sz w:val="16"/>
              </w:rPr>
              <w:t>Fair-skinned patients, week 1-2</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Seen in fewer than a quarter of patients and often missed on dark skin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Pulse-temperature relationship</w:t>
            </w:r>
          </w:p>
        </w:tc>
        <w:tc>
          <w:tcPr>
            <w:tcW w:type="dxa" w:w="979"/>
            <w:vAlign w:val="top"/>
          </w:tcPr>
          <w:p>
            <w:pPr>
              <w:spacing w:after="40" w:before="0" w:line="259" w:lineRule="auto"/>
            </w:pPr>
            <w:r>
              <w:rPr>
                <w:rFonts w:ascii="Calibri" w:hAnsi="Calibri"/>
                <w:b w:val="0"/>
                <w:i w:val="0"/>
                <w:color w:val="212121"/>
                <w:sz w:val="16"/>
              </w:rPr>
              <w:t>Relative bradycardia (Faget sign)</w:t>
            </w:r>
          </w:p>
        </w:tc>
        <w:tc>
          <w:tcPr>
            <w:tcW w:type="dxa" w:w="950"/>
            <w:vAlign w:val="top"/>
          </w:tcPr>
          <w:p>
            <w:pPr>
              <w:spacing w:after="40" w:before="0" w:line="259" w:lineRule="auto"/>
            </w:pPr>
            <w:r>
              <w:rPr>
                <w:rFonts w:ascii="Calibri" w:hAnsi="Calibri"/>
                <w:b w:val="0"/>
                <w:i w:val="0"/>
                <w:color w:val="212121"/>
                <w:sz w:val="16"/>
              </w:rPr>
              <w:t>Pulse rises appropriately with fever</w:t>
            </w:r>
          </w:p>
        </w:tc>
        <w:tc>
          <w:tcPr>
            <w:tcW w:type="dxa" w:w="950"/>
            <w:vAlign w:val="top"/>
          </w:tcPr>
          <w:p>
            <w:pPr>
              <w:spacing w:after="40" w:before="0" w:line="259" w:lineRule="auto"/>
            </w:pPr>
            <w:r>
              <w:rPr>
                <w:rFonts w:ascii="Calibri" w:hAnsi="Calibri"/>
                <w:b w:val="0"/>
                <w:i w:val="0"/>
                <w:color w:val="212121"/>
                <w:sz w:val="16"/>
              </w:rPr>
              <w:t>Pulse inappropriately low for the degree of fever</w:t>
            </w:r>
          </w:p>
        </w:tc>
        <w:tc>
          <w:tcPr>
            <w:tcW w:type="dxa" w:w="1036"/>
            <w:vAlign w:val="top"/>
          </w:tcPr>
          <w:p>
            <w:pPr>
              <w:spacing w:after="40" w:before="0" w:line="259" w:lineRule="auto"/>
            </w:pPr>
            <w:r>
              <w:rPr>
                <w:rFonts w:ascii="Calibri" w:hAnsi="Calibri"/>
                <w:b w:val="0"/>
                <w:i w:val="0"/>
                <w:color w:val="212121"/>
                <w:sz w:val="16"/>
              </w:rPr>
              <w:t>Classic but inconsistent sign of enteric fever</w:t>
            </w:r>
          </w:p>
        </w:tc>
        <w:tc>
          <w:tcPr>
            <w:tcW w:type="dxa" w:w="1036"/>
            <w:vAlign w:val="top"/>
          </w:tcPr>
          <w:p>
            <w:pPr>
              <w:spacing w:after="40" w:before="0" w:line="259" w:lineRule="auto"/>
            </w:pPr>
            <w:r>
              <w:rPr>
                <w:rFonts w:ascii="Calibri" w:hAnsi="Calibri"/>
                <w:b w:val="0"/>
                <w:i w:val="0"/>
                <w:color w:val="212121"/>
                <w:sz w:val="16"/>
              </w:rPr>
              <w:t>Febrile enteric-fever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seen in other intracellular infections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 mental status</w:t>
            </w:r>
          </w:p>
        </w:tc>
        <w:tc>
          <w:tcPr>
            <w:tcW w:type="dxa" w:w="979"/>
            <w:vAlign w:val="top"/>
          </w:tcPr>
          <w:p>
            <w:pPr>
              <w:spacing w:after="40" w:before="0" w:line="259" w:lineRule="auto"/>
            </w:pPr>
            <w:r>
              <w:rPr>
                <w:rFonts w:ascii="Calibri" w:hAnsi="Calibri"/>
                <w:b w:val="0"/>
                <w:i w:val="0"/>
                <w:color w:val="212121"/>
                <w:sz w:val="16"/>
              </w:rPr>
              <w:t>Coated tongue, apathy, level of consciousness</w:t>
            </w:r>
          </w:p>
        </w:tc>
        <w:tc>
          <w:tcPr>
            <w:tcW w:type="dxa" w:w="950"/>
            <w:vAlign w:val="top"/>
          </w:tcPr>
          <w:p>
            <w:pPr>
              <w:spacing w:after="40" w:before="0" w:line="259" w:lineRule="auto"/>
            </w:pPr>
            <w:r>
              <w:rPr>
                <w:rFonts w:ascii="Calibri" w:hAnsi="Calibri"/>
                <w:b w:val="0"/>
                <w:i w:val="0"/>
                <w:color w:val="212121"/>
                <w:sz w:val="16"/>
              </w:rPr>
              <w:t>Alert and oriented</w:t>
            </w:r>
          </w:p>
        </w:tc>
        <w:tc>
          <w:tcPr>
            <w:tcW w:type="dxa" w:w="950"/>
            <w:vAlign w:val="top"/>
          </w:tcPr>
          <w:p>
            <w:pPr>
              <w:spacing w:after="40" w:before="0" w:line="259" w:lineRule="auto"/>
            </w:pPr>
            <w:r>
              <w:rPr>
                <w:rFonts w:ascii="Calibri" w:hAnsi="Calibri"/>
                <w:b w:val="0"/>
                <w:i w:val="0"/>
                <w:color w:val="212121"/>
                <w:sz w:val="16"/>
              </w:rPr>
              <w:t>Delirium or obtundation ('typhoid state')</w:t>
            </w:r>
          </w:p>
        </w:tc>
        <w:tc>
          <w:tcPr>
            <w:tcW w:type="dxa" w:w="1036"/>
            <w:vAlign w:val="top"/>
          </w:tcPr>
          <w:p>
            <w:pPr>
              <w:spacing w:after="40" w:before="0" w:line="259" w:lineRule="auto"/>
            </w:pPr>
            <w:r>
              <w:rPr>
                <w:rFonts w:ascii="Calibri" w:hAnsi="Calibri"/>
                <w:b w:val="0"/>
                <w:i w:val="0"/>
                <w:color w:val="212121"/>
                <w:sz w:val="16"/>
              </w:rPr>
              <w:t>Encephalopathy marks severe disease and higher mortality</w:t>
            </w:r>
          </w:p>
        </w:tc>
        <w:tc>
          <w:tcPr>
            <w:tcW w:type="dxa" w:w="1036"/>
            <w:vAlign w:val="top"/>
          </w:tcPr>
          <w:p>
            <w:pPr>
              <w:spacing w:after="40" w:before="0" w:line="259" w:lineRule="auto"/>
            </w:pPr>
            <w:r>
              <w:rPr>
                <w:rFonts w:ascii="Calibri" w:hAnsi="Calibri"/>
                <w:b w:val="0"/>
                <w:i w:val="0"/>
                <w:color w:val="212121"/>
                <w:sz w:val="16"/>
              </w:rPr>
              <w:t>Severe or late-presenting cases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Altered sensorium requires urgent inpatient care; reported in about a quarter of hospitalised cases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fever (stepwise rise)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consistent feature; fever climbs over several days to 39-40 C and is sustained if untreated.</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often frontal, and near-universal in the first week.</w:t>
            </w:r>
          </w:p>
        </w:tc>
      </w:tr>
      <w:tr>
        <w:trPr>
          <w:cantSplit/>
        </w:trPr>
        <w:tc>
          <w:tcPr>
            <w:tcW w:type="dxa" w:w="2304"/>
            <w:vAlign w:val="top"/>
          </w:tcPr>
          <w:p>
            <w:pPr>
              <w:spacing w:after="40" w:before="0" w:line="259" w:lineRule="auto"/>
            </w:pPr>
            <w:r>
              <w:rPr>
                <w:rFonts w:ascii="Calibri" w:hAnsi="Calibri"/>
                <w:b/>
                <w:i w:val="0"/>
                <w:color w:val="212121"/>
                <w:sz w:val="19"/>
              </w:rPr>
              <w:t>Malaise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weakness and lethargy accompany the systemic illness.</w:t>
            </w:r>
          </w:p>
        </w:tc>
      </w:tr>
      <w:tr>
        <w:trPr>
          <w:cantSplit/>
        </w:trPr>
        <w:tc>
          <w:tcPr>
            <w:tcW w:type="dxa" w:w="2304"/>
            <w:vAlign w:val="top"/>
          </w:tcPr>
          <w:p>
            <w:pPr>
              <w:spacing w:after="40" w:before="0" w:line="259" w:lineRule="auto"/>
            </w:pPr>
            <w:r>
              <w:rPr>
                <w:rFonts w:ascii="Calibri" w:hAnsi="Calibri"/>
                <w:b/>
                <w:i w:val="0"/>
                <w:color w:val="212121"/>
                <w:sz w:val="19"/>
              </w:rPr>
              <w:t>Anorexia (loss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and near-universal; contributes to weight loss and catabolism.</w:t>
            </w:r>
          </w:p>
        </w:tc>
      </w:tr>
      <w:tr>
        <w:trPr>
          <w:cantSplit/>
        </w:trPr>
        <w:tc>
          <w:tcPr>
            <w:tcW w:type="dxa" w:w="2304"/>
            <w:vAlign w:val="top"/>
          </w:tcPr>
          <w:p>
            <w:pPr>
              <w:spacing w:after="40" w:before="0" w:line="259" w:lineRule="auto"/>
            </w:pPr>
            <w:r>
              <w:rPr>
                <w:rFonts w:ascii="Calibri" w:hAnsi="Calibri"/>
                <w:b/>
                <w:i w:val="0"/>
                <w:color w:val="212121"/>
                <w:sz w:val="19"/>
              </w:rPr>
              <w:t>Abdominal pain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or right-iliac-fossa discomfort from bowel and lymphoid involvement.</w:t>
            </w:r>
          </w:p>
        </w:tc>
      </w:tr>
      <w:tr>
        <w:trPr>
          <w:cantSplit/>
        </w:trPr>
        <w:tc>
          <w:tcPr>
            <w:tcW w:type="dxa" w:w="2304"/>
            <w:vAlign w:val="top"/>
          </w:tcPr>
          <w:p>
            <w:pPr>
              <w:spacing w:after="40" w:before="0" w:line="259" w:lineRule="auto"/>
            </w:pPr>
            <w:r>
              <w:rPr>
                <w:rFonts w:ascii="Calibri" w:hAnsi="Calibri"/>
                <w:b/>
                <w:i w:val="0"/>
                <w:color w:val="212121"/>
                <w:sz w:val="19"/>
              </w:rPr>
              <w:t>Constipation (adults) or diarrhoea (children)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Bowel habit is disturbed; constipation typical in adults, 'pea-soup' diarrhoea more common in children.</w:t>
            </w:r>
          </w:p>
        </w:tc>
      </w:tr>
      <w:tr>
        <w:trPr>
          <w:cantSplit/>
        </w:trPr>
        <w:tc>
          <w:tcPr>
            <w:tcW w:type="dxa" w:w="2304"/>
            <w:vAlign w:val="top"/>
          </w:tcPr>
          <w:p>
            <w:pPr>
              <w:spacing w:after="40" w:before="0" w:line="259" w:lineRule="auto"/>
            </w:pPr>
            <w:r>
              <w:rPr>
                <w:rFonts w:ascii="Calibri" w:hAnsi="Calibri"/>
                <w:b/>
                <w:i w:val="0"/>
                <w:color w:val="212121"/>
                <w:sz w:val="19"/>
              </w:rPr>
              <w:t>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non-productive cough is a frequent early accompaniment.</w:t>
            </w:r>
          </w:p>
        </w:tc>
      </w:tr>
      <w:tr>
        <w:trPr>
          <w:cantSplit/>
        </w:trPr>
        <w:tc>
          <w:tcPr>
            <w:tcW w:type="dxa" w:w="2304"/>
            <w:vAlign w:val="top"/>
          </w:tcPr>
          <w:p>
            <w:pPr>
              <w:spacing w:after="40" w:before="0" w:line="259" w:lineRule="auto"/>
            </w:pPr>
            <w:r>
              <w:rPr>
                <w:rFonts w:ascii="Calibri" w:hAnsi="Calibri"/>
                <w:b/>
                <w:i w:val="0"/>
                <w:color w:val="212121"/>
                <w:sz w:val="19"/>
              </w:rPr>
              <w:t>Generalized body ache /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muscle aches are usual during the febrile phase.</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anorexia and abdominal discomfort.</w:t>
            </w:r>
          </w:p>
        </w:tc>
      </w:tr>
      <w:tr>
        <w:trPr>
          <w:cantSplit/>
        </w:trPr>
        <w:tc>
          <w:tcPr>
            <w:tcW w:type="dxa" w:w="2304"/>
            <w:vAlign w:val="top"/>
          </w:tcPr>
          <w:p>
            <w:pPr>
              <w:spacing w:after="40" w:before="0" w:line="259" w:lineRule="auto"/>
            </w:pPr>
            <w:r>
              <w:rPr>
                <w:rFonts w:ascii="Calibri" w:hAnsi="Calibri"/>
                <w:b/>
                <w:i w:val="0"/>
                <w:color w:val="212121"/>
                <w:sz w:val="19"/>
              </w:rPr>
              <w:t>Rose-coloured rash on trunk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Crops of blanching rose-pink macules; present in fewer than a quarter of patients.</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frequent in children and in complicated disease.</w:t>
            </w:r>
          </w:p>
        </w:tc>
      </w:tr>
      <w:tr>
        <w:trPr>
          <w:cantSplit/>
        </w:trPr>
        <w:tc>
          <w:tcPr>
            <w:tcW w:type="dxa" w:w="2304"/>
            <w:vAlign w:val="top"/>
          </w:tcPr>
          <w:p>
            <w:pPr>
              <w:spacing w:after="40" w:before="0" w:line="259" w:lineRule="auto"/>
            </w:pPr>
            <w:r>
              <w:rPr>
                <w:rFonts w:ascii="Calibri" w:hAnsi="Calibri"/>
                <w:b/>
                <w:i w:val="0"/>
                <w:color w:val="212121"/>
                <w:sz w:val="19"/>
              </w:rPr>
              <w:t>Confusion / delirium ('typhoid state')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Apathy, delirium or obtundation indicating encephalopathy and severe disease.</w:t>
            </w:r>
          </w:p>
        </w:tc>
      </w:tr>
      <w:tr>
        <w:trPr>
          <w:cantSplit/>
        </w:trPr>
        <w:tc>
          <w:tcPr>
            <w:tcW w:type="dxa" w:w="2304"/>
            <w:vAlign w:val="top"/>
          </w:tcPr>
          <w:p>
            <w:pPr>
              <w:spacing w:after="40" w:before="0" w:line="259" w:lineRule="auto"/>
            </w:pPr>
            <w:r>
              <w:rPr>
                <w:rFonts w:ascii="Calibri" w:hAnsi="Calibri"/>
                <w:b/>
                <w:i w:val="0"/>
                <w:color w:val="212121"/>
                <w:sz w:val="19"/>
              </w:rPr>
              <w:t>Gastrointestinal bleeding (melaena / haematochezia)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Peyer's-patch ulceration, typically in the third week.</w:t>
            </w:r>
          </w:p>
        </w:tc>
      </w:tr>
      <w:tr>
        <w:trPr>
          <w:cantSplit/>
        </w:trPr>
        <w:tc>
          <w:tcPr>
            <w:tcW w:type="dxa" w:w="2304"/>
            <w:vAlign w:val="top"/>
          </w:tcPr>
          <w:p>
            <w:pPr>
              <w:spacing w:after="40" w:before="0" w:line="259" w:lineRule="auto"/>
            </w:pPr>
            <w:r>
              <w:rPr>
                <w:rFonts w:ascii="Calibri" w:hAnsi="Calibri"/>
                <w:b/>
                <w:i w:val="0"/>
                <w:color w:val="212121"/>
                <w:sz w:val="19"/>
              </w:rPr>
              <w:t>Sudden severe 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Abrupt worsening suggests intestinal perforation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Sustained / stepladder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persistent pyrexia with a classic stepwise rise over the first week.</w:t>
            </w:r>
          </w:p>
        </w:tc>
      </w:tr>
      <w:tr>
        <w:trPr>
          <w:cantSplit/>
        </w:trPr>
        <w:tc>
          <w:tcPr>
            <w:tcW w:type="dxa" w:w="3456"/>
            <w:vAlign w:val="top"/>
          </w:tcPr>
          <w:p>
            <w:pPr>
              <w:spacing w:after="40" w:before="0" w:line="259" w:lineRule="auto"/>
            </w:pPr>
            <w:r>
              <w:rPr>
                <w:rFonts w:ascii="Calibri" w:hAnsi="Calibri"/>
                <w:b/>
                <w:i w:val="0"/>
                <w:color w:val="212121"/>
                <w:sz w:val="19"/>
              </w:rPr>
              <w:t>Coated (furred) tongue with red edges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characteristic though non-specific finding in enteric fever.</w:t>
            </w:r>
          </w:p>
        </w:tc>
      </w:tr>
      <w:tr>
        <w:trPr>
          <w:cantSplit/>
        </w:trPr>
        <w:tc>
          <w:tcPr>
            <w:tcW w:type="dxa" w:w="3456"/>
            <w:vAlign w:val="top"/>
          </w:tcPr>
          <w:p>
            <w:pPr>
              <w:spacing w:after="40" w:before="0" w:line="259" w:lineRule="auto"/>
            </w:pPr>
            <w:r>
              <w:rPr>
                <w:rFonts w:ascii="Calibri" w:hAnsi="Calibri"/>
                <w:b/>
                <w:i w:val="0"/>
                <w:color w:val="212121"/>
                <w:sz w:val="19"/>
              </w:rPr>
              <w:t>Relative bradycardia (Faget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Pulse inappropriately slow for the height of the fever.</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mildly enlarged spleen, usually palpable in the second week.</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liver enlargement reflecting reticuloendothelial involvement; hepatosplenomegaly in ~29-50%.</w:t>
            </w:r>
          </w:p>
        </w:tc>
      </w:tr>
      <w:tr>
        <w:trPr>
          <w:cantSplit/>
        </w:trPr>
        <w:tc>
          <w:tcPr>
            <w:tcW w:type="dxa" w:w="3456"/>
            <w:vAlign w:val="top"/>
          </w:tcPr>
          <w:p>
            <w:pPr>
              <w:spacing w:after="40" w:before="0" w:line="259" w:lineRule="auto"/>
            </w:pPr>
            <w:r>
              <w:rPr>
                <w:rFonts w:ascii="Calibri" w:hAnsi="Calibri"/>
                <w:b/>
                <w:i w:val="0"/>
                <w:color w:val="212121"/>
                <w:sz w:val="19"/>
              </w:rPr>
              <w:t>Abdominal tenderness / distension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or right-iliac-fossa tenderness with mild distension.</w:t>
            </w:r>
          </w:p>
        </w:tc>
      </w:tr>
      <w:tr>
        <w:trPr>
          <w:cantSplit/>
        </w:trPr>
        <w:tc>
          <w:tcPr>
            <w:tcW w:type="dxa" w:w="3456"/>
            <w:vAlign w:val="top"/>
          </w:tcPr>
          <w:p>
            <w:pPr>
              <w:spacing w:after="40" w:before="0" w:line="259" w:lineRule="auto"/>
            </w:pPr>
            <w:r>
              <w:rPr>
                <w:rFonts w:ascii="Calibri" w:hAnsi="Calibri"/>
                <w:b/>
                <w:i w:val="0"/>
                <w:color w:val="212121"/>
                <w:sz w:val="19"/>
              </w:rPr>
              <w:t>Rose spots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2-4 mm blanching macules in crops on the trunk; specific but present in &lt;25%.</w:t>
            </w:r>
          </w:p>
        </w:tc>
      </w:tr>
      <w:tr>
        <w:trPr>
          <w:cantSplit/>
        </w:trPr>
        <w:tc>
          <w:tcPr>
            <w:tcW w:type="dxa" w:w="3456"/>
            <w:vAlign w:val="top"/>
          </w:tcPr>
          <w:p>
            <w:pPr>
              <w:spacing w:after="40" w:before="0" w:line="259" w:lineRule="auto"/>
            </w:pPr>
            <w:r>
              <w:rPr>
                <w:rFonts w:ascii="Calibri" w:hAnsi="Calibri"/>
                <w:b/>
                <w:i w:val="0"/>
                <w:color w:val="212121"/>
                <w:sz w:val="19"/>
              </w:rPr>
              <w:t>Toxic / apathetic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dull, toxic appearance in more advanced disease.</w:t>
            </w:r>
          </w:p>
        </w:tc>
      </w:tr>
      <w:tr>
        <w:trPr>
          <w:cantSplit/>
        </w:trPr>
        <w:tc>
          <w:tcPr>
            <w:tcW w:type="dxa" w:w="3456"/>
            <w:vAlign w:val="top"/>
          </w:tcPr>
          <w:p>
            <w:pPr>
              <w:spacing w:after="40" w:before="0" w:line="259" w:lineRule="auto"/>
            </w:pPr>
            <w:r>
              <w:rPr>
                <w:rFonts w:ascii="Calibri" w:hAnsi="Calibri"/>
                <w:b/>
                <w:i w:val="0"/>
                <w:color w:val="212121"/>
                <w:sz w:val="19"/>
              </w:rPr>
              <w:t>Altered sensorium / typhoid encephalopathy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Delirium or reduced consciousness marking severe disease; up to about a quarter of hospitalised cases.</w:t>
            </w:r>
          </w:p>
        </w:tc>
      </w:tr>
      <w:tr>
        <w:trPr>
          <w:cantSplit/>
        </w:trPr>
        <w:tc>
          <w:tcPr>
            <w:tcW w:type="dxa" w:w="3456"/>
            <w:vAlign w:val="top"/>
          </w:tcPr>
          <w:p>
            <w:pPr>
              <w:spacing w:after="40" w:before="0" w:line="259" w:lineRule="auto"/>
            </w:pPr>
            <w:r>
              <w:rPr>
                <w:rFonts w:ascii="Calibri" w:hAnsi="Calibri"/>
                <w:b/>
                <w:i w:val="0"/>
                <w:color w:val="212121"/>
                <w:sz w:val="19"/>
              </w:rPr>
              <w:t>Signs of intestinal perforation / peritonitis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Board-like rigidity, rebound tenderness and absent bowel sounds - a surgical emergency, typically week 3.</w:t>
            </w:r>
          </w:p>
        </w:tc>
      </w:tr>
      <w:tr>
        <w:trPr>
          <w:cantSplit/>
        </w:trPr>
        <w:tc>
          <w:tcPr>
            <w:tcW w:type="dxa" w:w="3456"/>
            <w:vAlign w:val="top"/>
          </w:tcPr>
          <w:p>
            <w:pPr>
              <w:spacing w:after="40" w:before="0" w:line="259" w:lineRule="auto"/>
            </w:pPr>
            <w:r>
              <w:rPr>
                <w:rFonts w:ascii="Calibri" w:hAnsi="Calibri"/>
                <w:b/>
                <w:i w:val="0"/>
                <w:color w:val="212121"/>
                <w:sz w:val="19"/>
              </w:rPr>
              <w:t>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Mild icterus from typhoid hepatitis or, occasionally, associated haemolysis.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Sustained high-grade fever and systemic toxaemia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poorly-responsive illness due to multidrug-resistant (MDR) or extensively drug-resistant (XDR) infection</w:t>
            </w:r>
          </w:p>
        </w:tc>
        <w:tc>
          <w:tcPr>
            <w:tcW w:type="dxa" w:w="2980"/>
            <w:vAlign w:val="top"/>
          </w:tcPr>
          <w:p>
            <w:pPr>
              <w:spacing w:after="40" w:before="0" w:line="259" w:lineRule="auto"/>
            </w:pPr>
            <w:r>
              <w:rPr>
                <w:rFonts w:ascii="Calibri" w:hAnsi="Calibri"/>
                <w:b w:val="0"/>
                <w:i w:val="0"/>
                <w:color w:val="212121"/>
                <w:sz w:val="19"/>
              </w:rPr>
              <w:t>Direct consequences of ongoing bacteraemia and, increasingly, of drug-resistant organisms that delay effective treatment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perforation (usually terminal ileum) - about 1.3% of hospitalised confirmed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haemorrhage from Peyer's-patch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Typhoid encephalopathy / delirium - up to about a quarter of hospitalised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Typhoid hepatitis and acute cholecystitis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Pneumonia and bronchitis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 and disseminated intravascular coagulation</w:t>
            </w:r>
          </w:p>
        </w:tc>
        <w:tc>
          <w:tcPr>
            <w:tcW w:type="dxa" w:w="2980"/>
            <w:vAlign w:val="top"/>
          </w:tcPr>
          <w:p>
            <w:pPr>
              <w:spacing w:after="40" w:before="0" w:line="259" w:lineRule="auto"/>
            </w:pPr>
            <w:r>
              <w:rPr>
                <w:rFonts w:ascii="Calibri" w:hAnsi="Calibri"/>
                <w:b w:val="0"/>
                <w:i w:val="0"/>
                <w:color w:val="212121"/>
                <w:sz w:val="19"/>
              </w:rPr>
              <w:t>Result from systemic dissemination and necrosis of gut-associated lymphoid tissue during the second-to-third week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biliary carriage (persistent shedding for &gt; 12 months in 1-4% of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carcinoma in long-standing chronic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of infection after apparent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Post-perforation peritonitis with its attendant morbidity and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Focal metastatic infections (osteomyelitis, deep abscesses, meningitis)</w:t>
            </w:r>
          </w:p>
        </w:tc>
        <w:tc>
          <w:tcPr>
            <w:tcW w:type="dxa" w:w="2980"/>
            <w:vAlign w:val="top"/>
          </w:tcPr>
          <w:p>
            <w:pPr>
              <w:spacing w:after="40" w:before="0" w:line="259" w:lineRule="auto"/>
            </w:pPr>
            <w:r>
              <w:rPr>
                <w:rFonts w:ascii="Calibri" w:hAnsi="Calibri"/>
                <w:b w:val="0"/>
                <w:i w:val="0"/>
                <w:color w:val="212121"/>
                <w:sz w:val="19"/>
              </w:rPr>
              <w:t>Long-term and potentially irreversible sequelae of chronic carriage and of severe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biliary (gallbladder) carriage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1-4% of cases shed Salmonella Typhi in bile for more than 12 months, forming the key human reservoir that sustains transmission.</w:t>
            </w:r>
          </w:p>
          <w:p>
            <w:pPr>
              <w:spacing w:after="40" w:before="0" w:line="259" w:lineRule="auto"/>
            </w:pPr>
            <w:r>
              <w:rPr>
                <w:rFonts w:ascii="Calibri" w:hAnsi="Calibri"/>
                <w:b/>
                <w:i w:val="0"/>
                <w:color w:val="212121"/>
                <w:sz w:val="19"/>
              </w:rPr>
              <w:t>1%-4%</w:t>
            </w:r>
          </w:p>
        </w:tc>
      </w:tr>
      <w:tr>
        <w:trPr>
          <w:cantSplit/>
        </w:trPr>
        <w:tc>
          <w:tcPr>
            <w:tcW w:type="dxa" w:w="2232"/>
            <w:vAlign w:val="top"/>
          </w:tcPr>
          <w:p>
            <w:pPr>
              <w:spacing w:after="40" w:before="0" w:line="259" w:lineRule="auto"/>
            </w:pPr>
            <w:r>
              <w:rPr>
                <w:rFonts w:ascii="Calibri" w:hAnsi="Calibri"/>
                <w:b/>
                <w:i w:val="0"/>
                <w:color w:val="212121"/>
                <w:sz w:val="19"/>
              </w:rPr>
              <w:t>Cholelithiasis (gallstones)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Gallstones provide a biofilm niche in the gallbladder that promotes chronic carriage; cholecystectomy is sometimes needed to clear it.</w:t>
            </w:r>
          </w:p>
        </w:tc>
      </w:tr>
      <w:tr>
        <w:trPr>
          <w:cantSplit/>
        </w:trPr>
        <w:tc>
          <w:tcPr>
            <w:tcW w:type="dxa" w:w="2232"/>
            <w:vAlign w:val="top"/>
          </w:tcPr>
          <w:p>
            <w:pPr>
              <w:spacing w:after="40" w:before="0" w:line="259" w:lineRule="auto"/>
            </w:pPr>
            <w:r>
              <w:rPr>
                <w:rFonts w:ascii="Calibri" w:hAnsi="Calibri"/>
                <w:b/>
                <w:i w:val="0"/>
                <w:color w:val="212121"/>
                <w:sz w:val="19"/>
              </w:rPr>
              <w:t>Gallbladder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Long-standing chronic S. Typhi carriage is associated with a several-fold increased risk of gallbladder cancer, a malignancy notably common in the Gangetic belt of North India.</w:t>
            </w:r>
          </w:p>
        </w:tc>
      </w:tr>
      <w:tr>
        <w:trPr>
          <w:cantSplit/>
        </w:trPr>
        <w:tc>
          <w:tcPr>
            <w:tcW w:type="dxa" w:w="2232"/>
            <w:vAlign w:val="top"/>
          </w:tcPr>
          <w:p>
            <w:pPr>
              <w:spacing w:after="40" w:before="0" w:line="259" w:lineRule="auto"/>
            </w:pPr>
            <w:r>
              <w:rPr>
                <w:rFonts w:ascii="Calibri" w:hAnsi="Calibri"/>
                <w:b/>
                <w:i w:val="0"/>
                <w:color w:val="212121"/>
                <w:sz w:val="19"/>
              </w:rPr>
              <w:t>Intestinal perforation / peritonitis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Necrosis of terminal-ileal Peyer's patches causes perforation - a leading surgical emergency of enteric fever in India.</w:t>
            </w:r>
          </w:p>
          <w:p>
            <w:pPr>
              <w:spacing w:after="40" w:before="0" w:line="259" w:lineRule="auto"/>
            </w:pPr>
            <w:r>
              <w:rPr>
                <w:rFonts w:ascii="Calibri" w:hAnsi="Calibri"/>
                <w:b/>
                <w:i w:val="0"/>
                <w:color w:val="212121"/>
                <w:sz w:val="19"/>
              </w:rPr>
              <w:t>~1.3% of hospitalised cases</w:t>
            </w:r>
          </w:p>
        </w:tc>
      </w:tr>
      <w:tr>
        <w:trPr>
          <w:cantSplit/>
        </w:trPr>
        <w:tc>
          <w:tcPr>
            <w:tcW w:type="dxa" w:w="2232"/>
            <w:vAlign w:val="top"/>
          </w:tcPr>
          <w:p>
            <w:pPr>
              <w:spacing w:after="40" w:before="0" w:line="259" w:lineRule="auto"/>
            </w:pPr>
            <w:r>
              <w:rPr>
                <w:rFonts w:ascii="Calibri" w:hAnsi="Calibri"/>
                <w:b/>
                <w:i w:val="0"/>
                <w:color w:val="212121"/>
                <w:sz w:val="19"/>
              </w:rPr>
              <w:t>Typhoid encephalopathy / delirium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Altered sensorium ('typhoid state') marks severe disease and carries higher mortality, sometimes requiring corticosteroids.</w:t>
            </w:r>
          </w:p>
          <w:p>
            <w:pPr>
              <w:spacing w:after="40" w:before="0" w:line="259" w:lineRule="auto"/>
            </w:pPr>
            <w:r>
              <w:rPr>
                <w:rFonts w:ascii="Calibri" w:hAnsi="Calibri"/>
                <w:b/>
                <w:i w:val="0"/>
                <w:color w:val="212121"/>
                <w:sz w:val="19"/>
              </w:rPr>
              <w:t>~25% of hospitalised cases</w:t>
            </w:r>
          </w:p>
        </w:tc>
      </w:tr>
      <w:tr>
        <w:trPr>
          <w:cantSplit/>
        </w:trPr>
        <w:tc>
          <w:tcPr>
            <w:tcW w:type="dxa" w:w="2232"/>
            <w:vAlign w:val="top"/>
          </w:tcPr>
          <w:p>
            <w:pPr>
              <w:spacing w:after="40" w:before="0" w:line="259" w:lineRule="auto"/>
            </w:pPr>
            <w:r>
              <w:rPr>
                <w:rFonts w:ascii="Calibri" w:hAnsi="Calibri"/>
                <w:b/>
                <w:i w:val="0"/>
                <w:color w:val="212121"/>
                <w:sz w:val="19"/>
              </w:rPr>
              <w:t>Typhoid hepatitis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Reactive hepatitis with transaminitis and mild jaundice; usually resolves with effective antimicrobial therapy.</w:t>
            </w:r>
          </w:p>
        </w:tc>
      </w:tr>
      <w:tr>
        <w:trPr>
          <w:cantSplit/>
        </w:trPr>
        <w:tc>
          <w:tcPr>
            <w:tcW w:type="dxa" w:w="2232"/>
            <w:vAlign w:val="top"/>
          </w:tcPr>
          <w:p>
            <w:pPr>
              <w:spacing w:after="40" w:before="0" w:line="259" w:lineRule="auto"/>
            </w:pPr>
            <w:r>
              <w:rPr>
                <w:rFonts w:ascii="Calibri" w:hAnsi="Calibri"/>
                <w:b/>
                <w:i w:val="0"/>
                <w:color w:val="212121"/>
                <w:sz w:val="19"/>
              </w:rPr>
              <w:t>Gastrointestinal haemorrhage / anaemia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Bleeding from ulcerated Peyer's patches, typically in the third week, can cause significant anaemia.</w:t>
            </w:r>
          </w:p>
        </w:tc>
      </w:tr>
      <w:tr>
        <w:trPr>
          <w:cantSplit/>
        </w:trPr>
        <w:tc>
          <w:tcPr>
            <w:tcW w:type="dxa" w:w="2232"/>
            <w:vAlign w:val="top"/>
          </w:tcPr>
          <w:p>
            <w:pPr>
              <w:spacing w:after="40" w:before="0" w:line="259" w:lineRule="auto"/>
            </w:pPr>
            <w:r>
              <w:rPr>
                <w:rFonts w:ascii="Calibri" w:hAnsi="Calibri"/>
                <w:b/>
                <w:i w:val="0"/>
                <w:color w:val="212121"/>
                <w:sz w:val="19"/>
              </w:rPr>
              <w:t>Malnutrition (in children)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Undernutrition both predisposes to and is worsened by enteric fever in Indian children, affecting severity and recovery.</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increases susceptibility to, and severity and relapse of, invasive Salmonella infection.</w:t>
            </w:r>
          </w:p>
        </w:tc>
      </w:tr>
      <w:tr>
        <w:trPr>
          <w:cantSplit/>
        </w:trPr>
        <w:tc>
          <w:tcPr>
            <w:tcW w:type="dxa" w:w="2232"/>
            <w:vAlign w:val="top"/>
          </w:tcPr>
          <w:p>
            <w:pPr>
              <w:spacing w:after="40" w:before="0" w:line="259" w:lineRule="auto"/>
            </w:pPr>
            <w:r>
              <w:rPr>
                <w:rFonts w:ascii="Calibri" w:hAnsi="Calibri"/>
                <w:b/>
                <w:i w:val="0"/>
                <w:color w:val="212121"/>
                <w:sz w:val="19"/>
              </w:rPr>
              <w:t>Reduced gastric acidity (PPI / antacid use, achlorhydria)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Acid suppression lowers the infectious dose of S. Typhi needed to establish infection.</w:t>
            </w:r>
          </w:p>
        </w:tc>
      </w:tr>
      <w:tr>
        <w:trPr>
          <w:cantSplit/>
        </w:trPr>
        <w:tc>
          <w:tcPr>
            <w:tcW w:type="dxa" w:w="2232"/>
            <w:vAlign w:val="top"/>
          </w:tcPr>
          <w:p>
            <w:pPr>
              <w:spacing w:after="40" w:before="0" w:line="259" w:lineRule="auto"/>
            </w:pPr>
            <w:r>
              <w:rPr>
                <w:rFonts w:ascii="Calibri" w:hAnsi="Calibri"/>
                <w:b/>
                <w:i w:val="0"/>
                <w:color w:val="212121"/>
                <w:sz w:val="19"/>
              </w:rPr>
              <w:t>Multidrug-resistant / XDR enteric fever</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MDR and XDR strains - including fluoroquinolone and third-generation cephalosporin resistance - limit oral options and prolong illness across South Asia.</w:t>
            </w:r>
          </w:p>
          <w:p>
            <w:pPr>
              <w:spacing w:after="40" w:before="0" w:line="259" w:lineRule="auto"/>
            </w:pPr>
            <w:r>
              <w:rPr>
                <w:rFonts w:ascii="Calibri" w:hAnsi="Calibri"/>
                <w:b/>
                <w:i w:val="0"/>
                <w:color w:val="212121"/>
                <w:sz w:val="19"/>
              </w:rPr>
              <w:t>&gt;90% fluoroquinolone-non-susceptible in South Asia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typhoid conjugate vaccine (TCV) for children from 6 months of age in endemic areas, and vaccinate travellers before visiting South 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water: boil, filter or adequately chlorinate drinking water and avoid untreated or roadside water and 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thoroughly with soap after using the toilet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safely-managed sanitation and avoid open defecation to break the faecal-oral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prolonged fever (more than 3-4 days) with headache and abdominal symptoms and seek early, blood-culture-based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to prevent relapse and resistance, and do not self-medicate with fluoroquinolones.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households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 VFR to South 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Urban-slum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Food-handlers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only freshly cooked, thoroughly heated food served hot ('cook it, boil it, peel it, or forget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street food, raw salads, unpeeled or pre-cut fruit, and shellfish from uncertain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bottled, boiled or adequately filtered/chlorinated water, and avoid ice of unknown origin.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unpasteurised milk, dairy products and freshly-pressed juices from vendors.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peel fruit and vegetables yourself using safe water.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with oral rehydration solution or safe fluids, and treat dehydration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soft, bland, energy-dense, low-fibre foods during the acute phase to reduce bowel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bulky high-fibre and heavily spiced foods while perforation risk is high, reintroducing fibre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protein-energy intake to counter catabolism, especially in undernourished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typhoid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bed rest during the acute febrile phase, particularly in weeks 2-3, to lower the risk of intestinal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and heavy lifting until clinical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during convalescence as appetite and strength return.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 acute typhoid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to support immune recovery during the illness and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calm, quiet environment for patients with delirium or the 'typhoid state'.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the illness and antibiotic therapy to limit hepatotoxicity and support liver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chronic heavy drinking, which impairs hepatic and immune defences and reduces gastric acidity.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azithromycin or ceftriaxone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impairs mucosal and respiratory defences; while not a direct risk factor for typhoid, cessation supports overall immunity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supportive care and reassurance, and monitor for and manage typhoid-associated delirium or, rarely, psychosis.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of sick children and address anxiety around prolonged fever and hospitalisation.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or complicated typhoid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chronic carriers - especially food-handlers - with a prolonged antibiotic course, and consider cholecystectomy where gallstones sustain 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 clearance with follow-up stool cultures before a carrier returns to food handling.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cases, trace household contacts, and reinforce water, sanitation and hygiene measures at the source.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NA</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typhoid" TargetMode="External"/><Relationship Id="rId10" Type="http://schemas.openxmlformats.org/officeDocument/2006/relationships/hyperlink" Target="https://pubmed.ncbi.nlm.nih.gov/35238363/" TargetMode="External"/><Relationship Id="rId11" Type="http://schemas.openxmlformats.org/officeDocument/2006/relationships/hyperlink" Target="https://wwwnc.cdc.gov/travel/yellowbook/2024/infections-diseases/typhoid-and-paratyphoid-fever" TargetMode="External"/><Relationship Id="rId12" Type="http://schemas.openxmlformats.org/officeDocument/2006/relationships/hyperlink" Target="https://www.cdc.gov/typhoid-fever/about/index.html" TargetMode="External"/><Relationship Id="rId13" Type="http://schemas.openxmlformats.org/officeDocument/2006/relationships/hyperlink" Target="https://www.cdc.gov/typhoid-fever/hcp/clinical-guidance/index.html" TargetMode="External"/><Relationship Id="rId14" Type="http://schemas.openxmlformats.org/officeDocument/2006/relationships/hyperlink" Target="https://pubmed.ncbi.nlm.nih.gov/24612190/" TargetMode="External"/><Relationship Id="rId15" Type="http://schemas.openxmlformats.org/officeDocument/2006/relationships/hyperlink" Target="https://www.who.int/teams/immunization-vaccines-and-biologicals/diseases/typh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