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Urinary Tract Infection</w:t>
      </w:r>
    </w:p>
    <w:p>
      <w:pPr>
        <w:spacing w:before="0" w:after="160"/>
      </w:pPr>
      <w:r>
        <w:rPr>
          <w:rFonts w:ascii="Calibri" w:hAnsi="Calibri"/>
          <w:b/>
          <w:i w:val="0"/>
          <w:color w:val="212121"/>
          <w:sz w:val="22"/>
        </w:rPr>
        <w:t xml:space="preserve">AKA </w:t>
      </w:r>
      <w:r>
        <w:rPr>
          <w:rFonts w:ascii="Calibri" w:hAnsi="Calibri"/>
          <w:b w:val="0"/>
          <w:i w:val="0"/>
          <w:color w:val="212121"/>
          <w:sz w:val="22"/>
        </w:rPr>
        <w:t>i.e., UTI, Bladder infection, Cystitis (lower UTI), Pyelonephritis (upper/kidney UTI), Water infection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urinary tract infection (UTI) is an infection of any part of the urinary system — the urethra, bladder, ureters or kidneys — most often caused by bacteria, chiefly uropathogenic Escherichia coli, that ascend from the perineum through the urethra. Lower-tract infection (cystitis/urethritis) is confined to the bladder and produces burning, frequency and urgency, whereas upper-tract infection (acute pyelonephritis) involves the kidney and causes fever, flank pain and systemic illness with a risk of urosepsis. UTIs are far more common in women than in men because the female urethra is short and lies close to the anus and vagina, easing bacterial entry into the bladder.</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UTI is one of the most common bacterial infections seen in Indian primary and secondary care and disproportionately affects women. Globally it is the second most common infectious disease, affecting about 150 million people a year, and roughly half of all women experience at least one UTI in their lifetime with about a quarter having recurrences. In Indian antenatal and community studies, culture-confirmed UTI ranges from about 3.3% in rural Haryana to 7.4% in a Delhi resettlement colony, while asymptomatic bacteriuria reaches up to 29% among pregnant women in a Jaipur tertiary hospital. Escherichia coli is the predominant uropathogen, accounting for around 80% of community isolates in India.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UTI is diagnosed by combining a compatible clinical picture with urine analysis and culture; the following support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significant bacteriuria on quantitative urine culture — ≥ 10⁵ CFU/mL (100,000) of a single uropathogen in a clean-catch midstream sample, or ≥ 10³ CFU/mL (1,000) in a symptomatic patient or catheter specimen;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pyuria — ≥ 10 white blood cells/µL (or ≥ 10 WBC per high-power field) on microscopy of centrifuged urine, indicating an inflammatory response;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positive urine dipstick for leukocyte esterase and/or nitrite (nitrite is highly specific, &gt; 90%, for Enterobacteriaceae but insensitive, so a negative test does not exclude UTI);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compatible clinical syndrome — dysuria, frequency, urgency and suprapubic pain in lower UTI, or fever, rigors, flank pain and costovertebral-angle tenderness in acute pyelonephritis;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imaging (ultrasound KUB, CT urography) and cystoscopy are reserved for complicated, recurrent, male, or febrile/upper-tract infection to exclude obstruction, stones, abscess or structural anomaly.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Urinary tract infections are classified by anatomical site, host complexity and pattern of recurrence:</w:t>
      </w:r>
    </w:p>
    <w:p>
      <w:pPr>
        <w:spacing w:before="0" w:after="80"/>
      </w:pPr>
      <w:r>
        <w:rPr>
          <w:rFonts w:ascii="Calibri" w:hAnsi="Calibri"/>
          <w:b w:val="0"/>
          <w:i w:val="0"/>
          <w:color w:val="212121"/>
          <w:sz w:val="21"/>
        </w:rPr>
        <w:t>(1) Lower UTI (cystitis / urethritis) — infection confined to the bladder and urethra, presenting with dysuria, frequency, urgency and suprapubic discomfort without systemic upset;</w:t>
      </w:r>
    </w:p>
    <w:p>
      <w:pPr>
        <w:spacing w:before="0" w:after="80"/>
      </w:pPr>
      <w:r>
        <w:rPr>
          <w:rFonts w:ascii="Calibri" w:hAnsi="Calibri"/>
          <w:b w:val="0"/>
          <w:i w:val="0"/>
          <w:color w:val="212121"/>
          <w:sz w:val="21"/>
        </w:rPr>
        <w:t>(2) Upper UTI (acute pyelonephritis) — infection of the renal pelvis and parenchyma with fever, rigors, flank pain, nausea and systemic illness, carrying a risk of bacteraemia and urosepsis;</w:t>
      </w:r>
    </w:p>
    <w:p>
      <w:pPr>
        <w:spacing w:before="0" w:after="80"/>
      </w:pPr>
      <w:r>
        <w:rPr>
          <w:rFonts w:ascii="Calibri" w:hAnsi="Calibri"/>
          <w:b w:val="0"/>
          <w:i w:val="0"/>
          <w:color w:val="212121"/>
          <w:sz w:val="21"/>
        </w:rPr>
        <w:t>(3) Uncomplicated versus complicated UTI — uncomplicated infection occurs in a structurally and functionally normal tract of a non-pregnant, immunocompetent woman, whereas complicated UTI arises with obstruction, stones, catheters, pregnancy, diabetes, immunosuppression, or in men;</w:t>
      </w:r>
    </w:p>
    <w:p>
      <w:pPr>
        <w:spacing w:before="0" w:after="80"/>
      </w:pPr>
      <w:r>
        <w:rPr>
          <w:rFonts w:ascii="Calibri" w:hAnsi="Calibri"/>
          <w:b w:val="0"/>
          <w:i w:val="0"/>
          <w:color w:val="212121"/>
          <w:sz w:val="21"/>
        </w:rPr>
        <w:t>(4) Asymptomatic bacteriuria — significant bacteriuria without urinary symptoms, which is treated only in pregnancy or before urological procedures and otherwise left alone;</w:t>
      </w:r>
    </w:p>
    <w:p>
      <w:pPr>
        <w:spacing w:before="0" w:after="80"/>
      </w:pPr>
      <w:r>
        <w:rPr>
          <w:rFonts w:ascii="Calibri" w:hAnsi="Calibri"/>
          <w:b w:val="0"/>
          <w:i w:val="0"/>
          <w:color w:val="212121"/>
          <w:sz w:val="21"/>
        </w:rPr>
        <w:t>(5) Recurrent UTI — ≥ 2 infections in 6 months or ≥ 3 in 12 months, subdivided into relapse (same organism, suggesting a persistent focus) and reinfection (a new organism);</w:t>
      </w:r>
    </w:p>
    <w:p>
      <w:pPr>
        <w:spacing w:before="0" w:after="80"/>
      </w:pPr>
      <w:r>
        <w:rPr>
          <w:rFonts w:ascii="Calibri" w:hAnsi="Calibri"/>
          <w:b w:val="0"/>
          <w:i w:val="0"/>
          <w:color w:val="212121"/>
          <w:sz w:val="21"/>
        </w:rPr>
        <w:t>(6) Catheter-associated UTI (CAUTI) — UTI related to an indwelling urinary catheter, the commonest healthcare-associated infection and a major reservoir of drug-resistant organisms.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Ascending bacterial infection: Faecal–perineal–urethral migration of gut flora, chiefly uropathogenic E. coli, is the dominant route; organisms then adhere to and invade the urothelium via fimbrial adhesins.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Female anatomy: A short urethra sited close to the anus and vaginal introitus allows easy bacterial colonisation of the bladder, explaining the marked female preponderance.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Urinary stasis and obstruction: Incomplete bladder emptying from benign prostatic hyperplasia, stones, stricture, neurogenic bladder or the physiological dilatation of pregnancy lets bacteria multiply in residual urine.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Instrumentation and catheters: Indwelling urinary catheters and endoscopic procedures introduce organisms directly and provide a biofilm-coated surface that shields bacteria from host defences and antibiotics.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Host susceptibility: Diabetes with glucosuria, immunosuppression, post-menopausal oestrogen deficiency and genetic non-secretor status impair urothelial and mucosal defences.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Behavioural and hygiene factors: Sexual intercourse, spermicide or diaphragm use, inadequate fluid intake, voluntary urine holding and poor perineal hygiene increase bacterial inoculation and retention.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(reproductive-age women)</w:t>
            </w:r>
          </w:p>
        </w:tc>
        <w:tc>
          <w:tcPr>
            <w:tcW w:type="dxa" w:w="4276"/>
            <w:vAlign w:val="top"/>
          </w:tcPr>
          <w:p>
            <w:pPr>
              <w:spacing w:after="60" w:line="259" w:lineRule="auto"/>
            </w:pPr>
            <w:r>
              <w:rPr>
                <w:rFonts w:ascii="Calibri" w:hAnsi="Calibri"/>
                <w:b w:val="0"/>
                <w:i w:val="0"/>
                <w:color w:val="212121"/>
                <w:sz w:val="19"/>
              </w:rPr>
              <w:t>Sexually active women of childbearing age have the highest incidence of uncomplicated cystitis; intercourse, contraception and pregnancy repeatedly introduce and retain periurethral organisms in the bladder.</w:t>
            </w:r>
          </w:p>
          <w:p>
            <w:pPr>
              <w:spacing w:after="40" w:before="60" w:line="259" w:lineRule="auto"/>
            </w:pPr>
            <w:r>
              <w:rPr>
                <w:rFonts w:ascii="Calibri" w:hAnsi="Calibri"/>
                <w:b w:val="0"/>
                <w:i w:val="0"/>
                <w:color w:val="212121"/>
                <w:sz w:val="19"/>
              </w:rPr>
              <w:t>An Indian systematic review found younger, and particularly pregnant, women to be at highest risk, driven by physiological changes and increased sexual activity.</w:t>
            </w:r>
          </w:p>
          <w:p>
            <w:pPr>
              <w:spacing w:after="40" w:line="252" w:lineRule="auto"/>
            </w:pPr>
            <w:hyperlink r:id="rId9">
              <w:r>
                <w:rPr>
                  <w:rFonts w:ascii="Calibri" w:hAnsi="Calibri" w:cs="Calibri"/>
                  <w:sz w:val="18"/>
                  <w:color w:val="1155CC"/>
                  <w:u w:val="single"/>
                </w:rPr>
                <w:t xml:space="preserve">pubmed 38774177 — UTI correlates in Indian women</w:t>
              </w:r>
            </w:hyperlink>
          </w:p>
          <w:p>
            <w:pPr>
              <w:spacing w:before="60" w:after="40"/>
            </w:pPr>
            <w:r>
              <w:rPr>
                <w:rFonts w:ascii="Calibri" w:hAnsi="Calibri"/>
                <w:b w:val="0"/>
                <w:i w:val="0"/>
                <w:color w:val="5A5A5A"/>
                <w:sz w:val="18"/>
              </w:rPr>
              <w:t>#cystitis  #reproductiveage  #sexualactivity  #women  #india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(both sexes)</w:t>
            </w:r>
          </w:p>
        </w:tc>
        <w:tc>
          <w:tcPr>
            <w:tcW w:type="dxa" w:w="4276"/>
            <w:vAlign w:val="top"/>
          </w:tcPr>
          <w:p>
            <w:pPr>
              <w:spacing w:after="60" w:line="259" w:lineRule="auto"/>
            </w:pPr>
            <w:r>
              <w:rPr>
                <w:rFonts w:ascii="Calibri" w:hAnsi="Calibri"/>
                <w:b w:val="0"/>
                <w:i w:val="0"/>
                <w:color w:val="212121"/>
                <w:sz w:val="19"/>
              </w:rPr>
              <w:t>Incomplete bladder emptying, prostatic obstruction in men, oestrogen-deficient atrophic mucosa in women, immobility, catheters and comorbidity all converge to raise UTI risk sharply in older adults, in whom it may present atypically as confusion or falls.</w:t>
            </w:r>
          </w:p>
          <w:p>
            <w:pPr>
              <w:spacing w:after="40" w:before="60" w:line="259" w:lineRule="auto"/>
            </w:pPr>
            <w:r>
              <w:rPr>
                <w:rFonts w:ascii="Calibri" w:hAnsi="Calibri"/>
                <w:b w:val="0"/>
                <w:i w:val="0"/>
                <w:color w:val="212121"/>
                <w:sz w:val="19"/>
              </w:rPr>
              <w:t>Prevalence rises with age and the sex gap narrows, as men increasingly develop UTI from benign prostatic obstruction after middle age.</w:t>
            </w:r>
          </w:p>
          <w:p>
            <w:pPr>
              <w:spacing w:before="60" w:after="40"/>
            </w:pPr>
            <w:r>
              <w:rPr>
                <w:rFonts w:ascii="Calibri" w:hAnsi="Calibri"/>
                <w:b w:val="0"/>
                <w:i w:val="0"/>
                <w:color w:val="5A5A5A"/>
                <w:sz w:val="18"/>
              </w:rPr>
              <w:t>#elderly  #delirium  #residualurine  #catheter  #atypical</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A short urethra lying close to the anus and vagina lets gut bacteria reach the bladder far more easily than in men, making sex the single strongest demographic risk factor.</w:t>
            </w:r>
          </w:p>
          <w:p>
            <w:pPr>
              <w:spacing w:after="40" w:before="60" w:line="259" w:lineRule="auto"/>
            </w:pPr>
            <w:r>
              <w:rPr>
                <w:rFonts w:ascii="Calibri" w:hAnsi="Calibri"/>
                <w:b w:val="0"/>
                <w:i w:val="0"/>
                <w:color w:val="212121"/>
                <w:sz w:val="19"/>
              </w:rPr>
              <w:t>UTIs occur at least 4 times more often in females than males, and roughly 40–50% of women develop at least one UTI in their lifetime with nearly half recurring within a year.</w:t>
            </w:r>
          </w:p>
          <w:p>
            <w:pPr>
              <w:spacing w:after="40" w:line="252" w:lineRule="auto"/>
            </w:pPr>
            <w:hyperlink r:id="rId10">
              <w:r>
                <w:rPr>
                  <w:rFonts w:ascii="Calibri" w:hAnsi="Calibri" w:cs="Calibri"/>
                  <w:sz w:val="18"/>
                  <w:color w:val="1155CC"/>
                  <w:u w:val="single"/>
                </w:rPr>
                <w:t xml:space="preserve">ncbi StatPearls — UTI epidemiology</w:t>
              </w:r>
            </w:hyperlink>
          </w:p>
          <w:p>
            <w:pPr>
              <w:spacing w:before="60" w:after="40"/>
            </w:pPr>
            <w:r>
              <w:rPr>
                <w:rFonts w:ascii="Calibri" w:hAnsi="Calibri"/>
                <w:b w:val="0"/>
                <w:i w:val="0"/>
                <w:color w:val="5A5A5A"/>
                <w:sz w:val="18"/>
              </w:rPr>
              <w:t>#female  #shorturethra  #lifetimerisk  #recurrence  #anatomy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(older men)</w:t>
            </w:r>
          </w:p>
        </w:tc>
        <w:tc>
          <w:tcPr>
            <w:tcW w:type="dxa" w:w="4276"/>
            <w:vAlign w:val="top"/>
          </w:tcPr>
          <w:p>
            <w:pPr>
              <w:spacing w:after="60" w:line="259" w:lineRule="auto"/>
            </w:pPr>
            <w:r>
              <w:rPr>
                <w:rFonts w:ascii="Calibri" w:hAnsi="Calibri"/>
                <w:b w:val="0"/>
                <w:i w:val="0"/>
                <w:color w:val="212121"/>
                <w:sz w:val="19"/>
              </w:rPr>
              <w:t>Men rarely get UTIs before 50 because of a long urethra and antibacterial prostatic secretions; after middle age, benign prostatic hyperplasia causes obstruction and residual urine, so male UTI is usually treated as complicated.</w:t>
            </w:r>
          </w:p>
          <w:p>
            <w:pPr>
              <w:spacing w:after="40" w:before="60" w:line="259" w:lineRule="auto"/>
            </w:pPr>
            <w:r>
              <w:rPr>
                <w:rFonts w:ascii="Calibri" w:hAnsi="Calibri"/>
                <w:b w:val="0"/>
                <w:i w:val="0"/>
                <w:color w:val="212121"/>
                <w:sz w:val="19"/>
              </w:rPr>
              <w:t>Bladder infections are uncommon in men under 50 and any UTI in a man warrants evaluation for an underlying structural or prostatic cause.</w:t>
            </w:r>
          </w:p>
          <w:p>
            <w:pPr>
              <w:spacing w:after="40" w:line="252" w:lineRule="auto"/>
            </w:pPr>
            <w:hyperlink r:id="rId11">
              <w:r>
                <w:rPr>
                  <w:rFonts w:ascii="Calibri" w:hAnsi="Calibri" w:cs="Calibri"/>
                  <w:sz w:val="18"/>
                  <w:color w:val="1155CC"/>
                  <w:u w:val="single"/>
                </w:rPr>
                <w:t xml:space="preserve">niddk.nih.gov — bladder infection facts</w:t>
              </w:r>
            </w:hyperlink>
          </w:p>
          <w:p>
            <w:pPr>
              <w:spacing w:before="60" w:after="40"/>
            </w:pPr>
            <w:r>
              <w:rPr>
                <w:rFonts w:ascii="Calibri" w:hAnsi="Calibri"/>
                <w:b w:val="0"/>
                <w:i w:val="0"/>
                <w:color w:val="5A5A5A"/>
                <w:sz w:val="18"/>
              </w:rPr>
              <w:t>#male  #BPH  #complicatedUTI  #prostate  #obstruction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overcrowded households</w:t>
            </w:r>
          </w:p>
        </w:tc>
        <w:tc>
          <w:tcPr>
            <w:tcW w:type="dxa" w:w="4276"/>
            <w:vAlign w:val="top"/>
          </w:tcPr>
          <w:p>
            <w:pPr>
              <w:spacing w:after="60" w:line="259" w:lineRule="auto"/>
            </w:pPr>
            <w:r>
              <w:rPr>
                <w:rFonts w:ascii="Calibri" w:hAnsi="Calibri"/>
                <w:b w:val="0"/>
                <w:i w:val="0"/>
                <w:color w:val="212121"/>
                <w:sz w:val="19"/>
              </w:rPr>
              <w:t>Overcrowding, shared or absent toilets, limited water for hygiene and delayed care raise both exposure and complications, especially for women who must hold urine for lack of a private toilet.</w:t>
            </w:r>
          </w:p>
          <w:p>
            <w:pPr>
              <w:spacing w:after="40" w:before="60" w:line="259" w:lineRule="auto"/>
            </w:pPr>
            <w:r>
              <w:rPr>
                <w:rFonts w:ascii="Calibri" w:hAnsi="Calibri"/>
                <w:b w:val="0"/>
                <w:i w:val="0"/>
                <w:color w:val="212121"/>
                <w:sz w:val="19"/>
              </w:rPr>
              <w:t>In a Delhi resettlement colony and slum, culture-confirmed UTI in pregnant women was 7.4%, and overcrowding was a significant independent predictor of infection.</w:t>
            </w:r>
          </w:p>
          <w:p>
            <w:pPr>
              <w:spacing w:after="40" w:line="252" w:lineRule="auto"/>
            </w:pPr>
            <w:hyperlink r:id="rId12">
              <w:r>
                <w:rPr>
                  <w:rFonts w:ascii="Calibri" w:hAnsi="Calibri" w:cs="Calibri"/>
                  <w:sz w:val="18"/>
                  <w:color w:val="1155CC"/>
                  <w:u w:val="single"/>
                </w:rPr>
                <w:t xml:space="preserve">pubmed 40124802 — Delhi slum antenatal UTI</w:t>
              </w:r>
            </w:hyperlink>
          </w:p>
          <w:p>
            <w:pPr>
              <w:spacing w:before="60" w:after="40"/>
            </w:pPr>
            <w:r>
              <w:rPr>
                <w:rFonts w:ascii="Calibri" w:hAnsi="Calibri"/>
                <w:b w:val="0"/>
                <w:i w:val="0"/>
                <w:color w:val="5A5A5A"/>
                <w:sz w:val="18"/>
              </w:rPr>
              <w:t>#overcrowding  #sanitation  #poverty  #toiletaccess  #urbanslum</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sanitation</w:t>
            </w:r>
          </w:p>
        </w:tc>
        <w:tc>
          <w:tcPr>
            <w:tcW w:type="dxa" w:w="2160"/>
            <w:vAlign w:val="top"/>
          </w:tcPr>
          <w:p>
            <w:pPr>
              <w:spacing w:after="40" w:before="0" w:line="259" w:lineRule="auto"/>
            </w:pPr>
            <w:r>
              <w:rPr>
                <w:rFonts w:ascii="Calibri" w:hAnsi="Calibri"/>
                <w:b w:val="0"/>
                <w:i w:val="0"/>
                <w:color w:val="212121"/>
                <w:sz w:val="19"/>
              </w:rPr>
              <w:t>Indian women with poor sanitation and water access</w:t>
            </w:r>
          </w:p>
        </w:tc>
        <w:tc>
          <w:tcPr>
            <w:tcW w:type="dxa" w:w="4276"/>
            <w:vAlign w:val="top"/>
          </w:tcPr>
          <w:p>
            <w:pPr>
              <w:spacing w:after="60" w:line="259" w:lineRule="auto"/>
            </w:pPr>
            <w:r>
              <w:rPr>
                <w:rFonts w:ascii="Calibri" w:hAnsi="Calibri"/>
                <w:b w:val="0"/>
                <w:i w:val="0"/>
                <w:color w:val="212121"/>
                <w:sz w:val="19"/>
              </w:rPr>
              <w:t>Inadequate access to clean water and safe toilets forces urine holding and compromises perineal hygiene, both of which promote bacterial ascent and retention.</w:t>
            </w:r>
          </w:p>
          <w:p>
            <w:pPr>
              <w:spacing w:after="40" w:before="60" w:line="259" w:lineRule="auto"/>
            </w:pPr>
            <w:r>
              <w:rPr>
                <w:rFonts w:ascii="Calibri" w:hAnsi="Calibri"/>
                <w:b w:val="0"/>
                <w:i w:val="0"/>
                <w:color w:val="212121"/>
                <w:sz w:val="19"/>
              </w:rPr>
              <w:t>An Indian systematic review reported that inadequate water intake and poor sanitation practices were strongly associated with increased UTI risk in women.</w:t>
            </w:r>
          </w:p>
          <w:p>
            <w:pPr>
              <w:spacing w:after="40" w:line="252" w:lineRule="auto"/>
            </w:pPr>
            <w:hyperlink r:id="rId9">
              <w:r>
                <w:rPr>
                  <w:rFonts w:ascii="Calibri" w:hAnsi="Calibri" w:cs="Calibri"/>
                  <w:sz w:val="18"/>
                  <w:color w:val="1155CC"/>
                  <w:u w:val="single"/>
                </w:rPr>
                <w:t xml:space="preserve">pubmed 38774177 — sanitation and hydration</w:t>
              </w:r>
            </w:hyperlink>
          </w:p>
          <w:p>
            <w:pPr>
              <w:spacing w:before="60" w:after="40"/>
            </w:pPr>
            <w:r>
              <w:rPr>
                <w:rFonts w:ascii="Calibri" w:hAnsi="Calibri"/>
                <w:b w:val="0"/>
                <w:i w:val="0"/>
                <w:color w:val="5A5A5A"/>
                <w:sz w:val="18"/>
              </w:rPr>
              <w:t>#sanitation  #waterscarcity  #hygiene  #india  #publichealth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Rural / peri-urban</w:t>
            </w:r>
          </w:p>
        </w:tc>
        <w:tc>
          <w:tcPr>
            <w:tcW w:type="dxa" w:w="2160"/>
            <w:vAlign w:val="top"/>
          </w:tcPr>
          <w:p>
            <w:pPr>
              <w:spacing w:after="40" w:before="0" w:line="259" w:lineRule="auto"/>
            </w:pPr>
            <w:r>
              <w:rPr>
                <w:rFonts w:ascii="Calibri" w:hAnsi="Calibri"/>
                <w:b w:val="0"/>
                <w:i w:val="0"/>
                <w:color w:val="212121"/>
                <w:sz w:val="19"/>
              </w:rPr>
              <w:t>Rural antenatal populations</w:t>
            </w:r>
          </w:p>
        </w:tc>
        <w:tc>
          <w:tcPr>
            <w:tcW w:type="dxa" w:w="4276"/>
            <w:vAlign w:val="top"/>
          </w:tcPr>
          <w:p>
            <w:pPr>
              <w:spacing w:after="60" w:line="259" w:lineRule="auto"/>
            </w:pPr>
            <w:r>
              <w:rPr>
                <w:rFonts w:ascii="Calibri" w:hAnsi="Calibri"/>
                <w:b w:val="0"/>
                <w:i w:val="0"/>
                <w:color w:val="212121"/>
                <w:sz w:val="19"/>
              </w:rPr>
              <w:t>Open defecation, shared latrines and lack of routine antenatal urine screening in peripheral centres mean UTIs and asymptomatic bacteriuria in pregnancy often go undetected until complications arise.</w:t>
            </w:r>
          </w:p>
          <w:p>
            <w:pPr>
              <w:spacing w:after="40" w:before="60" w:line="259" w:lineRule="auto"/>
            </w:pPr>
            <w:r>
              <w:rPr>
                <w:rFonts w:ascii="Calibri" w:hAnsi="Calibri"/>
                <w:b w:val="0"/>
                <w:i w:val="0"/>
                <w:color w:val="212121"/>
                <w:sz w:val="19"/>
              </w:rPr>
              <w:t>In rural Haryana, 3.3% of antenatal attendees had culture-confirmed UTI while 33.3% reported urinary symptoms, yet no routine screening facility was available.</w:t>
            </w:r>
          </w:p>
          <w:p>
            <w:pPr>
              <w:spacing w:after="40" w:line="252" w:lineRule="auto"/>
            </w:pPr>
            <w:hyperlink r:id="rId13">
              <w:r>
                <w:rPr>
                  <w:rFonts w:ascii="Calibri" w:hAnsi="Calibri" w:cs="Calibri"/>
                  <w:sz w:val="18"/>
                  <w:color w:val="1155CC"/>
                  <w:u w:val="single"/>
                </w:rPr>
                <w:t xml:space="preserve">pubmed 28721962 — rural Haryana antenatal UTI</w:t>
              </w:r>
            </w:hyperlink>
          </w:p>
          <w:p>
            <w:pPr>
              <w:spacing w:before="60" w:after="40"/>
            </w:pPr>
            <w:r>
              <w:rPr>
                <w:rFonts w:ascii="Calibri" w:hAnsi="Calibri"/>
                <w:b w:val="0"/>
                <w:i w:val="0"/>
                <w:color w:val="5A5A5A"/>
                <w:sz w:val="18"/>
              </w:rPr>
              <w:t>#rural  #antenatal  #screening  #opendefecation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w:t>
            </w:r>
          </w:p>
        </w:tc>
        <w:tc>
          <w:tcPr>
            <w:tcW w:type="dxa" w:w="2160"/>
            <w:vAlign w:val="top"/>
          </w:tcPr>
          <w:p>
            <w:pPr>
              <w:spacing w:after="40" w:before="0" w:line="259" w:lineRule="auto"/>
            </w:pPr>
            <w:r>
              <w:rPr>
                <w:rFonts w:ascii="Calibri" w:hAnsi="Calibri"/>
                <w:b w:val="0"/>
                <w:i w:val="0"/>
                <w:color w:val="212121"/>
                <w:sz w:val="19"/>
              </w:rPr>
              <w:t>Hot, humid, water-scarce settings</w:t>
            </w:r>
          </w:p>
        </w:tc>
        <w:tc>
          <w:tcPr>
            <w:tcW w:type="dxa" w:w="4276"/>
            <w:vAlign w:val="top"/>
          </w:tcPr>
          <w:p>
            <w:pPr>
              <w:spacing w:after="60" w:line="259" w:lineRule="auto"/>
            </w:pPr>
            <w:r>
              <w:rPr>
                <w:rFonts w:ascii="Calibri" w:hAnsi="Calibri"/>
                <w:b w:val="0"/>
                <w:i w:val="0"/>
                <w:color w:val="212121"/>
                <w:sz w:val="19"/>
              </w:rPr>
              <w:t>High ambient temperatures and manual-labour occupations increase insensible fluid loss; when water is scarce, urine becomes concentrated and voiding is deferred, both favouring bacterial growth in the bladder.</w:t>
            </w:r>
          </w:p>
          <w:p>
            <w:pPr>
              <w:spacing w:before="60" w:after="40"/>
            </w:pPr>
            <w:r>
              <w:rPr>
                <w:rFonts w:ascii="Calibri" w:hAnsi="Calibri"/>
                <w:b w:val="0"/>
                <w:i w:val="0"/>
                <w:color w:val="5A5A5A"/>
                <w:sz w:val="18"/>
              </w:rPr>
              <w:t>#dehydration  #heat  #concentratedurine  #fieldwork  #hydration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Sexual activity</w:t>
            </w:r>
          </w:p>
        </w:tc>
        <w:tc>
          <w:tcPr>
            <w:tcW w:type="dxa" w:w="2160"/>
            <w:vAlign w:val="top"/>
          </w:tcPr>
          <w:p>
            <w:pPr>
              <w:spacing w:after="40" w:before="0" w:line="259" w:lineRule="auto"/>
            </w:pPr>
            <w:r>
              <w:rPr>
                <w:rFonts w:ascii="Calibri" w:hAnsi="Calibri"/>
                <w:b w:val="0"/>
                <w:i w:val="0"/>
                <w:color w:val="212121"/>
                <w:sz w:val="19"/>
              </w:rPr>
              <w:t>Sexually active women, spermicide/diaphragm users</w:t>
            </w:r>
          </w:p>
        </w:tc>
        <w:tc>
          <w:tcPr>
            <w:tcW w:type="dxa" w:w="4276"/>
            <w:vAlign w:val="top"/>
          </w:tcPr>
          <w:p>
            <w:pPr>
              <w:spacing w:after="60" w:line="259" w:lineRule="auto"/>
            </w:pPr>
            <w:r>
              <w:rPr>
                <w:rFonts w:ascii="Calibri" w:hAnsi="Calibri"/>
                <w:b w:val="0"/>
                <w:i w:val="0"/>
                <w:color w:val="212121"/>
                <w:sz w:val="19"/>
              </w:rPr>
              <w:t>Intercourse mechanically massages periurethral organisms into the bladder, and spermicides and diaphragms disrupt the protective vaginal lactobacilli, raising colonisation.</w:t>
            </w:r>
          </w:p>
          <w:p>
            <w:pPr>
              <w:spacing w:after="40" w:before="60" w:line="259" w:lineRule="auto"/>
            </w:pPr>
            <w:r>
              <w:rPr>
                <w:rFonts w:ascii="Calibri" w:hAnsi="Calibri"/>
                <w:b w:val="0"/>
                <w:i w:val="0"/>
                <w:color w:val="212121"/>
                <w:sz w:val="19"/>
              </w:rPr>
              <w:t>Frequent intercourse, a new sexual partner, spermicide use and vulvovaginal atrophy are established behavioural risk factors; nearly 60% of women with recurrent UTI report sexual dysfunction.</w:t>
            </w:r>
          </w:p>
          <w:p>
            <w:pPr>
              <w:spacing w:after="40" w:line="252" w:lineRule="auto"/>
            </w:pPr>
            <w:hyperlink r:id="rId9">
              <w:r>
                <w:rPr>
                  <w:rFonts w:ascii="Calibri" w:hAnsi="Calibri" w:cs="Calibri"/>
                  <w:sz w:val="18"/>
                  <w:color w:val="1155CC"/>
                  <w:u w:val="single"/>
                </w:rPr>
                <w:t xml:space="preserve">pubmed 38774177 — behavioural risk factors</w:t>
              </w:r>
            </w:hyperlink>
          </w:p>
          <w:p>
            <w:pPr>
              <w:spacing w:before="60" w:after="40"/>
            </w:pPr>
            <w:r>
              <w:rPr>
                <w:rFonts w:ascii="Calibri" w:hAnsi="Calibri"/>
                <w:b w:val="0"/>
                <w:i w:val="0"/>
                <w:color w:val="5A5A5A"/>
                <w:sz w:val="18"/>
              </w:rPr>
              <w:t>#intercourse  #spermicide  #honeymooncystitis  #recurrentUTI  #lactobacilli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w:t>
            </w:r>
          </w:p>
        </w:tc>
        <w:tc>
          <w:tcPr>
            <w:tcW w:type="dxa" w:w="2160"/>
            <w:vAlign w:val="top"/>
          </w:tcPr>
          <w:p>
            <w:pPr>
              <w:spacing w:after="40" w:before="0" w:line="259" w:lineRule="auto"/>
            </w:pPr>
            <w:r>
              <w:rPr>
                <w:rFonts w:ascii="Calibri" w:hAnsi="Calibri"/>
                <w:b w:val="0"/>
                <w:i w:val="0"/>
                <w:color w:val="212121"/>
                <w:sz w:val="19"/>
              </w:rPr>
              <w:t>Poor perineal hygiene / back-to-front wiping</w:t>
            </w:r>
          </w:p>
        </w:tc>
        <w:tc>
          <w:tcPr>
            <w:tcW w:type="dxa" w:w="4276"/>
            <w:vAlign w:val="top"/>
          </w:tcPr>
          <w:p>
            <w:pPr>
              <w:spacing w:after="60" w:line="259" w:lineRule="auto"/>
            </w:pPr>
            <w:r>
              <w:rPr>
                <w:rFonts w:ascii="Calibri" w:hAnsi="Calibri"/>
                <w:b w:val="0"/>
                <w:i w:val="0"/>
                <w:color w:val="212121"/>
                <w:sz w:val="19"/>
              </w:rPr>
              <w:t>Wiping from back to front and inadequate perineal cleaning transfer faecal flora to the urethral meatus, the first step in ascending infection.</w:t>
            </w:r>
          </w:p>
          <w:p>
            <w:pPr>
              <w:spacing w:after="40" w:before="60" w:line="259" w:lineRule="auto"/>
            </w:pPr>
            <w:r>
              <w:rPr>
                <w:rFonts w:ascii="Calibri" w:hAnsi="Calibri"/>
                <w:b w:val="0"/>
                <w:i w:val="0"/>
                <w:color w:val="212121"/>
                <w:sz w:val="19"/>
              </w:rPr>
              <w:t>CDC lists poor hygiene practices, and teaching girls to wipe front-to-back, among the key modifiable factors in UTI risk and prevention.</w:t>
            </w:r>
          </w:p>
          <w:p>
            <w:pPr>
              <w:spacing w:after="40" w:line="252" w:lineRule="auto"/>
            </w:pPr>
            <w:hyperlink r:id="rId14">
              <w:r>
                <w:rPr>
                  <w:rFonts w:ascii="Calibri" w:hAnsi="Calibri" w:cs="Calibri"/>
                  <w:sz w:val="18"/>
                  <w:color w:val="1155CC"/>
                  <w:u w:val="single"/>
                </w:rPr>
                <w:t xml:space="preserve">cdc.gov — UTI risk and prevention</w:t>
              </w:r>
            </w:hyperlink>
          </w:p>
          <w:p>
            <w:pPr>
              <w:spacing w:before="60" w:after="40"/>
            </w:pPr>
            <w:r>
              <w:rPr>
                <w:rFonts w:ascii="Calibri" w:hAnsi="Calibri"/>
                <w:b w:val="0"/>
                <w:i w:val="0"/>
                <w:color w:val="5A5A5A"/>
                <w:sz w:val="18"/>
              </w:rPr>
              <w:t>#hygiene  #wiping  #perineal  #faecalflora  #prevention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Voiding behaviour</w:t>
            </w:r>
          </w:p>
        </w:tc>
        <w:tc>
          <w:tcPr>
            <w:tcW w:type="dxa" w:w="2160"/>
            <w:vAlign w:val="top"/>
          </w:tcPr>
          <w:p>
            <w:pPr>
              <w:spacing w:after="40" w:before="0" w:line="259" w:lineRule="auto"/>
            </w:pPr>
            <w:r>
              <w:rPr>
                <w:rFonts w:ascii="Calibri" w:hAnsi="Calibri"/>
                <w:b w:val="0"/>
                <w:i w:val="0"/>
                <w:color w:val="212121"/>
                <w:sz w:val="19"/>
              </w:rPr>
              <w:t>Habitual urine-holders (teachers, field &amp; factory workers)</w:t>
            </w:r>
          </w:p>
        </w:tc>
        <w:tc>
          <w:tcPr>
            <w:tcW w:type="dxa" w:w="4276"/>
            <w:vAlign w:val="top"/>
          </w:tcPr>
          <w:p>
            <w:pPr>
              <w:spacing w:after="60" w:line="259" w:lineRule="auto"/>
            </w:pPr>
            <w:r>
              <w:rPr>
                <w:rFonts w:ascii="Calibri" w:hAnsi="Calibri"/>
                <w:b w:val="0"/>
                <w:i w:val="0"/>
                <w:color w:val="212121"/>
                <w:sz w:val="19"/>
              </w:rPr>
              <w:t>Prolonged voluntary urine retention, often forced by lack of clean toilets at work, lets any bacteria present multiply and reduces the mechanical flushing that normally clears the bladder.</w:t>
            </w:r>
          </w:p>
          <w:p>
            <w:pPr>
              <w:spacing w:before="60" w:after="40"/>
            </w:pPr>
            <w:r>
              <w:rPr>
                <w:rFonts w:ascii="Calibri" w:hAnsi="Calibri"/>
                <w:b w:val="0"/>
                <w:i w:val="0"/>
                <w:color w:val="5A5A5A"/>
                <w:sz w:val="18"/>
              </w:rPr>
              <w:t>#urineholding  #voidingdelay  #occupational  #toiletaccess  #stasis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Fluid intake</w:t>
            </w:r>
          </w:p>
        </w:tc>
        <w:tc>
          <w:tcPr>
            <w:tcW w:type="dxa" w:w="2160"/>
            <w:vAlign w:val="top"/>
          </w:tcPr>
          <w:p>
            <w:pPr>
              <w:spacing w:after="40" w:before="0" w:line="259" w:lineRule="auto"/>
            </w:pPr>
            <w:r>
              <w:rPr>
                <w:rFonts w:ascii="Calibri" w:hAnsi="Calibri"/>
                <w:b w:val="0"/>
                <w:i w:val="0"/>
                <w:color w:val="212121"/>
                <w:sz w:val="19"/>
              </w:rPr>
              <w:t>Adults with low daily fluid intake</w:t>
            </w:r>
          </w:p>
        </w:tc>
        <w:tc>
          <w:tcPr>
            <w:tcW w:type="dxa" w:w="4276"/>
            <w:vAlign w:val="top"/>
          </w:tcPr>
          <w:p>
            <w:pPr>
              <w:spacing w:after="60" w:line="259" w:lineRule="auto"/>
            </w:pPr>
            <w:r>
              <w:rPr>
                <w:rFonts w:ascii="Calibri" w:hAnsi="Calibri"/>
                <w:b w:val="0"/>
                <w:i w:val="0"/>
                <w:color w:val="212121"/>
                <w:sz w:val="19"/>
              </w:rPr>
              <w:t>Low fluid intake produces concentrated urine and infrequent voiding, so bacteria are neither diluted nor flushed out; increasing water intake is a core preventive measure.</w:t>
            </w:r>
          </w:p>
          <w:p>
            <w:pPr>
              <w:spacing w:after="40" w:before="60" w:line="259" w:lineRule="auto"/>
            </w:pPr>
            <w:r>
              <w:rPr>
                <w:rFonts w:ascii="Calibri" w:hAnsi="Calibri"/>
                <w:b w:val="0"/>
                <w:i w:val="0"/>
                <w:color w:val="212121"/>
                <w:sz w:val="19"/>
              </w:rPr>
              <w:t>Inadequate water intake was one of the lifestyle factors most strongly associated with UTI risk in Indian women.</w:t>
            </w:r>
          </w:p>
          <w:p>
            <w:pPr>
              <w:spacing w:after="40" w:line="252" w:lineRule="auto"/>
            </w:pPr>
            <w:hyperlink r:id="rId9">
              <w:r>
                <w:rPr>
                  <w:rFonts w:ascii="Calibri" w:hAnsi="Calibri" w:cs="Calibri"/>
                  <w:sz w:val="18"/>
                  <w:color w:val="1155CC"/>
                  <w:u w:val="single"/>
                </w:rPr>
                <w:t xml:space="preserve">pubmed 38774177 — hydration and UTI</w:t>
              </w:r>
            </w:hyperlink>
          </w:p>
          <w:p>
            <w:pPr>
              <w:spacing w:before="60" w:after="40"/>
            </w:pPr>
            <w:r>
              <w:rPr>
                <w:rFonts w:ascii="Calibri" w:hAnsi="Calibri"/>
                <w:b w:val="0"/>
                <w:i w:val="0"/>
                <w:color w:val="5A5A5A"/>
                <w:sz w:val="18"/>
              </w:rPr>
              <w:t>#hydration  #lowfluid  #concentratedurine  #flushing  #prevention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Glycaemic load</w:t>
            </w:r>
          </w:p>
        </w:tc>
        <w:tc>
          <w:tcPr>
            <w:tcW w:type="dxa" w:w="2160"/>
            <w:vAlign w:val="top"/>
          </w:tcPr>
          <w:p>
            <w:pPr>
              <w:spacing w:after="40" w:before="0" w:line="259" w:lineRule="auto"/>
            </w:pPr>
            <w:r>
              <w:rPr>
                <w:rFonts w:ascii="Calibri" w:hAnsi="Calibri"/>
                <w:b w:val="0"/>
                <w:i w:val="0"/>
                <w:color w:val="212121"/>
                <w:sz w:val="19"/>
              </w:rPr>
              <w:t>High-sugar diet / poorly controlled glucose</w:t>
            </w:r>
          </w:p>
        </w:tc>
        <w:tc>
          <w:tcPr>
            <w:tcW w:type="dxa" w:w="4276"/>
            <w:vAlign w:val="top"/>
          </w:tcPr>
          <w:p>
            <w:pPr>
              <w:spacing w:after="60" w:line="259" w:lineRule="auto"/>
            </w:pPr>
            <w:r>
              <w:rPr>
                <w:rFonts w:ascii="Calibri" w:hAnsi="Calibri"/>
                <w:b w:val="0"/>
                <w:i w:val="0"/>
                <w:color w:val="212121"/>
                <w:sz w:val="19"/>
              </w:rPr>
              <w:t>Diets that drive chronic hyperglycaemia lead to glucosuria, and glucose in the urine is a rich nutrient that supports bacterial proliferation while high sugar impairs neutrophil function.</w:t>
            </w:r>
          </w:p>
          <w:p>
            <w:pPr>
              <w:spacing w:before="60" w:after="40"/>
            </w:pPr>
            <w:r>
              <w:rPr>
                <w:rFonts w:ascii="Calibri" w:hAnsi="Calibri"/>
                <w:b w:val="0"/>
                <w:i w:val="0"/>
                <w:color w:val="5A5A5A"/>
                <w:sz w:val="18"/>
              </w:rPr>
              <w:t>#glucosuria  #hyperglycaemia  #sugar  #diabetesdiet  #immunity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secretor status</w:t>
            </w:r>
          </w:p>
        </w:tc>
        <w:tc>
          <w:tcPr>
            <w:tcW w:type="dxa" w:w="2160"/>
            <w:vAlign w:val="top"/>
          </w:tcPr>
          <w:p>
            <w:pPr>
              <w:spacing w:after="40" w:before="0" w:line="259" w:lineRule="auto"/>
            </w:pPr>
            <w:r>
              <w:rPr>
                <w:rFonts w:ascii="Calibri" w:hAnsi="Calibri"/>
                <w:b w:val="0"/>
                <w:i w:val="0"/>
                <w:color w:val="212121"/>
                <w:sz w:val="19"/>
              </w:rPr>
              <w:t>Women with recurrent UTI in first-degree relatives</w:t>
            </w:r>
          </w:p>
        </w:tc>
        <w:tc>
          <w:tcPr>
            <w:tcW w:type="dxa" w:w="4276"/>
            <w:vAlign w:val="top"/>
          </w:tcPr>
          <w:p>
            <w:pPr>
              <w:spacing w:after="60" w:line="259" w:lineRule="auto"/>
            </w:pPr>
            <w:r>
              <w:rPr>
                <w:rFonts w:ascii="Calibri" w:hAnsi="Calibri"/>
                <w:b w:val="0"/>
                <w:i w:val="0"/>
                <w:color w:val="212121"/>
                <w:sz w:val="19"/>
              </w:rPr>
              <w:t>A maternal or sibling history of recurrent UTI and blood-group non-secretor status are linked to urothelial cells that bind uropathogenic E. coli more avidly, predisposing to repeated and relapsing infection.</w:t>
            </w:r>
          </w:p>
          <w:p>
            <w:pPr>
              <w:spacing w:before="60" w:after="40"/>
            </w:pPr>
            <w:r>
              <w:rPr>
                <w:rFonts w:ascii="Calibri" w:hAnsi="Calibri"/>
                <w:b w:val="0"/>
                <w:i w:val="0"/>
                <w:color w:val="5A5A5A"/>
                <w:sz w:val="18"/>
              </w:rPr>
              <w:t>#familyhistory  #nonsecretor  #recurrentUTI  #urothelialadhesion  #genetic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Congenital anomaly</w:t>
            </w:r>
          </w:p>
        </w:tc>
        <w:tc>
          <w:tcPr>
            <w:tcW w:type="dxa" w:w="2160"/>
            <w:vAlign w:val="top"/>
          </w:tcPr>
          <w:p>
            <w:pPr>
              <w:spacing w:after="40" w:before="0" w:line="259" w:lineRule="auto"/>
            </w:pPr>
            <w:r>
              <w:rPr>
                <w:rFonts w:ascii="Calibri" w:hAnsi="Calibri"/>
                <w:b w:val="0"/>
                <w:i w:val="0"/>
                <w:color w:val="212121"/>
                <w:sz w:val="19"/>
              </w:rPr>
              <w:t>Children with vesicoureteral reflux</w:t>
            </w:r>
          </w:p>
        </w:tc>
        <w:tc>
          <w:tcPr>
            <w:tcW w:type="dxa" w:w="4276"/>
            <w:vAlign w:val="top"/>
          </w:tcPr>
          <w:p>
            <w:pPr>
              <w:spacing w:after="60" w:line="259" w:lineRule="auto"/>
            </w:pPr>
            <w:r>
              <w:rPr>
                <w:rFonts w:ascii="Calibri" w:hAnsi="Calibri"/>
                <w:b w:val="0"/>
                <w:i w:val="0"/>
                <w:color w:val="212121"/>
                <w:sz w:val="19"/>
              </w:rPr>
              <w:t>Congenital vesicoureteral reflux allows infected bladder urine to track back up to the kidneys, causing recurrent febrile UTIs and, if repeated, permanent renal scarring in childhood.</w:t>
            </w:r>
          </w:p>
          <w:p>
            <w:pPr>
              <w:spacing w:before="60" w:after="40"/>
            </w:pPr>
            <w:r>
              <w:rPr>
                <w:rFonts w:ascii="Calibri" w:hAnsi="Calibri"/>
                <w:b w:val="0"/>
                <w:i w:val="0"/>
                <w:color w:val="5A5A5A"/>
                <w:sz w:val="18"/>
              </w:rPr>
              <w:t>#VUR  #reflux  #paediatric  #renalscarring  #congenital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w:t>
            </w:r>
          </w:p>
        </w:tc>
        <w:tc>
          <w:tcPr>
            <w:tcW w:type="dxa" w:w="4276"/>
            <w:vAlign w:val="top"/>
          </w:tcPr>
          <w:p>
            <w:pPr>
              <w:spacing w:after="60" w:line="259" w:lineRule="auto"/>
            </w:pPr>
            <w:r>
              <w:rPr>
                <w:rFonts w:ascii="Calibri" w:hAnsi="Calibri"/>
                <w:b w:val="0"/>
                <w:i w:val="0"/>
                <w:color w:val="212121"/>
                <w:sz w:val="19"/>
              </w:rPr>
              <w:t>Glucosuria feeds bacteria, hyperglycaemia impairs neutrophil and immune function, and diabetic autonomic neuropathy causes incomplete emptying — together raising the risk and severity of UTI, including emphysematous pyelonephritis.</w:t>
            </w:r>
          </w:p>
          <w:p>
            <w:pPr>
              <w:spacing w:after="40" w:before="60" w:line="259" w:lineRule="auto"/>
            </w:pPr>
            <w:r>
              <w:rPr>
                <w:rFonts w:ascii="Calibri" w:hAnsi="Calibri"/>
                <w:b w:val="0"/>
                <w:i w:val="0"/>
                <w:color w:val="212121"/>
                <w:sz w:val="19"/>
              </w:rPr>
              <w:t>UTI risk is a recognised concern in diabetes, and SGLT2-inhibitor glucose-lowering drugs further increase glucosuria, prompting active study of their effect on symptomatic UTI.</w:t>
            </w:r>
          </w:p>
          <w:p>
            <w:pPr>
              <w:spacing w:after="40" w:line="252" w:lineRule="auto"/>
            </w:pPr>
            <w:hyperlink r:id="rId15">
              <w:r>
                <w:rPr>
                  <w:rFonts w:ascii="Calibri" w:hAnsi="Calibri" w:cs="Calibri"/>
                  <w:sz w:val="18"/>
                  <w:color w:val="1155CC"/>
                  <w:u w:val="single"/>
                </w:rPr>
                <w:t xml:space="preserve">pubmed 42463183 — SGLT2 inhibitors and UTI</w:t>
              </w:r>
            </w:hyperlink>
          </w:p>
          <w:p>
            <w:pPr>
              <w:spacing w:before="60" w:after="40"/>
            </w:pPr>
            <w:r>
              <w:rPr>
                <w:rFonts w:ascii="Calibri" w:hAnsi="Calibri"/>
                <w:b w:val="0"/>
                <w:i w:val="0"/>
                <w:color w:val="5A5A5A"/>
                <w:sz w:val="18"/>
              </w:rPr>
              <w:t>#diabetes  #glucosuria  #immunecompromise  #SGLT2  #emphysematous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Benign prostatic hyperplasia</w:t>
            </w:r>
          </w:p>
        </w:tc>
        <w:tc>
          <w:tcPr>
            <w:tcW w:type="dxa" w:w="2160"/>
            <w:vAlign w:val="top"/>
          </w:tcPr>
          <w:p>
            <w:pPr>
              <w:spacing w:after="40" w:before="0" w:line="259" w:lineRule="auto"/>
            </w:pPr>
            <w:r>
              <w:rPr>
                <w:rFonts w:ascii="Calibri" w:hAnsi="Calibri"/>
                <w:b w:val="0"/>
                <w:i w:val="0"/>
                <w:color w:val="212121"/>
                <w:sz w:val="19"/>
              </w:rPr>
              <w:t>Older men with bladder outlet obstruction</w:t>
            </w:r>
          </w:p>
        </w:tc>
        <w:tc>
          <w:tcPr>
            <w:tcW w:type="dxa" w:w="4276"/>
            <w:vAlign w:val="top"/>
          </w:tcPr>
          <w:p>
            <w:pPr>
              <w:spacing w:after="60" w:line="259" w:lineRule="auto"/>
            </w:pPr>
            <w:r>
              <w:rPr>
                <w:rFonts w:ascii="Calibri" w:hAnsi="Calibri"/>
                <w:b w:val="0"/>
                <w:i w:val="0"/>
                <w:color w:val="212121"/>
                <w:sz w:val="19"/>
              </w:rPr>
              <w:t>Prostatic enlargement obstructs bladder outflow, leaving residual urine that acts as a culture medium; recurrent or persistent UTI in a man should prompt evaluation of the prostate and lower tract.</w:t>
            </w:r>
          </w:p>
          <w:p>
            <w:pPr>
              <w:spacing w:before="60" w:after="40"/>
            </w:pPr>
            <w:r>
              <w:rPr>
                <w:rFonts w:ascii="Calibri" w:hAnsi="Calibri"/>
                <w:b w:val="0"/>
                <w:i w:val="0"/>
                <w:color w:val="5A5A5A"/>
                <w:sz w:val="18"/>
              </w:rPr>
              <w:t>#BPH  #outletobstruction  #residualurine  #malUTI  #prostatism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Urolithiasis</w:t>
            </w:r>
          </w:p>
        </w:tc>
        <w:tc>
          <w:tcPr>
            <w:tcW w:type="dxa" w:w="2160"/>
            <w:vAlign w:val="top"/>
          </w:tcPr>
          <w:p>
            <w:pPr>
              <w:spacing w:after="40" w:before="0" w:line="259" w:lineRule="auto"/>
            </w:pPr>
            <w:r>
              <w:rPr>
                <w:rFonts w:ascii="Calibri" w:hAnsi="Calibri"/>
                <w:b w:val="0"/>
                <w:i w:val="0"/>
                <w:color w:val="212121"/>
                <w:sz w:val="19"/>
              </w:rPr>
              <w:t>Patients with kidney or bladder stones</w:t>
            </w:r>
          </w:p>
        </w:tc>
        <w:tc>
          <w:tcPr>
            <w:tcW w:type="dxa" w:w="4276"/>
            <w:vAlign w:val="top"/>
          </w:tcPr>
          <w:p>
            <w:pPr>
              <w:spacing w:after="60" w:line="259" w:lineRule="auto"/>
            </w:pPr>
            <w:r>
              <w:rPr>
                <w:rFonts w:ascii="Calibri" w:hAnsi="Calibri"/>
                <w:b w:val="0"/>
                <w:i w:val="0"/>
                <w:color w:val="212121"/>
                <w:sz w:val="19"/>
              </w:rPr>
              <w:t>Stones obstruct urine flow and provide a protected surface for bacterial biofilm; conversely, urease-producing organisms (Proteus, Klebsiella) generate struvite stones, setting up a self-perpetuating stone–infection cycle.</w:t>
            </w:r>
          </w:p>
          <w:p>
            <w:pPr>
              <w:spacing w:before="60" w:after="40"/>
            </w:pPr>
            <w:r>
              <w:rPr>
                <w:rFonts w:ascii="Calibri" w:hAnsi="Calibri"/>
                <w:b w:val="0"/>
                <w:i w:val="0"/>
                <w:color w:val="5A5A5A"/>
                <w:sz w:val="18"/>
              </w:rPr>
              <w:t>#stones  #struvite  #obstruction  #biofilm  #Proteus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w:t>
            </w:r>
          </w:p>
        </w:tc>
        <w:tc>
          <w:tcPr>
            <w:tcW w:type="dxa" w:w="4276"/>
            <w:vAlign w:val="top"/>
          </w:tcPr>
          <w:p>
            <w:pPr>
              <w:spacing w:after="60" w:line="259" w:lineRule="auto"/>
            </w:pPr>
            <w:r>
              <w:rPr>
                <w:rFonts w:ascii="Calibri" w:hAnsi="Calibri"/>
                <w:b w:val="0"/>
                <w:i w:val="0"/>
                <w:color w:val="212121"/>
                <w:sz w:val="19"/>
              </w:rPr>
              <w:t>Progesterone-mediated ureteric dilatation and the pressure of the gravid uterus cause urinary stasis; untreated bacteriuria can ascend to cause pyelonephritis and trigger preterm labour and low birth weight, so screening is recommended.</w:t>
            </w:r>
          </w:p>
          <w:p>
            <w:pPr>
              <w:spacing w:after="40" w:before="60" w:line="259" w:lineRule="auto"/>
            </w:pPr>
            <w:r>
              <w:rPr>
                <w:rFonts w:ascii="Calibri" w:hAnsi="Calibri"/>
                <w:b w:val="0"/>
                <w:i w:val="0"/>
                <w:color w:val="212121"/>
                <w:sz w:val="19"/>
              </w:rPr>
              <w:t>Asymptomatic bacteriuria was found in up to 29% of pregnant women at a Jaipur tertiary hospital, the majority (72%) with no symptoms.</w:t>
            </w:r>
          </w:p>
          <w:p>
            <w:pPr>
              <w:spacing w:after="40" w:line="252" w:lineRule="auto"/>
            </w:pPr>
            <w:hyperlink r:id="rId16">
              <w:r>
                <w:rPr>
                  <w:rFonts w:ascii="Calibri" w:hAnsi="Calibri" w:cs="Calibri"/>
                  <w:sz w:val="18"/>
                  <w:color w:val="1155CC"/>
                  <w:u w:val="single"/>
                </w:rPr>
                <w:t xml:space="preserve">pubmed 42516470 — ASB in pregnancy, Jaipur</w:t>
              </w:r>
            </w:hyperlink>
          </w:p>
          <w:p>
            <w:pPr>
              <w:spacing w:before="60" w:after="40"/>
            </w:pPr>
            <w:r>
              <w:rPr>
                <w:rFonts w:ascii="Calibri" w:hAnsi="Calibri"/>
                <w:b w:val="0"/>
                <w:i w:val="0"/>
                <w:color w:val="5A5A5A"/>
                <w:sz w:val="18"/>
              </w:rPr>
              <w:t>#pregnancy  #asymptomaticbacteriuria  #pyelonephritis  #pretermbirth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Indwelling catheter / neurogenic bladder</w:t>
            </w:r>
          </w:p>
        </w:tc>
        <w:tc>
          <w:tcPr>
            <w:tcW w:type="dxa" w:w="2160"/>
            <w:vAlign w:val="top"/>
          </w:tcPr>
          <w:p>
            <w:pPr>
              <w:spacing w:after="40" w:before="0" w:line="259" w:lineRule="auto"/>
            </w:pPr>
            <w:r>
              <w:rPr>
                <w:rFonts w:ascii="Calibri" w:hAnsi="Calibri"/>
                <w:b w:val="0"/>
                <w:i w:val="0"/>
                <w:color w:val="212121"/>
                <w:sz w:val="19"/>
              </w:rPr>
              <w:t>Catheterised and spinal-injury patients</w:t>
            </w:r>
          </w:p>
        </w:tc>
        <w:tc>
          <w:tcPr>
            <w:tcW w:type="dxa" w:w="4276"/>
            <w:vAlign w:val="top"/>
          </w:tcPr>
          <w:p>
            <w:pPr>
              <w:spacing w:after="60" w:line="259" w:lineRule="auto"/>
            </w:pPr>
            <w:r>
              <w:rPr>
                <w:rFonts w:ascii="Calibri" w:hAnsi="Calibri"/>
                <w:b w:val="0"/>
                <w:i w:val="0"/>
                <w:color w:val="212121"/>
                <w:sz w:val="19"/>
              </w:rPr>
              <w:t>An indwelling catheter bypasses urethral defences and forms a biofilm, while a neurogenic bladder retains urine; both make bacteriuria almost universal over time and CAUTI the commonest healthcare-associated infection.</w:t>
            </w:r>
          </w:p>
          <w:p>
            <w:pPr>
              <w:spacing w:before="60" w:after="40"/>
            </w:pPr>
            <w:r>
              <w:rPr>
                <w:rFonts w:ascii="Calibri" w:hAnsi="Calibri"/>
                <w:b w:val="0"/>
                <w:i w:val="0"/>
                <w:color w:val="5A5A5A"/>
                <w:sz w:val="18"/>
              </w:rPr>
              <w:t>#CAUTI  #catheter  #biofilm  #neurogenicbladder  #healthcareassociated</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is not a primary driver of UTI, but obesity, prolonged immobility and pelvic-floor dysfunction that leave residual urine modestly increase risk; regular activity and weight control support complete bladder emptying.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influences UTI mainly through fluids and glucose: high fluid intake dilutes and flushes the bladder, whereas a high-sugar diet driving glucosuria feeds uropathogens. Cranberry and D-mannose show modest, inconsistent preventive effects.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linking sleep directly to UTI is sparse; poor sleep may weakly impair immune defence, and in the elderly a UTI itself commonly disrupts sleep and precipitates nocturnal confusion.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a major cause of bladder cancer and may impair mucosal immunity, but its direct causal link with UTI is weak; it remains relevant to overall urinary-tract health.</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a bladder irritant that can worsen urinary symptoms and promote dehydration, but it is not an established cause of infection.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Stress does not cause UTI directly, yet recurrent UTI significantly impairs quality of life and sexual health, and in older adults acute UTI can present as delirium, agitation or low mood.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Hydration is one of the most important modifiable factors: adequate fluid intake dilutes urine and flushes bacteria, and inadequate water intake is among the lifestyle factors most strongly associated with UTI in Indian women.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irritates the bladder and can aggravate urgency and dysuria during an infection, but it does not itself cause UTI; its diuretic effect must be balanced against overall hydration.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Perineal hygiene, front-to-back wiping, post-coital voiding and aseptic catheter care are central to prevention; poor hygiene transfers faecal flora to the urethra and is a key modifiable driver, especially where sanitation is poor.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Sexual intercourse, spermicide/diaphragm use, urinary catheterisation, instrumentation, obstruction from stones or prostate, and pregnancy are the dominant provoking factors for both first and recurrent infections.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 (litres/day)</w:t>
            </w:r>
          </w:p>
        </w:tc>
        <w:tc>
          <w:tcPr>
            <w:tcW w:type="dxa" w:w="1655"/>
            <w:vAlign w:val="top"/>
          </w:tcPr>
          <w:p>
            <w:pPr>
              <w:spacing w:after="40" w:before="0" w:line="259" w:lineRule="auto"/>
            </w:pPr>
            <w:r>
              <w:rPr>
                <w:rFonts w:ascii="Calibri" w:hAnsi="Calibri"/>
                <w:b w:val="0"/>
                <w:i w:val="0"/>
                <w:color w:val="212121"/>
                <w:sz w:val="19"/>
              </w:rPr>
              <w:t>Adults, women with recurrent UTI</w:t>
            </w:r>
          </w:p>
        </w:tc>
        <w:tc>
          <w:tcPr>
            <w:tcW w:type="dxa" w:w="1512"/>
            <w:vAlign w:val="top"/>
          </w:tcPr>
          <w:p>
            <w:pPr>
              <w:spacing w:after="40" w:before="0" w:line="259" w:lineRule="auto"/>
            </w:pPr>
            <w:r>
              <w:rPr>
                <w:rFonts w:ascii="Calibri" w:hAnsi="Calibri"/>
                <w:b w:val="0"/>
                <w:i w:val="0"/>
                <w:color w:val="212121"/>
                <w:sz w:val="19"/>
              </w:rPr>
              <w:t>≥ 1.5–2 L/day (6–8 glasses); pale-yellow urine</w:t>
            </w:r>
          </w:p>
        </w:tc>
        <w:tc>
          <w:tcPr>
            <w:tcW w:type="dxa" w:w="1512"/>
            <w:vAlign w:val="top"/>
          </w:tcPr>
          <w:p>
            <w:pPr>
              <w:spacing w:after="40" w:before="0" w:line="259" w:lineRule="auto"/>
            </w:pPr>
            <w:r>
              <w:rPr>
                <w:rFonts w:ascii="Calibri" w:hAnsi="Calibri"/>
                <w:b w:val="0"/>
                <w:i w:val="0"/>
                <w:color w:val="212121"/>
                <w:sz w:val="19"/>
              </w:rPr>
              <w:t>&lt; 1.5 L/day or dark, concentrated urine</w:t>
            </w:r>
          </w:p>
        </w:tc>
        <w:tc>
          <w:tcPr>
            <w:tcW w:type="dxa" w:w="1468"/>
            <w:vAlign w:val="top"/>
          </w:tcPr>
          <w:p>
            <w:pPr>
              <w:spacing w:after="60" w:line="259" w:lineRule="auto"/>
            </w:pPr>
            <w:r>
              <w:rPr>
                <w:rFonts w:ascii="Calibri" w:hAnsi="Calibri"/>
                <w:b w:val="0"/>
                <w:i w:val="0"/>
                <w:color w:val="212121"/>
                <w:sz w:val="19"/>
              </w:rPr>
              <w:t>Higher fluid intake dilutes urine and flushes bacteria; a core preventive measure</w:t>
            </w:r>
          </w:p>
          <w:p>
            <w:pPr>
              <w:spacing w:after="40" w:line="252" w:lineRule="auto"/>
            </w:pPr>
            <w:hyperlink r:id="rId9">
              <w:r>
                <w:rPr>
                  <w:rFonts w:ascii="Calibri" w:hAnsi="Calibri" w:cs="Calibri"/>
                  <w:sz w:val="18"/>
                  <w:color w:val="1155CC"/>
                  <w:u w:val="single"/>
                </w:rPr>
                <w:t xml:space="preserve">https://pubmed.ncbi.nlm.nih.gov/38774177/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Bladder voiding interval</w:t>
            </w:r>
          </w:p>
        </w:tc>
        <w:tc>
          <w:tcPr>
            <w:tcW w:type="dxa" w:w="1655"/>
            <w:vAlign w:val="top"/>
          </w:tcPr>
          <w:p>
            <w:pPr>
              <w:spacing w:after="40" w:before="0" w:line="259" w:lineRule="auto"/>
            </w:pPr>
            <w:r>
              <w:rPr>
                <w:rFonts w:ascii="Calibri" w:hAnsi="Calibri"/>
                <w:b w:val="0"/>
                <w:i w:val="0"/>
                <w:color w:val="212121"/>
                <w:sz w:val="19"/>
              </w:rPr>
              <w:t>Habitual urine-holders, office/field workers</w:t>
            </w:r>
          </w:p>
        </w:tc>
        <w:tc>
          <w:tcPr>
            <w:tcW w:type="dxa" w:w="1512"/>
            <w:vAlign w:val="top"/>
          </w:tcPr>
          <w:p>
            <w:pPr>
              <w:spacing w:after="40" w:before="0" w:line="259" w:lineRule="auto"/>
            </w:pPr>
            <w:r>
              <w:rPr>
                <w:rFonts w:ascii="Calibri" w:hAnsi="Calibri"/>
                <w:b w:val="0"/>
                <w:i w:val="0"/>
                <w:color w:val="212121"/>
                <w:sz w:val="19"/>
              </w:rPr>
              <w:t>Void every 3–4 h; do not hold urine when needed</w:t>
            </w:r>
          </w:p>
        </w:tc>
        <w:tc>
          <w:tcPr>
            <w:tcW w:type="dxa" w:w="1512"/>
            <w:vAlign w:val="top"/>
          </w:tcPr>
          <w:p>
            <w:pPr>
              <w:spacing w:after="40" w:before="0" w:line="259" w:lineRule="auto"/>
            </w:pPr>
            <w:r>
              <w:rPr>
                <w:rFonts w:ascii="Calibri" w:hAnsi="Calibri"/>
                <w:b w:val="0"/>
                <w:i w:val="0"/>
                <w:color w:val="212121"/>
                <w:sz w:val="19"/>
              </w:rPr>
              <w:t>Regularly holding urine &gt; 5–6 h</w:t>
            </w:r>
          </w:p>
        </w:tc>
        <w:tc>
          <w:tcPr>
            <w:tcW w:type="dxa" w:w="1468"/>
            <w:vAlign w:val="top"/>
          </w:tcPr>
          <w:p>
            <w:pPr>
              <w:spacing w:after="40" w:before="0" w:line="259" w:lineRule="auto"/>
            </w:pPr>
            <w:r>
              <w:rPr>
                <w:rFonts w:ascii="Calibri" w:hAnsi="Calibri"/>
                <w:b w:val="0"/>
                <w:i w:val="0"/>
                <w:color w:val="212121"/>
                <w:sz w:val="19"/>
              </w:rPr>
              <w:t>Prolonged retention lets bacteria multiply and reduces mechanical flushing</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Post-coital voiding &amp; wiping direction</w:t>
            </w:r>
          </w:p>
        </w:tc>
        <w:tc>
          <w:tcPr>
            <w:tcW w:type="dxa" w:w="1655"/>
            <w:vAlign w:val="top"/>
          </w:tcPr>
          <w:p>
            <w:pPr>
              <w:spacing w:after="40" w:before="0" w:line="259" w:lineRule="auto"/>
            </w:pPr>
            <w:r>
              <w:rPr>
                <w:rFonts w:ascii="Calibri" w:hAnsi="Calibri"/>
                <w:b w:val="0"/>
                <w:i w:val="0"/>
                <w:color w:val="212121"/>
                <w:sz w:val="19"/>
              </w:rPr>
              <w:t>Sexually active women</w:t>
            </w:r>
          </w:p>
        </w:tc>
        <w:tc>
          <w:tcPr>
            <w:tcW w:type="dxa" w:w="1512"/>
            <w:vAlign w:val="top"/>
          </w:tcPr>
          <w:p>
            <w:pPr>
              <w:spacing w:after="40" w:before="0" w:line="259" w:lineRule="auto"/>
            </w:pPr>
            <w:r>
              <w:rPr>
                <w:rFonts w:ascii="Calibri" w:hAnsi="Calibri"/>
                <w:b w:val="0"/>
                <w:i w:val="0"/>
                <w:color w:val="212121"/>
                <w:sz w:val="19"/>
              </w:rPr>
              <w:t>Void within ~30 min of intercourse; wipe front-to-back</w:t>
            </w:r>
          </w:p>
        </w:tc>
        <w:tc>
          <w:tcPr>
            <w:tcW w:type="dxa" w:w="1512"/>
            <w:vAlign w:val="top"/>
          </w:tcPr>
          <w:p>
            <w:pPr>
              <w:spacing w:after="40" w:before="0" w:line="259" w:lineRule="auto"/>
            </w:pPr>
            <w:r>
              <w:rPr>
                <w:rFonts w:ascii="Calibri" w:hAnsi="Calibri"/>
                <w:b w:val="0"/>
                <w:i w:val="0"/>
                <w:color w:val="212121"/>
                <w:sz w:val="19"/>
              </w:rPr>
              <w:t>No post-coital void; back-to-front wiping</w:t>
            </w:r>
          </w:p>
        </w:tc>
        <w:tc>
          <w:tcPr>
            <w:tcW w:type="dxa" w:w="1468"/>
            <w:vAlign w:val="top"/>
          </w:tcPr>
          <w:p>
            <w:pPr>
              <w:spacing w:after="60" w:line="259" w:lineRule="auto"/>
            </w:pPr>
            <w:r>
              <w:rPr>
                <w:rFonts w:ascii="Calibri" w:hAnsi="Calibri"/>
                <w:b w:val="0"/>
                <w:i w:val="0"/>
                <w:color w:val="212121"/>
                <w:sz w:val="19"/>
              </w:rPr>
              <w:t>Reduces periurethral inoculation of faecal flora</w:t>
            </w:r>
          </w:p>
          <w:p>
            <w:pPr>
              <w:spacing w:after="40" w:line="252" w:lineRule="auto"/>
            </w:pPr>
            <w:hyperlink r:id="rId14">
              <w:r>
                <w:rPr>
                  <w:rFonts w:ascii="Calibri" w:hAnsi="Calibri" w:cs="Calibri"/>
                  <w:sz w:val="18"/>
                  <w:color w:val="1155CC"/>
                  <w:u w:val="single"/>
                </w:rPr>
                <w:t xml:space="preserve">https://www.cdc.gov/uti/about/index.html</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Indwelling urinary catheter duration</w:t>
            </w:r>
          </w:p>
        </w:tc>
        <w:tc>
          <w:tcPr>
            <w:tcW w:type="dxa" w:w="1655"/>
            <w:vAlign w:val="top"/>
          </w:tcPr>
          <w:p>
            <w:pPr>
              <w:spacing w:after="40" w:before="0" w:line="259" w:lineRule="auto"/>
            </w:pPr>
            <w:r>
              <w:rPr>
                <w:rFonts w:ascii="Calibri" w:hAnsi="Calibri"/>
                <w:b w:val="0"/>
                <w:i w:val="0"/>
                <w:color w:val="212121"/>
                <w:sz w:val="19"/>
              </w:rPr>
              <w:t>Hospitalised / catheterised patients</w:t>
            </w:r>
          </w:p>
        </w:tc>
        <w:tc>
          <w:tcPr>
            <w:tcW w:type="dxa" w:w="1512"/>
            <w:vAlign w:val="top"/>
          </w:tcPr>
          <w:p>
            <w:pPr>
              <w:spacing w:after="40" w:before="0" w:line="259" w:lineRule="auto"/>
            </w:pPr>
            <w:r>
              <w:rPr>
                <w:rFonts w:ascii="Calibri" w:hAnsi="Calibri"/>
                <w:b w:val="0"/>
                <w:i w:val="0"/>
                <w:color w:val="212121"/>
                <w:sz w:val="19"/>
              </w:rPr>
              <w:t>Avoid or remove as early as possible</w:t>
            </w:r>
          </w:p>
        </w:tc>
        <w:tc>
          <w:tcPr>
            <w:tcW w:type="dxa" w:w="1512"/>
            <w:vAlign w:val="top"/>
          </w:tcPr>
          <w:p>
            <w:pPr>
              <w:spacing w:after="40" w:before="0" w:line="259" w:lineRule="auto"/>
            </w:pPr>
            <w:r>
              <w:rPr>
                <w:rFonts w:ascii="Calibri" w:hAnsi="Calibri"/>
                <w:b w:val="0"/>
                <w:i w:val="0"/>
                <w:color w:val="212121"/>
                <w:sz w:val="19"/>
              </w:rPr>
              <w:t>Prolonged/unnecessary catheterisation</w:t>
            </w:r>
          </w:p>
        </w:tc>
        <w:tc>
          <w:tcPr>
            <w:tcW w:type="dxa" w:w="1468"/>
            <w:vAlign w:val="top"/>
          </w:tcPr>
          <w:p>
            <w:pPr>
              <w:spacing w:after="40" w:before="0" w:line="259" w:lineRule="auto"/>
            </w:pPr>
            <w:r>
              <w:rPr>
                <w:rFonts w:ascii="Calibri" w:hAnsi="Calibri"/>
                <w:b w:val="0"/>
                <w:i w:val="0"/>
                <w:color w:val="212121"/>
                <w:sz w:val="19"/>
              </w:rPr>
              <w:t>Bacteriuria accrues with each catheter-day; CAUTI is the commonest healthcare-associated infection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Spermicide / diaphragm contraception</w:t>
            </w:r>
          </w:p>
        </w:tc>
        <w:tc>
          <w:tcPr>
            <w:tcW w:type="dxa" w:w="1655"/>
            <w:vAlign w:val="top"/>
          </w:tcPr>
          <w:p>
            <w:pPr>
              <w:spacing w:after="40" w:before="0" w:line="259" w:lineRule="auto"/>
            </w:pPr>
            <w:r>
              <w:rPr>
                <w:rFonts w:ascii="Calibri" w:hAnsi="Calibri"/>
                <w:b w:val="0"/>
                <w:i w:val="0"/>
                <w:color w:val="212121"/>
                <w:sz w:val="19"/>
              </w:rPr>
              <w:t>Women with recurrent UTI</w:t>
            </w:r>
          </w:p>
        </w:tc>
        <w:tc>
          <w:tcPr>
            <w:tcW w:type="dxa" w:w="1512"/>
            <w:vAlign w:val="top"/>
          </w:tcPr>
          <w:p>
            <w:pPr>
              <w:spacing w:after="40" w:before="0" w:line="259" w:lineRule="auto"/>
            </w:pPr>
            <w:r>
              <w:rPr>
                <w:rFonts w:ascii="Calibri" w:hAnsi="Calibri"/>
                <w:b w:val="0"/>
                <w:i w:val="0"/>
                <w:color w:val="212121"/>
                <w:sz w:val="19"/>
              </w:rPr>
              <w:t>Avoid spermicide-based methods if recurrent UTI</w:t>
            </w:r>
          </w:p>
        </w:tc>
        <w:tc>
          <w:tcPr>
            <w:tcW w:type="dxa" w:w="1512"/>
            <w:vAlign w:val="top"/>
          </w:tcPr>
          <w:p>
            <w:pPr>
              <w:spacing w:after="40" w:before="0" w:line="259" w:lineRule="auto"/>
            </w:pPr>
            <w:r>
              <w:rPr>
                <w:rFonts w:ascii="Calibri" w:hAnsi="Calibri"/>
                <w:b w:val="0"/>
                <w:i w:val="0"/>
                <w:color w:val="212121"/>
                <w:sz w:val="19"/>
              </w:rPr>
              <w:t>Regular spermicide/diaphragm use</w:t>
            </w:r>
          </w:p>
        </w:tc>
        <w:tc>
          <w:tcPr>
            <w:tcW w:type="dxa" w:w="1468"/>
            <w:vAlign w:val="top"/>
          </w:tcPr>
          <w:p>
            <w:pPr>
              <w:spacing w:after="60" w:line="259" w:lineRule="auto"/>
            </w:pPr>
            <w:r>
              <w:rPr>
                <w:rFonts w:ascii="Calibri" w:hAnsi="Calibri"/>
                <w:b w:val="0"/>
                <w:i w:val="0"/>
                <w:color w:val="212121"/>
                <w:sz w:val="19"/>
              </w:rPr>
              <w:t>Spermicides disrupt protective vaginal lactobacilli and raise colonisation</w:t>
            </w:r>
          </w:p>
          <w:p>
            <w:pPr>
              <w:spacing w:after="40" w:line="252" w:lineRule="auto"/>
            </w:pPr>
            <w:hyperlink r:id="rId9">
              <w:r>
                <w:rPr>
                  <w:rFonts w:ascii="Calibri" w:hAnsi="Calibri" w:cs="Calibri"/>
                  <w:sz w:val="18"/>
                  <w:color w:val="1155CC"/>
                  <w:u w:val="single"/>
                </w:rPr>
                <w:t xml:space="preserve">https://pubmed.ncbi.nlm.nih.gov/38774177/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UTI episodes per year (recurrence)</w:t>
            </w:r>
          </w:p>
        </w:tc>
        <w:tc>
          <w:tcPr>
            <w:tcW w:type="dxa" w:w="1655"/>
            <w:vAlign w:val="top"/>
          </w:tcPr>
          <w:p>
            <w:pPr>
              <w:spacing w:after="40" w:before="0" w:line="259" w:lineRule="auto"/>
            </w:pPr>
            <w:r>
              <w:rPr>
                <w:rFonts w:ascii="Calibri" w:hAnsi="Calibri"/>
                <w:b w:val="0"/>
                <w:i w:val="0"/>
                <w:color w:val="212121"/>
                <w:sz w:val="19"/>
              </w:rPr>
              <w:t>Women, complicated-UTI patients</w:t>
            </w:r>
          </w:p>
        </w:tc>
        <w:tc>
          <w:tcPr>
            <w:tcW w:type="dxa" w:w="1512"/>
            <w:vAlign w:val="top"/>
          </w:tcPr>
          <w:p>
            <w:pPr>
              <w:spacing w:after="40" w:before="0" w:line="259" w:lineRule="auto"/>
            </w:pPr>
            <w:r>
              <w:rPr>
                <w:rFonts w:ascii="Calibri" w:hAnsi="Calibri"/>
                <w:b w:val="0"/>
                <w:i w:val="0"/>
                <w:color w:val="212121"/>
                <w:sz w:val="19"/>
              </w:rPr>
              <w:t>0–1 per year</w:t>
            </w:r>
          </w:p>
        </w:tc>
        <w:tc>
          <w:tcPr>
            <w:tcW w:type="dxa" w:w="1512"/>
            <w:vAlign w:val="top"/>
          </w:tcPr>
          <w:p>
            <w:pPr>
              <w:spacing w:after="40" w:before="0" w:line="259" w:lineRule="auto"/>
            </w:pPr>
            <w:r>
              <w:rPr>
                <w:rFonts w:ascii="Calibri" w:hAnsi="Calibri"/>
                <w:b w:val="0"/>
                <w:i w:val="0"/>
                <w:color w:val="212121"/>
                <w:sz w:val="19"/>
              </w:rPr>
              <w:t>≥ 2 in 6 months or ≥ 3 in 12 months</w:t>
            </w:r>
          </w:p>
        </w:tc>
        <w:tc>
          <w:tcPr>
            <w:tcW w:type="dxa" w:w="1468"/>
            <w:vAlign w:val="top"/>
          </w:tcPr>
          <w:p>
            <w:pPr>
              <w:spacing w:after="40" w:before="0" w:line="259" w:lineRule="auto"/>
            </w:pPr>
            <w:r>
              <w:rPr>
                <w:rFonts w:ascii="Calibri" w:hAnsi="Calibri"/>
                <w:b w:val="0"/>
                <w:i w:val="0"/>
                <w:color w:val="212121"/>
                <w:sz w:val="19"/>
              </w:rPr>
              <w:t>Defines recurrent UTI; warrants prophylaxis review and evaluation for a persistent focus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glucose / HbA1c (glucosuria control)</w:t>
            </w:r>
          </w:p>
        </w:tc>
        <w:tc>
          <w:tcPr>
            <w:tcW w:type="dxa" w:w="1655"/>
            <w:vAlign w:val="top"/>
          </w:tcPr>
          <w:p>
            <w:pPr>
              <w:spacing w:after="40" w:before="0" w:line="259" w:lineRule="auto"/>
            </w:pPr>
            <w:r>
              <w:rPr>
                <w:rFonts w:ascii="Calibri" w:hAnsi="Calibri"/>
                <w:b w:val="0"/>
                <w:i w:val="0"/>
                <w:color w:val="212121"/>
                <w:sz w:val="19"/>
              </w:rPr>
              <w:t>Diabetic and prediabetic adults</w:t>
            </w:r>
          </w:p>
        </w:tc>
        <w:tc>
          <w:tcPr>
            <w:tcW w:type="dxa" w:w="1512"/>
            <w:vAlign w:val="top"/>
          </w:tcPr>
          <w:p>
            <w:pPr>
              <w:spacing w:after="40" w:before="0" w:line="259" w:lineRule="auto"/>
            </w:pPr>
            <w:r>
              <w:rPr>
                <w:rFonts w:ascii="Calibri" w:hAnsi="Calibri"/>
                <w:b w:val="0"/>
                <w:i w:val="0"/>
                <w:color w:val="212121"/>
                <w:sz w:val="19"/>
              </w:rPr>
              <w:t>FBS 70–99 mg/dL; HbA1c &lt; 5.7%</w:t>
            </w:r>
          </w:p>
        </w:tc>
        <w:tc>
          <w:tcPr>
            <w:tcW w:type="dxa" w:w="1512"/>
            <w:vAlign w:val="top"/>
          </w:tcPr>
          <w:p>
            <w:pPr>
              <w:spacing w:after="40" w:before="0" w:line="259" w:lineRule="auto"/>
            </w:pPr>
            <w:r>
              <w:rPr>
                <w:rFonts w:ascii="Calibri" w:hAnsi="Calibri"/>
                <w:b w:val="0"/>
                <w:i w:val="0"/>
                <w:color w:val="212121"/>
                <w:sz w:val="19"/>
              </w:rPr>
              <w:t>FBS ≥ 126 mg/dL; HbA1c ≥ 6.5% with glucosuria</w:t>
            </w:r>
          </w:p>
        </w:tc>
        <w:tc>
          <w:tcPr>
            <w:tcW w:type="dxa" w:w="1468"/>
            <w:vAlign w:val="top"/>
          </w:tcPr>
          <w:p>
            <w:pPr>
              <w:spacing w:after="40" w:before="0" w:line="259" w:lineRule="auto"/>
            </w:pPr>
            <w:r>
              <w:rPr>
                <w:rFonts w:ascii="Calibri" w:hAnsi="Calibri"/>
                <w:b w:val="0"/>
                <w:i w:val="0"/>
                <w:color w:val="212121"/>
                <w:sz w:val="19"/>
              </w:rPr>
              <w:t>Glucose in urine feeds uropathogens; tight control lowers UTI risk and severity</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Post-void residual urine volume</w:t>
            </w:r>
          </w:p>
        </w:tc>
        <w:tc>
          <w:tcPr>
            <w:tcW w:type="dxa" w:w="1655"/>
            <w:vAlign w:val="top"/>
          </w:tcPr>
          <w:p>
            <w:pPr>
              <w:spacing w:after="40" w:before="0" w:line="259" w:lineRule="auto"/>
            </w:pPr>
            <w:r>
              <w:rPr>
                <w:rFonts w:ascii="Calibri" w:hAnsi="Calibri"/>
                <w:b w:val="0"/>
                <w:i w:val="0"/>
                <w:color w:val="212121"/>
                <w:sz w:val="19"/>
              </w:rPr>
              <w:t>Older men (BPH), neurogenic bladder</w:t>
            </w:r>
          </w:p>
        </w:tc>
        <w:tc>
          <w:tcPr>
            <w:tcW w:type="dxa" w:w="1512"/>
            <w:vAlign w:val="top"/>
          </w:tcPr>
          <w:p>
            <w:pPr>
              <w:spacing w:after="40" w:before="0" w:line="259" w:lineRule="auto"/>
            </w:pPr>
            <w:r>
              <w:rPr>
                <w:rFonts w:ascii="Calibri" w:hAnsi="Calibri"/>
                <w:b w:val="0"/>
                <w:i w:val="0"/>
                <w:color w:val="212121"/>
                <w:sz w:val="19"/>
              </w:rPr>
              <w:t>&lt; 50 mL</w:t>
            </w:r>
          </w:p>
        </w:tc>
        <w:tc>
          <w:tcPr>
            <w:tcW w:type="dxa" w:w="1512"/>
            <w:vAlign w:val="top"/>
          </w:tcPr>
          <w:p>
            <w:pPr>
              <w:spacing w:after="40" w:before="0" w:line="259" w:lineRule="auto"/>
            </w:pPr>
            <w:r>
              <w:rPr>
                <w:rFonts w:ascii="Calibri" w:hAnsi="Calibri"/>
                <w:b w:val="0"/>
                <w:i w:val="0"/>
                <w:color w:val="212121"/>
                <w:sz w:val="19"/>
              </w:rPr>
              <w:t>&gt; 100–200 mL residual</w:t>
            </w:r>
          </w:p>
        </w:tc>
        <w:tc>
          <w:tcPr>
            <w:tcW w:type="dxa" w:w="1468"/>
            <w:vAlign w:val="top"/>
          </w:tcPr>
          <w:p>
            <w:pPr>
              <w:spacing w:after="40" w:before="0" w:line="259" w:lineRule="auto"/>
            </w:pPr>
            <w:r>
              <w:rPr>
                <w:rFonts w:ascii="Calibri" w:hAnsi="Calibri"/>
                <w:b w:val="0"/>
                <w:i w:val="0"/>
                <w:color w:val="212121"/>
                <w:sz w:val="19"/>
              </w:rPr>
              <w:t>Residual urine is a culture medium; a key trigger for complicated and recurrent male UTI</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Sexual intercourse frequency</w:t>
            </w:r>
          </w:p>
        </w:tc>
        <w:tc>
          <w:tcPr>
            <w:tcW w:type="dxa" w:w="1655"/>
            <w:vAlign w:val="top"/>
          </w:tcPr>
          <w:p>
            <w:pPr>
              <w:spacing w:after="40" w:before="0" w:line="259" w:lineRule="auto"/>
            </w:pPr>
            <w:r>
              <w:rPr>
                <w:rFonts w:ascii="Calibri" w:hAnsi="Calibri"/>
                <w:b w:val="0"/>
                <w:i w:val="0"/>
                <w:color w:val="212121"/>
                <w:sz w:val="19"/>
              </w:rPr>
              <w:t>Young sexually active women</w:t>
            </w:r>
          </w:p>
        </w:tc>
        <w:tc>
          <w:tcPr>
            <w:tcW w:type="dxa" w:w="1512"/>
            <w:vAlign w:val="top"/>
          </w:tcPr>
          <w:p>
            <w:pPr>
              <w:spacing w:after="40" w:before="0" w:line="259" w:lineRule="auto"/>
            </w:pPr>
            <w:r>
              <w:rPr>
                <w:rFonts w:ascii="Calibri" w:hAnsi="Calibri"/>
                <w:b w:val="0"/>
                <w:i w:val="0"/>
                <w:color w:val="212121"/>
                <w:sz w:val="19"/>
              </w:rPr>
              <w:t>Not applicable — pair with post-coital voiding/hygiene</w:t>
            </w:r>
          </w:p>
        </w:tc>
        <w:tc>
          <w:tcPr>
            <w:tcW w:type="dxa" w:w="1512"/>
            <w:vAlign w:val="top"/>
          </w:tcPr>
          <w:p>
            <w:pPr>
              <w:spacing w:after="40" w:before="0" w:line="259" w:lineRule="auto"/>
            </w:pPr>
            <w:r>
              <w:rPr>
                <w:rFonts w:ascii="Calibri" w:hAnsi="Calibri"/>
                <w:b w:val="0"/>
                <w:i w:val="0"/>
                <w:color w:val="212121"/>
                <w:sz w:val="19"/>
              </w:rPr>
              <w:t>High frequency, new partner, spermicide co-use</w:t>
            </w:r>
          </w:p>
        </w:tc>
        <w:tc>
          <w:tcPr>
            <w:tcW w:type="dxa" w:w="1468"/>
            <w:vAlign w:val="top"/>
          </w:tcPr>
          <w:p>
            <w:pPr>
              <w:spacing w:after="40" w:before="0" w:line="259" w:lineRule="auto"/>
            </w:pPr>
            <w:r>
              <w:rPr>
                <w:rFonts w:ascii="Calibri" w:hAnsi="Calibri"/>
                <w:b w:val="0"/>
                <w:i w:val="0"/>
                <w:color w:val="212121"/>
                <w:sz w:val="19"/>
              </w:rPr>
              <w:t>Consider post-coital single-dose prophylaxis in intercourse-related recurrent UTI</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 bedside</w:t>
            </w:r>
          </w:p>
        </w:tc>
        <w:tc>
          <w:tcPr>
            <w:tcW w:type="dxa" w:w="1036"/>
            <w:vAlign w:val="top"/>
          </w:tcPr>
          <w:p>
            <w:pPr>
              <w:spacing w:after="40" w:before="0" w:line="259" w:lineRule="auto"/>
            </w:pPr>
            <w:r>
              <w:rPr>
                <w:rFonts w:ascii="Calibri" w:hAnsi="Calibri"/>
                <w:b w:val="0"/>
                <w:i w:val="0"/>
                <w:color w:val="212121"/>
                <w:sz w:val="16"/>
              </w:rPr>
              <w:t>Leukocyte esterase &amp; nitrite</w:t>
            </w:r>
          </w:p>
        </w:tc>
        <w:tc>
          <w:tcPr>
            <w:tcW w:type="dxa" w:w="892"/>
            <w:vAlign w:val="top"/>
          </w:tcPr>
          <w:p>
            <w:pPr>
              <w:spacing w:after="40" w:before="0" w:line="259" w:lineRule="auto"/>
            </w:pPr>
            <w:r>
              <w:rPr>
                <w:rFonts w:ascii="Calibri" w:hAnsi="Calibri"/>
                <w:b w:val="0"/>
                <w:i w:val="0"/>
                <w:color w:val="212121"/>
                <w:sz w:val="16"/>
              </w:rPr>
              <w:t>Urine dipstick</w:t>
            </w:r>
          </w:p>
        </w:tc>
        <w:tc>
          <w:tcPr>
            <w:tcW w:type="dxa" w:w="950"/>
            <w:vAlign w:val="top"/>
          </w:tcPr>
          <w:p>
            <w:pPr>
              <w:spacing w:after="40" w:before="0" w:line="259" w:lineRule="auto"/>
            </w:pPr>
            <w:r>
              <w:rPr>
                <w:rFonts w:ascii="Calibri" w:hAnsi="Calibri"/>
                <w:b w:val="0"/>
                <w:i w:val="0"/>
                <w:color w:val="212121"/>
                <w:sz w:val="16"/>
              </w:rPr>
              <w:t>Both negative</w:t>
            </w:r>
          </w:p>
        </w:tc>
        <w:tc>
          <w:tcPr>
            <w:tcW w:type="dxa" w:w="950"/>
            <w:vAlign w:val="top"/>
          </w:tcPr>
          <w:p>
            <w:pPr>
              <w:spacing w:after="40" w:before="0" w:line="259" w:lineRule="auto"/>
            </w:pPr>
            <w:r>
              <w:rPr>
                <w:rFonts w:ascii="Calibri" w:hAnsi="Calibri"/>
                <w:b w:val="0"/>
                <w:i w:val="0"/>
                <w:color w:val="212121"/>
                <w:sz w:val="16"/>
              </w:rPr>
              <w:t>Leukocyte esterase and/or nitrite positive</w:t>
            </w:r>
          </w:p>
        </w:tc>
        <w:tc>
          <w:tcPr>
            <w:tcW w:type="dxa" w:w="1036"/>
            <w:vAlign w:val="top"/>
          </w:tcPr>
          <w:p>
            <w:pPr>
              <w:spacing w:after="40" w:before="0" w:line="259" w:lineRule="auto"/>
            </w:pPr>
            <w:r>
              <w:rPr>
                <w:rFonts w:ascii="Calibri" w:hAnsi="Calibri"/>
                <w:b w:val="0"/>
                <w:i w:val="0"/>
                <w:color w:val="212121"/>
                <w:sz w:val="16"/>
              </w:rPr>
              <w:t>Rapid screen; nitrite is highly specific (&gt; 90%) for Enterobacteriaceae but insensitive</w:t>
            </w:r>
          </w:p>
        </w:tc>
        <w:tc>
          <w:tcPr>
            <w:tcW w:type="dxa" w:w="1036"/>
            <w:vAlign w:val="top"/>
          </w:tcPr>
          <w:p>
            <w:pPr>
              <w:spacing w:after="40" w:before="0" w:line="259" w:lineRule="auto"/>
            </w:pPr>
            <w:r>
              <w:rPr>
                <w:rFonts w:ascii="Calibri" w:hAnsi="Calibri"/>
                <w:b w:val="0"/>
                <w:i w:val="0"/>
                <w:color w:val="212121"/>
                <w:sz w:val="16"/>
              </w:rPr>
              <w:t>Symptomatic women, antenatal screening, primary care</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negative dipstick does not exclude UTI in a symptomatic patient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Microscopy</w:t>
            </w:r>
          </w:p>
        </w:tc>
        <w:tc>
          <w:tcPr>
            <w:tcW w:type="dxa" w:w="1036"/>
            <w:vAlign w:val="top"/>
          </w:tcPr>
          <w:p>
            <w:pPr>
              <w:spacing w:after="40" w:before="0" w:line="259" w:lineRule="auto"/>
            </w:pPr>
            <w:r>
              <w:rPr>
                <w:rFonts w:ascii="Calibri" w:hAnsi="Calibri"/>
                <w:b w:val="0"/>
                <w:i w:val="0"/>
                <w:color w:val="212121"/>
                <w:sz w:val="16"/>
              </w:rPr>
              <w:t>Pyuria &amp; bacteriuria</w:t>
            </w:r>
          </w:p>
        </w:tc>
        <w:tc>
          <w:tcPr>
            <w:tcW w:type="dxa" w:w="892"/>
            <w:vAlign w:val="top"/>
          </w:tcPr>
          <w:p>
            <w:pPr>
              <w:spacing w:after="40" w:before="0" w:line="259" w:lineRule="auto"/>
            </w:pPr>
            <w:r>
              <w:rPr>
                <w:rFonts w:ascii="Calibri" w:hAnsi="Calibri"/>
                <w:b w:val="0"/>
                <w:i w:val="0"/>
                <w:color w:val="212121"/>
                <w:sz w:val="16"/>
              </w:rPr>
              <w:t>Urine routine microscopy</w:t>
            </w:r>
          </w:p>
        </w:tc>
        <w:tc>
          <w:tcPr>
            <w:tcW w:type="dxa" w:w="950"/>
            <w:vAlign w:val="top"/>
          </w:tcPr>
          <w:p>
            <w:pPr>
              <w:spacing w:after="40" w:before="0" w:line="259" w:lineRule="auto"/>
            </w:pPr>
            <w:r>
              <w:rPr>
                <w:rFonts w:ascii="Calibri" w:hAnsi="Calibri"/>
                <w:b w:val="0"/>
                <w:i w:val="0"/>
                <w:color w:val="212121"/>
                <w:sz w:val="16"/>
              </w:rPr>
              <w:t>&lt; 5 WBC/hpf, no bacteria</w:t>
            </w:r>
          </w:p>
        </w:tc>
        <w:tc>
          <w:tcPr>
            <w:tcW w:type="dxa" w:w="950"/>
            <w:vAlign w:val="top"/>
          </w:tcPr>
          <w:p>
            <w:pPr>
              <w:spacing w:after="40" w:before="0" w:line="259" w:lineRule="auto"/>
            </w:pPr>
            <w:r>
              <w:rPr>
                <w:rFonts w:ascii="Calibri" w:hAnsi="Calibri"/>
                <w:b w:val="0"/>
                <w:i w:val="0"/>
                <w:color w:val="212121"/>
                <w:sz w:val="16"/>
              </w:rPr>
              <w:t>≥ 10 WBC/hpf, bacteria ± RBCs present</w:t>
            </w:r>
          </w:p>
        </w:tc>
        <w:tc>
          <w:tcPr>
            <w:tcW w:type="dxa" w:w="1036"/>
            <w:vAlign w:val="top"/>
          </w:tcPr>
          <w:p>
            <w:pPr>
              <w:spacing w:after="40" w:before="0" w:line="259" w:lineRule="auto"/>
            </w:pPr>
            <w:r>
              <w:rPr>
                <w:rFonts w:ascii="Calibri" w:hAnsi="Calibri"/>
                <w:b w:val="0"/>
                <w:i w:val="0"/>
                <w:color w:val="212121"/>
                <w:sz w:val="16"/>
              </w:rPr>
              <w:t>Confirms urinary inflammation; pyuria with bacteriuria supports infection</w:t>
            </w:r>
          </w:p>
        </w:tc>
        <w:tc>
          <w:tcPr>
            <w:tcW w:type="dxa" w:w="1036"/>
            <w:vAlign w:val="top"/>
          </w:tcPr>
          <w:p>
            <w:pPr>
              <w:spacing w:after="40" w:before="0" w:line="259" w:lineRule="auto"/>
            </w:pPr>
            <w:r>
              <w:rPr>
                <w:rFonts w:ascii="Calibri" w:hAnsi="Calibri"/>
                <w:b w:val="0"/>
                <w:i w:val="0"/>
                <w:color w:val="212121"/>
                <w:sz w:val="16"/>
              </w:rPr>
              <w:t>Symptomatic patients, pyelonephritis,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Sterile pyuria prompts thought of TB, stones or chlamydia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Colony count, organism &amp; sensitivity</w:t>
            </w:r>
          </w:p>
        </w:tc>
        <w:tc>
          <w:tcPr>
            <w:tcW w:type="dxa" w:w="892"/>
            <w:vAlign w:val="top"/>
          </w:tcPr>
          <w:p>
            <w:pPr>
              <w:spacing w:after="40" w:before="0" w:line="259" w:lineRule="auto"/>
            </w:pPr>
            <w:r>
              <w:rPr>
                <w:rFonts w:ascii="Calibri" w:hAnsi="Calibri"/>
                <w:b w:val="0"/>
                <w:i w:val="0"/>
                <w:color w:val="212121"/>
                <w:sz w:val="16"/>
              </w:rPr>
              <w:t>Urine culture &amp; antibiogram</w:t>
            </w:r>
          </w:p>
        </w:tc>
        <w:tc>
          <w:tcPr>
            <w:tcW w:type="dxa" w:w="950"/>
            <w:vAlign w:val="top"/>
          </w:tcPr>
          <w:p>
            <w:pPr>
              <w:spacing w:after="40" w:before="0" w:line="259" w:lineRule="auto"/>
            </w:pPr>
            <w:r>
              <w:rPr>
                <w:rFonts w:ascii="Calibri" w:hAnsi="Calibri"/>
                <w:b w:val="0"/>
                <w:i w:val="0"/>
                <w:color w:val="212121"/>
                <w:sz w:val="16"/>
              </w:rPr>
              <w:t>&lt; 10³ CFU/mL / no growth</w:t>
            </w:r>
          </w:p>
        </w:tc>
        <w:tc>
          <w:tcPr>
            <w:tcW w:type="dxa" w:w="950"/>
            <w:vAlign w:val="top"/>
          </w:tcPr>
          <w:p>
            <w:pPr>
              <w:spacing w:after="40" w:before="0" w:line="259" w:lineRule="auto"/>
            </w:pPr>
            <w:r>
              <w:rPr>
                <w:rFonts w:ascii="Calibri" w:hAnsi="Calibri"/>
                <w:b w:val="0"/>
                <w:i w:val="0"/>
                <w:color w:val="212121"/>
                <w:sz w:val="16"/>
              </w:rPr>
              <w:t>≥ 10⁵ CFU/mL (or ≥ 10³ CFU/mL if symptomatic/catheter)</w:t>
            </w:r>
          </w:p>
        </w:tc>
        <w:tc>
          <w:tcPr>
            <w:tcW w:type="dxa" w:w="1036"/>
            <w:vAlign w:val="top"/>
          </w:tcPr>
          <w:p>
            <w:pPr>
              <w:spacing w:after="40" w:before="0" w:line="259" w:lineRule="auto"/>
            </w:pPr>
            <w:r>
              <w:rPr>
                <w:rFonts w:ascii="Calibri" w:hAnsi="Calibri"/>
                <w:b w:val="0"/>
                <w:i w:val="0"/>
                <w:color w:val="212121"/>
                <w:sz w:val="16"/>
              </w:rPr>
              <w:t>Gold standard; identifies the uropathogen and guides targeted therapy</w:t>
            </w:r>
          </w:p>
        </w:tc>
        <w:tc>
          <w:tcPr>
            <w:tcW w:type="dxa" w:w="1036"/>
            <w:vAlign w:val="top"/>
          </w:tcPr>
          <w:p>
            <w:pPr>
              <w:spacing w:after="40" w:before="0" w:line="259" w:lineRule="auto"/>
            </w:pPr>
            <w:r>
              <w:rPr>
                <w:rFonts w:ascii="Calibri" w:hAnsi="Calibri"/>
                <w:b w:val="0"/>
                <w:i w:val="0"/>
                <w:color w:val="212121"/>
                <w:sz w:val="16"/>
              </w:rPr>
              <w:t>Complicated, recurrent, male, pregnant and febrile UTI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E. coli is the predominant isolate (~80%) in Indian community UTI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Total &amp; differential leukocyte count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TLC 4,000–11,000/µL</w:t>
            </w:r>
          </w:p>
        </w:tc>
        <w:tc>
          <w:tcPr>
            <w:tcW w:type="dxa" w:w="950"/>
            <w:vAlign w:val="top"/>
          </w:tcPr>
          <w:p>
            <w:pPr>
              <w:spacing w:after="40" w:before="0" w:line="259" w:lineRule="auto"/>
            </w:pPr>
            <w:r>
              <w:rPr>
                <w:rFonts w:ascii="Calibri" w:hAnsi="Calibri"/>
                <w:b w:val="0"/>
                <w:i w:val="0"/>
                <w:color w:val="212121"/>
                <w:sz w:val="16"/>
              </w:rPr>
              <w:t>Leukocytosis with neutrophilia</w:t>
            </w:r>
          </w:p>
        </w:tc>
        <w:tc>
          <w:tcPr>
            <w:tcW w:type="dxa" w:w="1036"/>
            <w:vAlign w:val="top"/>
          </w:tcPr>
          <w:p>
            <w:pPr>
              <w:spacing w:after="40" w:before="0" w:line="259" w:lineRule="auto"/>
            </w:pPr>
            <w:r>
              <w:rPr>
                <w:rFonts w:ascii="Calibri" w:hAnsi="Calibri"/>
                <w:b w:val="0"/>
                <w:i w:val="0"/>
                <w:color w:val="212121"/>
                <w:sz w:val="16"/>
              </w:rPr>
              <w:t>Supports systemic/upper-tract infection; part of sepsis assessment</w:t>
            </w:r>
          </w:p>
        </w:tc>
        <w:tc>
          <w:tcPr>
            <w:tcW w:type="dxa" w:w="1036"/>
            <w:vAlign w:val="top"/>
          </w:tcPr>
          <w:p>
            <w:pPr>
              <w:spacing w:after="40" w:before="0" w:line="259" w:lineRule="auto"/>
            </w:pPr>
            <w:r>
              <w:rPr>
                <w:rFonts w:ascii="Calibri" w:hAnsi="Calibri"/>
                <w:b w:val="0"/>
                <w:i w:val="0"/>
                <w:color w:val="212121"/>
                <w:sz w:val="16"/>
              </w:rPr>
              <w:t>Pyelonephritis, urosepsis, febrile UTI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Normal count does not exclude lower UTI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CRP / procalcitonin</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CRP &lt; 5 mg/L; PCT &lt; 0.5 ng/mL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Distinguishes upper-tract and systemic infection; procalcitonin aids sepsis stratification</w:t>
            </w:r>
          </w:p>
        </w:tc>
        <w:tc>
          <w:tcPr>
            <w:tcW w:type="dxa" w:w="1036"/>
            <w:vAlign w:val="top"/>
          </w:tcPr>
          <w:p>
            <w:pPr>
              <w:spacing w:after="40" w:before="0" w:line="259" w:lineRule="auto"/>
            </w:pPr>
            <w:r>
              <w:rPr>
                <w:rFonts w:ascii="Calibri" w:hAnsi="Calibri"/>
                <w:b w:val="0"/>
                <w:i w:val="0"/>
                <w:color w:val="212121"/>
                <w:sz w:val="16"/>
              </w:rPr>
              <w:t>Suspected pyelonephritis/urosepsis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Trend guides response to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 eGFR</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Creatinine 0.6–1.3 mg/dL</w:t>
            </w:r>
          </w:p>
        </w:tc>
        <w:tc>
          <w:tcPr>
            <w:tcW w:type="dxa" w:w="950"/>
            <w:vAlign w:val="top"/>
          </w:tcPr>
          <w:p>
            <w:pPr>
              <w:spacing w:after="40" w:before="0" w:line="259" w:lineRule="auto"/>
            </w:pPr>
            <w:r>
              <w:rPr>
                <w:rFonts w:ascii="Calibri" w:hAnsi="Calibri"/>
                <w:b w:val="0"/>
                <w:i w:val="0"/>
                <w:color w:val="212121"/>
                <w:sz w:val="16"/>
              </w:rPr>
              <w:t>Raised creatinine / falling eGFR</w:t>
            </w:r>
          </w:p>
        </w:tc>
        <w:tc>
          <w:tcPr>
            <w:tcW w:type="dxa" w:w="1036"/>
            <w:vAlign w:val="top"/>
          </w:tcPr>
          <w:p>
            <w:pPr>
              <w:spacing w:after="40" w:before="0" w:line="259" w:lineRule="auto"/>
            </w:pPr>
            <w:r>
              <w:rPr>
                <w:rFonts w:ascii="Calibri" w:hAnsi="Calibri"/>
                <w:b w:val="0"/>
                <w:i w:val="0"/>
                <w:color w:val="212121"/>
                <w:sz w:val="16"/>
              </w:rPr>
              <w:t>Detects acute kidney injury or underlying CKD in complicated infection</w:t>
            </w:r>
          </w:p>
        </w:tc>
        <w:tc>
          <w:tcPr>
            <w:tcW w:type="dxa" w:w="1036"/>
            <w:vAlign w:val="top"/>
          </w:tcPr>
          <w:p>
            <w:pPr>
              <w:spacing w:after="40" w:before="0" w:line="259" w:lineRule="auto"/>
            </w:pPr>
            <w:r>
              <w:rPr>
                <w:rFonts w:ascii="Calibri" w:hAnsi="Calibri"/>
                <w:b w:val="0"/>
                <w:i w:val="0"/>
                <w:color w:val="212121"/>
                <w:sz w:val="16"/>
              </w:rPr>
              <w:t>Pyelonephritis, obstruction, diabetics, elderly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drug dosing and need for imaging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Blood culture</w:t>
            </w:r>
          </w:p>
        </w:tc>
        <w:tc>
          <w:tcPr>
            <w:tcW w:type="dxa" w:w="892"/>
            <w:vAlign w:val="top"/>
          </w:tcPr>
          <w:p>
            <w:pPr>
              <w:spacing w:after="40" w:before="0" w:line="259" w:lineRule="auto"/>
            </w:pPr>
            <w:r>
              <w:rPr>
                <w:rFonts w:ascii="Calibri" w:hAnsi="Calibri"/>
                <w:b w:val="0"/>
                <w:i w:val="0"/>
                <w:color w:val="212121"/>
                <w:sz w:val="16"/>
              </w:rPr>
              <w:t>Blood culture &amp; sensitivity</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Uropathogen isolated (bacteraemia)</w:t>
            </w:r>
          </w:p>
        </w:tc>
        <w:tc>
          <w:tcPr>
            <w:tcW w:type="dxa" w:w="1036"/>
            <w:vAlign w:val="top"/>
          </w:tcPr>
          <w:p>
            <w:pPr>
              <w:spacing w:after="40" w:before="0" w:line="259" w:lineRule="auto"/>
            </w:pPr>
            <w:r>
              <w:rPr>
                <w:rFonts w:ascii="Calibri" w:hAnsi="Calibri"/>
                <w:b w:val="0"/>
                <w:i w:val="0"/>
                <w:color w:val="212121"/>
                <w:sz w:val="16"/>
              </w:rPr>
              <w:t>Confirms urosepsis and guides intravenous therapy</w:t>
            </w:r>
          </w:p>
        </w:tc>
        <w:tc>
          <w:tcPr>
            <w:tcW w:type="dxa" w:w="1036"/>
            <w:vAlign w:val="top"/>
          </w:tcPr>
          <w:p>
            <w:pPr>
              <w:spacing w:after="40" w:before="0" w:line="259" w:lineRule="auto"/>
            </w:pPr>
            <w:r>
              <w:rPr>
                <w:rFonts w:ascii="Calibri" w:hAnsi="Calibri"/>
                <w:b w:val="0"/>
                <w:i w:val="0"/>
                <w:color w:val="212121"/>
                <w:sz w:val="16"/>
              </w:rPr>
              <w:t>Febrile/toxic patients, immunocompromised, urosepsis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Draw before starting antibiotics where possible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KUB ultrasound / CT urography</w:t>
            </w:r>
          </w:p>
        </w:tc>
        <w:tc>
          <w:tcPr>
            <w:tcW w:type="dxa" w:w="892"/>
            <w:vAlign w:val="top"/>
          </w:tcPr>
          <w:p>
            <w:pPr>
              <w:spacing w:after="40" w:before="0" w:line="259" w:lineRule="auto"/>
            </w:pPr>
            <w:r>
              <w:rPr>
                <w:rFonts w:ascii="Calibri" w:hAnsi="Calibri"/>
                <w:b w:val="0"/>
                <w:i w:val="0"/>
                <w:color w:val="212121"/>
                <w:sz w:val="16"/>
              </w:rPr>
              <w:t>Urinary tract imaging</w:t>
            </w:r>
          </w:p>
        </w:tc>
        <w:tc>
          <w:tcPr>
            <w:tcW w:type="dxa" w:w="950"/>
            <w:vAlign w:val="top"/>
          </w:tcPr>
          <w:p>
            <w:pPr>
              <w:spacing w:after="40" w:before="0" w:line="259" w:lineRule="auto"/>
            </w:pPr>
            <w:r>
              <w:rPr>
                <w:rFonts w:ascii="Calibri" w:hAnsi="Calibri"/>
                <w:b w:val="0"/>
                <w:i w:val="0"/>
                <w:color w:val="212121"/>
                <w:sz w:val="16"/>
              </w:rPr>
              <w:t>Normal tract, no obstruction/residual</w:t>
            </w:r>
          </w:p>
        </w:tc>
        <w:tc>
          <w:tcPr>
            <w:tcW w:type="dxa" w:w="950"/>
            <w:vAlign w:val="top"/>
          </w:tcPr>
          <w:p>
            <w:pPr>
              <w:spacing w:after="40" w:before="0" w:line="259" w:lineRule="auto"/>
            </w:pPr>
            <w:r>
              <w:rPr>
                <w:rFonts w:ascii="Calibri" w:hAnsi="Calibri"/>
                <w:b w:val="0"/>
                <w:i w:val="0"/>
                <w:color w:val="212121"/>
                <w:sz w:val="16"/>
              </w:rPr>
              <w:t>Obstruction, stones, hydronephrosis, abscess, high residual urine</w:t>
            </w:r>
          </w:p>
        </w:tc>
        <w:tc>
          <w:tcPr>
            <w:tcW w:type="dxa" w:w="1036"/>
            <w:vAlign w:val="top"/>
          </w:tcPr>
          <w:p>
            <w:pPr>
              <w:spacing w:after="40" w:before="0" w:line="259" w:lineRule="auto"/>
            </w:pPr>
            <w:r>
              <w:rPr>
                <w:rFonts w:ascii="Calibri" w:hAnsi="Calibri"/>
                <w:b w:val="0"/>
                <w:i w:val="0"/>
                <w:color w:val="212121"/>
                <w:sz w:val="16"/>
              </w:rPr>
              <w:t>Identifies structural causes and complications warranting drainage or surgery</w:t>
            </w:r>
          </w:p>
        </w:tc>
        <w:tc>
          <w:tcPr>
            <w:tcW w:type="dxa" w:w="1036"/>
            <w:vAlign w:val="top"/>
          </w:tcPr>
          <w:p>
            <w:pPr>
              <w:spacing w:after="40" w:before="0" w:line="259" w:lineRule="auto"/>
            </w:pPr>
            <w:r>
              <w:rPr>
                <w:rFonts w:ascii="Calibri" w:hAnsi="Calibri"/>
                <w:b w:val="0"/>
                <w:i w:val="0"/>
                <w:color w:val="212121"/>
                <w:sz w:val="16"/>
              </w:rPr>
              <w:t>Recurrent, male, complicated, non-responding or febrile UTI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CT is preferred for stones, abscess and emphysematous pyelonephritis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Dysuria, frequency, urgency, suprapubic pain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Classic lower-UTI (cystitis) syndrome</w:t>
            </w:r>
          </w:p>
        </w:tc>
        <w:tc>
          <w:tcPr>
            <w:tcW w:type="dxa" w:w="1036"/>
            <w:vAlign w:val="top"/>
          </w:tcPr>
          <w:p>
            <w:pPr>
              <w:spacing w:after="40" w:before="0" w:line="259" w:lineRule="auto"/>
            </w:pPr>
            <w:r>
              <w:rPr>
                <w:rFonts w:ascii="Calibri" w:hAnsi="Calibri"/>
                <w:b w:val="0"/>
                <w:i w:val="0"/>
                <w:color w:val="212121"/>
                <w:sz w:val="16"/>
              </w:rPr>
              <w:t>Women with acute cystitis, symptomatic adults</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Cluster of symptoms raises pre-test probability substantially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Systemic / upper-tract features</w:t>
            </w:r>
          </w:p>
        </w:tc>
        <w:tc>
          <w:tcPr>
            <w:tcW w:type="dxa" w:w="979"/>
            <w:vAlign w:val="top"/>
          </w:tcPr>
          <w:p>
            <w:pPr>
              <w:spacing w:after="40" w:before="0" w:line="259" w:lineRule="auto"/>
            </w:pPr>
            <w:r>
              <w:rPr>
                <w:rFonts w:ascii="Calibri" w:hAnsi="Calibri"/>
                <w:b w:val="0"/>
                <w:i w:val="0"/>
                <w:color w:val="212121"/>
                <w:sz w:val="16"/>
              </w:rPr>
              <w:t>Fever, rigors, flank pain, vomiting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Suggests acute pyelonephritis rather than simple cystitis</w:t>
            </w:r>
          </w:p>
        </w:tc>
        <w:tc>
          <w:tcPr>
            <w:tcW w:type="dxa" w:w="1036"/>
            <w:vAlign w:val="top"/>
          </w:tcPr>
          <w:p>
            <w:pPr>
              <w:spacing w:after="40" w:before="0" w:line="259" w:lineRule="auto"/>
            </w:pPr>
            <w:r>
              <w:rPr>
                <w:rFonts w:ascii="Calibri" w:hAnsi="Calibri"/>
                <w:b w:val="0"/>
                <w:i w:val="0"/>
                <w:color w:val="212121"/>
                <w:sz w:val="16"/>
              </w:rPr>
              <w:t>Suspected pyelonephritis, pregnant women, diabetics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Mandates culture, bloods and often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Provoking &amp; recurrence history</w:t>
            </w:r>
          </w:p>
        </w:tc>
        <w:tc>
          <w:tcPr>
            <w:tcW w:type="dxa" w:w="979"/>
            <w:vAlign w:val="top"/>
          </w:tcPr>
          <w:p>
            <w:pPr>
              <w:spacing w:after="40" w:before="0" w:line="259" w:lineRule="auto"/>
            </w:pPr>
            <w:r>
              <w:rPr>
                <w:rFonts w:ascii="Calibri" w:hAnsi="Calibri"/>
                <w:b w:val="0"/>
                <w:i w:val="0"/>
                <w:color w:val="212121"/>
                <w:sz w:val="16"/>
              </w:rPr>
              <w:t>Intercourse, contraception, catheter, prior UTIs</w:t>
            </w:r>
          </w:p>
        </w:tc>
        <w:tc>
          <w:tcPr>
            <w:tcW w:type="dxa" w:w="950"/>
            <w:vAlign w:val="top"/>
          </w:tcPr>
          <w:p>
            <w:pPr>
              <w:spacing w:after="40" w:before="0" w:line="259" w:lineRule="auto"/>
            </w:pPr>
            <w:r>
              <w:rPr>
                <w:rFonts w:ascii="Calibri" w:hAnsi="Calibri"/>
                <w:b w:val="0"/>
                <w:i w:val="0"/>
                <w:color w:val="212121"/>
                <w:sz w:val="16"/>
              </w:rPr>
              <w:t>No provoking factors</w:t>
            </w:r>
          </w:p>
        </w:tc>
        <w:tc>
          <w:tcPr>
            <w:tcW w:type="dxa" w:w="950"/>
            <w:vAlign w:val="top"/>
          </w:tcPr>
          <w:p>
            <w:pPr>
              <w:spacing w:after="40" w:before="0" w:line="259" w:lineRule="auto"/>
            </w:pPr>
            <w:r>
              <w:rPr>
                <w:rFonts w:ascii="Calibri" w:hAnsi="Calibri"/>
                <w:b w:val="0"/>
                <w:i w:val="0"/>
                <w:color w:val="212121"/>
                <w:sz w:val="16"/>
              </w:rPr>
              <w:t>Intercourse-related, spermicide, catheter, ≥ 2–3 prior episodes</w:t>
            </w:r>
          </w:p>
        </w:tc>
        <w:tc>
          <w:tcPr>
            <w:tcW w:type="dxa" w:w="1036"/>
            <w:vAlign w:val="top"/>
          </w:tcPr>
          <w:p>
            <w:pPr>
              <w:spacing w:after="40" w:before="0" w:line="259" w:lineRule="auto"/>
            </w:pPr>
            <w:r>
              <w:rPr>
                <w:rFonts w:ascii="Calibri" w:hAnsi="Calibri"/>
                <w:b w:val="0"/>
                <w:i w:val="0"/>
                <w:color w:val="212121"/>
                <w:sz w:val="16"/>
              </w:rPr>
              <w:t>Identifies modifiable triggers and defines recurrent UTI</w:t>
            </w:r>
          </w:p>
        </w:tc>
        <w:tc>
          <w:tcPr>
            <w:tcW w:type="dxa" w:w="1036"/>
            <w:vAlign w:val="top"/>
          </w:tcPr>
          <w:p>
            <w:pPr>
              <w:spacing w:after="40" w:before="0" w:line="259" w:lineRule="auto"/>
            </w:pPr>
            <w:r>
              <w:rPr>
                <w:rFonts w:ascii="Calibri" w:hAnsi="Calibri"/>
                <w:b w:val="0"/>
                <w:i w:val="0"/>
                <w:color w:val="212121"/>
                <w:sz w:val="16"/>
              </w:rPr>
              <w:t>Sexually active women, catheterised, recurrent-UTI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Directs prophylaxis and behavioural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host factors</w:t>
            </w:r>
          </w:p>
        </w:tc>
        <w:tc>
          <w:tcPr>
            <w:tcW w:type="dxa" w:w="979"/>
            <w:vAlign w:val="top"/>
          </w:tcPr>
          <w:p>
            <w:pPr>
              <w:spacing w:after="40" w:before="0" w:line="259" w:lineRule="auto"/>
            </w:pPr>
            <w:r>
              <w:rPr>
                <w:rFonts w:ascii="Calibri" w:hAnsi="Calibri"/>
                <w:b w:val="0"/>
                <w:i w:val="0"/>
                <w:color w:val="212121"/>
                <w:sz w:val="16"/>
              </w:rPr>
              <w:t>Diabetes, stones, BPH, pregnancy, immunosuppression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 1 present</w:t>
            </w:r>
          </w:p>
        </w:tc>
        <w:tc>
          <w:tcPr>
            <w:tcW w:type="dxa" w:w="1036"/>
            <w:vAlign w:val="top"/>
          </w:tcPr>
          <w:p>
            <w:pPr>
              <w:spacing w:after="40" w:before="0" w:line="259" w:lineRule="auto"/>
            </w:pPr>
            <w:r>
              <w:rPr>
                <w:rFonts w:ascii="Calibri" w:hAnsi="Calibri"/>
                <w:b w:val="0"/>
                <w:i w:val="0"/>
                <w:color w:val="212121"/>
                <w:sz w:val="16"/>
              </w:rPr>
              <w:t>Reclassifies infection as complicated, altering therapy and follow-up</w:t>
            </w:r>
          </w:p>
        </w:tc>
        <w:tc>
          <w:tcPr>
            <w:tcW w:type="dxa" w:w="1036"/>
            <w:vAlign w:val="top"/>
          </w:tcPr>
          <w:p>
            <w:pPr>
              <w:spacing w:after="40" w:before="0" w:line="259" w:lineRule="auto"/>
            </w:pPr>
            <w:r>
              <w:rPr>
                <w:rFonts w:ascii="Calibri" w:hAnsi="Calibri"/>
                <w:b w:val="0"/>
                <w:i w:val="0"/>
                <w:color w:val="212121"/>
                <w:sz w:val="16"/>
              </w:rPr>
              <w:t>Diabetics, pregnant women, older men, immunocompromised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Pregnancy and pre-procedure bacteriuria must be treated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Vital signs &amp; abdominal exam</w:t>
            </w:r>
          </w:p>
        </w:tc>
        <w:tc>
          <w:tcPr>
            <w:tcW w:type="dxa" w:w="979"/>
            <w:vAlign w:val="top"/>
          </w:tcPr>
          <w:p>
            <w:pPr>
              <w:spacing w:after="40" w:before="0" w:line="259" w:lineRule="auto"/>
            </w:pPr>
            <w:r>
              <w:rPr>
                <w:rFonts w:ascii="Calibri" w:hAnsi="Calibri"/>
                <w:b w:val="0"/>
                <w:i w:val="0"/>
                <w:color w:val="212121"/>
                <w:sz w:val="16"/>
              </w:rPr>
              <w:t>Temperature, pulse, suprapubic tenderness</w:t>
            </w:r>
          </w:p>
        </w:tc>
        <w:tc>
          <w:tcPr>
            <w:tcW w:type="dxa" w:w="950"/>
            <w:vAlign w:val="top"/>
          </w:tcPr>
          <w:p>
            <w:pPr>
              <w:spacing w:after="40" w:before="0" w:line="259" w:lineRule="auto"/>
            </w:pPr>
            <w:r>
              <w:rPr>
                <w:rFonts w:ascii="Calibri" w:hAnsi="Calibri"/>
                <w:b w:val="0"/>
                <w:i w:val="0"/>
                <w:color w:val="212121"/>
                <w:sz w:val="16"/>
              </w:rPr>
              <w:t>Afebrile, soft non-tender abdomen</w:t>
            </w:r>
          </w:p>
        </w:tc>
        <w:tc>
          <w:tcPr>
            <w:tcW w:type="dxa" w:w="950"/>
            <w:vAlign w:val="top"/>
          </w:tcPr>
          <w:p>
            <w:pPr>
              <w:spacing w:after="40" w:before="0" w:line="259" w:lineRule="auto"/>
            </w:pPr>
            <w:r>
              <w:rPr>
                <w:rFonts w:ascii="Calibri" w:hAnsi="Calibri"/>
                <w:b w:val="0"/>
                <w:i w:val="0"/>
                <w:color w:val="212121"/>
                <w:sz w:val="16"/>
              </w:rPr>
              <w:t>Fever, tachycardia, suprapubic tenderness</w:t>
            </w:r>
          </w:p>
        </w:tc>
        <w:tc>
          <w:tcPr>
            <w:tcW w:type="dxa" w:w="1036"/>
            <w:vAlign w:val="top"/>
          </w:tcPr>
          <w:p>
            <w:pPr>
              <w:spacing w:after="40" w:before="0" w:line="259" w:lineRule="auto"/>
            </w:pPr>
            <w:r>
              <w:rPr>
                <w:rFonts w:ascii="Calibri" w:hAnsi="Calibri"/>
                <w:b w:val="0"/>
                <w:i w:val="0"/>
                <w:color w:val="212121"/>
                <w:sz w:val="16"/>
              </w:rPr>
              <w:t>Signs of active infection and possible systemic involvement</w:t>
            </w:r>
          </w:p>
        </w:tc>
        <w:tc>
          <w:tcPr>
            <w:tcW w:type="dxa" w:w="1036"/>
            <w:vAlign w:val="top"/>
          </w:tcPr>
          <w:p>
            <w:pPr>
              <w:spacing w:after="40" w:before="0" w:line="259" w:lineRule="auto"/>
            </w:pPr>
            <w:r>
              <w:rPr>
                <w:rFonts w:ascii="Calibri" w:hAnsi="Calibri"/>
                <w:b w:val="0"/>
                <w:i w:val="0"/>
                <w:color w:val="212121"/>
                <w:sz w:val="16"/>
              </w:rPr>
              <w:t>All suspected UTI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Hypotension/tachycardia flag urosepsis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Renal angle examination</w:t>
            </w:r>
          </w:p>
        </w:tc>
        <w:tc>
          <w:tcPr>
            <w:tcW w:type="dxa" w:w="979"/>
            <w:vAlign w:val="top"/>
          </w:tcPr>
          <w:p>
            <w:pPr>
              <w:spacing w:after="40" w:before="0" w:line="259" w:lineRule="auto"/>
            </w:pPr>
            <w:r>
              <w:rPr>
                <w:rFonts w:ascii="Calibri" w:hAnsi="Calibri"/>
                <w:b w:val="0"/>
                <w:i w:val="0"/>
                <w:color w:val="212121"/>
                <w:sz w:val="16"/>
              </w:rPr>
              <w:t>Costovertebral-angle (renal angle) tenderness</w:t>
            </w:r>
          </w:p>
        </w:tc>
        <w:tc>
          <w:tcPr>
            <w:tcW w:type="dxa" w:w="950"/>
            <w:vAlign w:val="top"/>
          </w:tcPr>
          <w:p>
            <w:pPr>
              <w:spacing w:after="40" w:before="0" w:line="259" w:lineRule="auto"/>
            </w:pPr>
            <w:r>
              <w:rPr>
                <w:rFonts w:ascii="Calibri" w:hAnsi="Calibri"/>
                <w:b w:val="0"/>
                <w:i w:val="0"/>
                <w:color w:val="212121"/>
                <w:sz w:val="16"/>
              </w:rPr>
              <w:t>No tenderness</w:t>
            </w:r>
          </w:p>
        </w:tc>
        <w:tc>
          <w:tcPr>
            <w:tcW w:type="dxa" w:w="950"/>
            <w:vAlign w:val="top"/>
          </w:tcPr>
          <w:p>
            <w:pPr>
              <w:spacing w:after="40" w:before="0" w:line="259" w:lineRule="auto"/>
            </w:pPr>
            <w:r>
              <w:rPr>
                <w:rFonts w:ascii="Calibri" w:hAnsi="Calibri"/>
                <w:b w:val="0"/>
                <w:i w:val="0"/>
                <w:color w:val="212121"/>
                <w:sz w:val="16"/>
              </w:rPr>
              <w:t>Unilateral/bilateral CVA tenderness</w:t>
            </w:r>
          </w:p>
        </w:tc>
        <w:tc>
          <w:tcPr>
            <w:tcW w:type="dxa" w:w="1036"/>
            <w:vAlign w:val="top"/>
          </w:tcPr>
          <w:p>
            <w:pPr>
              <w:spacing w:after="40" w:before="0" w:line="259" w:lineRule="auto"/>
            </w:pPr>
            <w:r>
              <w:rPr>
                <w:rFonts w:ascii="Calibri" w:hAnsi="Calibri"/>
                <w:b w:val="0"/>
                <w:i w:val="0"/>
                <w:color w:val="212121"/>
                <w:sz w:val="16"/>
              </w:rPr>
              <w:t>Localises infection to the kidney (pyelonephritis)</w:t>
            </w:r>
          </w:p>
        </w:tc>
        <w:tc>
          <w:tcPr>
            <w:tcW w:type="dxa" w:w="1036"/>
            <w:vAlign w:val="top"/>
          </w:tcPr>
          <w:p>
            <w:pPr>
              <w:spacing w:after="40" w:before="0" w:line="259" w:lineRule="auto"/>
            </w:pPr>
            <w:r>
              <w:rPr>
                <w:rFonts w:ascii="Calibri" w:hAnsi="Calibri"/>
                <w:b w:val="0"/>
                <w:i w:val="0"/>
                <w:color w:val="212121"/>
                <w:sz w:val="16"/>
              </w:rPr>
              <w:t>Febrile UTI, flank pain, pregnant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Positive finding upgrades management intensity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Bladder &amp; catheter assessment</w:t>
            </w:r>
          </w:p>
        </w:tc>
        <w:tc>
          <w:tcPr>
            <w:tcW w:type="dxa" w:w="979"/>
            <w:vAlign w:val="top"/>
          </w:tcPr>
          <w:p>
            <w:pPr>
              <w:spacing w:after="40" w:before="0" w:line="259" w:lineRule="auto"/>
            </w:pPr>
            <w:r>
              <w:rPr>
                <w:rFonts w:ascii="Calibri" w:hAnsi="Calibri"/>
                <w:b w:val="0"/>
                <w:i w:val="0"/>
                <w:color w:val="212121"/>
                <w:sz w:val="16"/>
              </w:rPr>
              <w:t>Palpable distended bladder, catheter inspection</w:t>
            </w:r>
          </w:p>
        </w:tc>
        <w:tc>
          <w:tcPr>
            <w:tcW w:type="dxa" w:w="950"/>
            <w:vAlign w:val="top"/>
          </w:tcPr>
          <w:p>
            <w:pPr>
              <w:spacing w:after="40" w:before="0" w:line="259" w:lineRule="auto"/>
            </w:pPr>
            <w:r>
              <w:rPr>
                <w:rFonts w:ascii="Calibri" w:hAnsi="Calibri"/>
                <w:b w:val="0"/>
                <w:i w:val="0"/>
                <w:color w:val="212121"/>
                <w:sz w:val="16"/>
              </w:rPr>
              <w:t>Bladder not palpable, catheter clean</w:t>
            </w:r>
          </w:p>
        </w:tc>
        <w:tc>
          <w:tcPr>
            <w:tcW w:type="dxa" w:w="950"/>
            <w:vAlign w:val="top"/>
          </w:tcPr>
          <w:p>
            <w:pPr>
              <w:spacing w:after="40" w:before="0" w:line="259" w:lineRule="auto"/>
            </w:pPr>
            <w:r>
              <w:rPr>
                <w:rFonts w:ascii="Calibri" w:hAnsi="Calibri"/>
                <w:b w:val="0"/>
                <w:i w:val="0"/>
                <w:color w:val="212121"/>
                <w:sz w:val="16"/>
              </w:rPr>
              <w:t>Palpable bladder (retention), encrusted/blocked catheter</w:t>
            </w:r>
          </w:p>
        </w:tc>
        <w:tc>
          <w:tcPr>
            <w:tcW w:type="dxa" w:w="1036"/>
            <w:vAlign w:val="top"/>
          </w:tcPr>
          <w:p>
            <w:pPr>
              <w:spacing w:after="40" w:before="0" w:line="259" w:lineRule="auto"/>
            </w:pPr>
            <w:r>
              <w:rPr>
                <w:rFonts w:ascii="Calibri" w:hAnsi="Calibri"/>
                <w:b w:val="0"/>
                <w:i w:val="0"/>
                <w:color w:val="212121"/>
                <w:sz w:val="16"/>
              </w:rPr>
              <w:t>Detects retention and catheter-related sources needing drainage/change</w:t>
            </w:r>
          </w:p>
        </w:tc>
        <w:tc>
          <w:tcPr>
            <w:tcW w:type="dxa" w:w="1036"/>
            <w:vAlign w:val="top"/>
          </w:tcPr>
          <w:p>
            <w:pPr>
              <w:spacing w:after="40" w:before="0" w:line="259" w:lineRule="auto"/>
            </w:pPr>
            <w:r>
              <w:rPr>
                <w:rFonts w:ascii="Calibri" w:hAnsi="Calibri"/>
                <w:b w:val="0"/>
                <w:i w:val="0"/>
                <w:color w:val="212121"/>
                <w:sz w:val="16"/>
              </w:rPr>
              <w:t>Elderly, neurogenic bladder, catheterised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Relieve obstruction and replace long-term catheters before culture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Prostate examination (men)</w:t>
            </w:r>
          </w:p>
        </w:tc>
        <w:tc>
          <w:tcPr>
            <w:tcW w:type="dxa" w:w="979"/>
            <w:vAlign w:val="top"/>
          </w:tcPr>
          <w:p>
            <w:pPr>
              <w:spacing w:after="40" w:before="0" w:line="259" w:lineRule="auto"/>
            </w:pPr>
            <w:r>
              <w:rPr>
                <w:rFonts w:ascii="Calibri" w:hAnsi="Calibri"/>
                <w:b w:val="0"/>
                <w:i w:val="0"/>
                <w:color w:val="212121"/>
                <w:sz w:val="16"/>
              </w:rPr>
              <w:t>Digital rectal exam of prostate</w:t>
            </w:r>
          </w:p>
        </w:tc>
        <w:tc>
          <w:tcPr>
            <w:tcW w:type="dxa" w:w="950"/>
            <w:vAlign w:val="top"/>
          </w:tcPr>
          <w:p>
            <w:pPr>
              <w:spacing w:after="40" w:before="0" w:line="259" w:lineRule="auto"/>
            </w:pPr>
            <w:r>
              <w:rPr>
                <w:rFonts w:ascii="Calibri" w:hAnsi="Calibri"/>
                <w:b w:val="0"/>
                <w:i w:val="0"/>
                <w:color w:val="212121"/>
                <w:sz w:val="16"/>
              </w:rPr>
              <w:t>Smooth, non-tender prostate</w:t>
            </w:r>
          </w:p>
        </w:tc>
        <w:tc>
          <w:tcPr>
            <w:tcW w:type="dxa" w:w="950"/>
            <w:vAlign w:val="top"/>
          </w:tcPr>
          <w:p>
            <w:pPr>
              <w:spacing w:after="40" w:before="0" w:line="259" w:lineRule="auto"/>
            </w:pPr>
            <w:r>
              <w:rPr>
                <w:rFonts w:ascii="Calibri" w:hAnsi="Calibri"/>
                <w:b w:val="0"/>
                <w:i w:val="0"/>
                <w:color w:val="212121"/>
                <w:sz w:val="16"/>
              </w:rPr>
              <w:t>Enlarged (BPH) or boggy/tender (prostatitis)</w:t>
            </w:r>
          </w:p>
        </w:tc>
        <w:tc>
          <w:tcPr>
            <w:tcW w:type="dxa" w:w="1036"/>
            <w:vAlign w:val="top"/>
          </w:tcPr>
          <w:p>
            <w:pPr>
              <w:spacing w:after="40" w:before="0" w:line="259" w:lineRule="auto"/>
            </w:pPr>
            <w:r>
              <w:rPr>
                <w:rFonts w:ascii="Calibri" w:hAnsi="Calibri"/>
                <w:b w:val="0"/>
                <w:i w:val="0"/>
                <w:color w:val="212121"/>
                <w:sz w:val="16"/>
              </w:rPr>
              <w:t>Identifies prostatic obstruction or prostatitis underlying male UTI</w:t>
            </w:r>
          </w:p>
        </w:tc>
        <w:tc>
          <w:tcPr>
            <w:tcW w:type="dxa" w:w="1036"/>
            <w:vAlign w:val="top"/>
          </w:tcPr>
          <w:p>
            <w:pPr>
              <w:spacing w:after="40" w:before="0" w:line="259" w:lineRule="auto"/>
            </w:pPr>
            <w:r>
              <w:rPr>
                <w:rFonts w:ascii="Calibri" w:hAnsi="Calibri"/>
                <w:b w:val="0"/>
                <w:i w:val="0"/>
                <w:color w:val="212121"/>
                <w:sz w:val="16"/>
              </w:rPr>
              <w:t>Adult and older men with UTI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Avoid vigorous massage in acute prostatitis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Dysuria (burning micturition)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Burning or stinging on passing urine from inflammation of the bladder and urethral mucosa — the hallmark symptom.</w:t>
            </w:r>
          </w:p>
        </w:tc>
      </w:tr>
      <w:tr>
        <w:trPr>
          <w:cantSplit/>
        </w:trPr>
        <w:tc>
          <w:tcPr>
            <w:tcW w:type="dxa" w:w="2304"/>
            <w:vAlign w:val="top"/>
          </w:tcPr>
          <w:p>
            <w:pPr>
              <w:spacing w:after="40" w:before="0" w:line="259" w:lineRule="auto"/>
            </w:pPr>
            <w:r>
              <w:rPr>
                <w:rFonts w:ascii="Calibri" w:hAnsi="Calibri"/>
                <w:b/>
                <w:i w:val="0"/>
                <w:color w:val="212121"/>
                <w:sz w:val="19"/>
              </w:rPr>
              <w:t>Increased urinary frequency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Passing small volumes of urine very often as the inflamed bladder becomes irritable.</w:t>
            </w:r>
          </w:p>
        </w:tc>
      </w:tr>
      <w:tr>
        <w:trPr>
          <w:cantSplit/>
        </w:trPr>
        <w:tc>
          <w:tcPr>
            <w:tcW w:type="dxa" w:w="2304"/>
            <w:vAlign w:val="top"/>
          </w:tcPr>
          <w:p>
            <w:pPr>
              <w:spacing w:after="40" w:before="0" w:line="259" w:lineRule="auto"/>
            </w:pPr>
            <w:r>
              <w:rPr>
                <w:rFonts w:ascii="Calibri" w:hAnsi="Calibri"/>
                <w:b/>
                <w:i w:val="0"/>
                <w:color w:val="212121"/>
                <w:sz w:val="19"/>
              </w:rPr>
              <w:t>Urgency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compelling need to urinate that is hard to defer.</w:t>
            </w:r>
          </w:p>
        </w:tc>
      </w:tr>
      <w:tr>
        <w:trPr>
          <w:cantSplit/>
        </w:trPr>
        <w:tc>
          <w:tcPr>
            <w:tcW w:type="dxa" w:w="2304"/>
            <w:vAlign w:val="top"/>
          </w:tcPr>
          <w:p>
            <w:pPr>
              <w:spacing w:after="40" w:before="0" w:line="259" w:lineRule="auto"/>
            </w:pPr>
            <w:r>
              <w:rPr>
                <w:rFonts w:ascii="Calibri" w:hAnsi="Calibri"/>
                <w:b/>
                <w:i w:val="0"/>
                <w:color w:val="212121"/>
                <w:sz w:val="19"/>
              </w:rPr>
              <w:t>Suprapubic / lower abdominal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Discomfort or cramping pressure over the bladder region in cystitis.</w:t>
            </w:r>
          </w:p>
        </w:tc>
      </w:tr>
      <w:tr>
        <w:trPr>
          <w:cantSplit/>
        </w:trPr>
        <w:tc>
          <w:tcPr>
            <w:tcW w:type="dxa" w:w="2304"/>
            <w:vAlign w:val="top"/>
          </w:tcPr>
          <w:p>
            <w:pPr>
              <w:spacing w:after="40" w:before="0" w:line="259" w:lineRule="auto"/>
            </w:pPr>
            <w:r>
              <w:rPr>
                <w:rFonts w:ascii="Calibri" w:hAnsi="Calibri"/>
                <w:b/>
                <w:i w:val="0"/>
                <w:color w:val="212121"/>
                <w:sz w:val="19"/>
              </w:rPr>
              <w:t>Cloudy or foul-smelling urine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Turbidity and odour from pus cells, bacteria and debris in the urine.</w:t>
            </w:r>
          </w:p>
        </w:tc>
      </w:tr>
      <w:tr>
        <w:trPr>
          <w:cantSplit/>
        </w:trPr>
        <w:tc>
          <w:tcPr>
            <w:tcW w:type="dxa" w:w="2304"/>
            <w:vAlign w:val="top"/>
          </w:tcPr>
          <w:p>
            <w:pPr>
              <w:spacing w:after="40" w:before="0" w:line="259" w:lineRule="auto"/>
            </w:pPr>
            <w:r>
              <w:rPr>
                <w:rFonts w:ascii="Calibri" w:hAnsi="Calibri"/>
                <w:b/>
                <w:i w:val="0"/>
                <w:color w:val="212121"/>
                <w:sz w:val="19"/>
              </w:rPr>
              <w:t>Nocturia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Waking at night to pass urine because of bladder irritability.</w:t>
            </w:r>
          </w:p>
        </w:tc>
      </w:tr>
      <w:tr>
        <w:trPr>
          <w:cantSplit/>
        </w:trPr>
        <w:tc>
          <w:tcPr>
            <w:tcW w:type="dxa" w:w="2304"/>
            <w:vAlign w:val="top"/>
          </w:tcPr>
          <w:p>
            <w:pPr>
              <w:spacing w:after="40" w:before="0" w:line="259" w:lineRule="auto"/>
            </w:pPr>
            <w:r>
              <w:rPr>
                <w:rFonts w:ascii="Calibri" w:hAnsi="Calibri"/>
                <w:b/>
                <w:i w:val="0"/>
                <w:color w:val="212121"/>
                <w:sz w:val="19"/>
              </w:rPr>
              <w:t>Visible haematuria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Pink or red urine from inflamed bladder mucosa; typical of haemorrhagic cystitis.</w:t>
            </w:r>
          </w:p>
        </w:tc>
      </w:tr>
      <w:tr>
        <w:trPr>
          <w:cantSplit/>
        </w:trPr>
        <w:tc>
          <w:tcPr>
            <w:tcW w:type="dxa" w:w="2304"/>
            <w:vAlign w:val="top"/>
          </w:tcPr>
          <w:p>
            <w:pPr>
              <w:spacing w:after="40" w:before="0" w:line="259" w:lineRule="auto"/>
            </w:pPr>
            <w:r>
              <w:rPr>
                <w:rFonts w:ascii="Calibri" w:hAnsi="Calibri"/>
                <w:b/>
                <w:i w:val="0"/>
                <w:color w:val="212121"/>
                <w:sz w:val="19"/>
              </w:rPr>
              <w:t>Fever with chills and rigors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Indicates the infection has reached the kidney (pyelonephritis) or bloodstream.</w:t>
            </w:r>
          </w:p>
        </w:tc>
      </w:tr>
      <w:tr>
        <w:trPr>
          <w:cantSplit/>
        </w:trPr>
        <w:tc>
          <w:tcPr>
            <w:tcW w:type="dxa" w:w="2304"/>
            <w:vAlign w:val="top"/>
          </w:tcPr>
          <w:p>
            <w:pPr>
              <w:spacing w:after="40" w:before="0" w:line="259" w:lineRule="auto"/>
            </w:pPr>
            <w:r>
              <w:rPr>
                <w:rFonts w:ascii="Calibri" w:hAnsi="Calibri"/>
                <w:b/>
                <w:i w:val="0"/>
                <w:color w:val="212121"/>
                <w:sz w:val="19"/>
              </w:rPr>
              <w:t>Flank / loin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 in the side or back over the kidney, a cardinal feature of upper-tract infection.</w:t>
            </w:r>
          </w:p>
        </w:tc>
      </w:tr>
      <w:tr>
        <w:trPr>
          <w:cantSplit/>
        </w:trPr>
        <w:tc>
          <w:tcPr>
            <w:tcW w:type="dxa" w:w="2304"/>
            <w:vAlign w:val="top"/>
          </w:tcPr>
          <w:p>
            <w:pPr>
              <w:spacing w:after="40" w:before="0" w:line="259" w:lineRule="auto"/>
            </w:pPr>
            <w:r>
              <w:rPr>
                <w:rFonts w:ascii="Calibri" w:hAnsi="Calibri"/>
                <w:b/>
                <w:i w:val="0"/>
                <w:color w:val="212121"/>
                <w:sz w:val="19"/>
              </w:rPr>
              <w:t>Nausea and 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Systemic features accompanying pyelonephritis.</w:t>
            </w:r>
          </w:p>
        </w:tc>
      </w:tr>
      <w:tr>
        <w:trPr>
          <w:cantSplit/>
        </w:trPr>
        <w:tc>
          <w:tcPr>
            <w:tcW w:type="dxa" w:w="2304"/>
            <w:vAlign w:val="top"/>
          </w:tcPr>
          <w:p>
            <w:pPr>
              <w:spacing w:after="40" w:before="0" w:line="259" w:lineRule="auto"/>
            </w:pPr>
            <w:r>
              <w:rPr>
                <w:rFonts w:ascii="Calibri" w:hAnsi="Calibri"/>
                <w:b/>
                <w:i w:val="0"/>
                <w:color w:val="212121"/>
                <w:sz w:val="19"/>
              </w:rPr>
              <w:t>New-onset confusion or delirium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 frail elderly patients a UTI may present atypically as acute confusion, agitation or falls rather than urinary symptoms.</w:t>
            </w:r>
          </w:p>
        </w:tc>
      </w:tr>
      <w:tr>
        <w:trPr>
          <w:cantSplit/>
        </w:trPr>
        <w:tc>
          <w:tcPr>
            <w:tcW w:type="dxa" w:w="2304"/>
            <w:vAlign w:val="top"/>
          </w:tcPr>
          <w:p>
            <w:pPr>
              <w:spacing w:after="40" w:before="0" w:line="259" w:lineRule="auto"/>
            </w:pPr>
            <w:r>
              <w:rPr>
                <w:rFonts w:ascii="Calibri" w:hAnsi="Calibri"/>
                <w:b/>
                <w:i w:val="0"/>
                <w:color w:val="212121"/>
                <w:sz w:val="19"/>
              </w:rPr>
              <w:t>Sensation of incomplete emptying / straining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More prominent when there is prostatic obstruction or a neurogenic bladder.</w:t>
            </w:r>
          </w:p>
        </w:tc>
      </w:tr>
      <w:tr>
        <w:trPr>
          <w:cantSplit/>
        </w:trPr>
        <w:tc>
          <w:tcPr>
            <w:tcW w:type="dxa" w:w="2304"/>
            <w:vAlign w:val="top"/>
          </w:tcPr>
          <w:p>
            <w:pPr>
              <w:spacing w:after="40" w:before="0" w:line="259" w:lineRule="auto"/>
            </w:pPr>
            <w:r>
              <w:rPr>
                <w:rFonts w:ascii="Calibri" w:hAnsi="Calibri"/>
                <w:b/>
                <w:i w:val="0"/>
                <w:color w:val="212121"/>
                <w:sz w:val="19"/>
              </w:rPr>
              <w:t>No symptoms (asymptomatic bacteriuria)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Significant bacteriuria without symptoms, important to detect and treat in pregnancy where most cases are silent.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Suprapubic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Tenderness on palpation over the bladder in cystitis.</w:t>
            </w:r>
          </w:p>
        </w:tc>
      </w:tr>
      <w:tr>
        <w:trPr>
          <w:cantSplit/>
        </w:trPr>
        <w:tc>
          <w:tcPr>
            <w:tcW w:type="dxa" w:w="3456"/>
            <w:vAlign w:val="top"/>
          </w:tcPr>
          <w:p>
            <w:pPr>
              <w:spacing w:after="40" w:before="0" w:line="259" w:lineRule="auto"/>
            </w:pPr>
            <w:r>
              <w:rPr>
                <w:rFonts w:ascii="Calibri" w:hAnsi="Calibri"/>
                <w:b/>
                <w:i w:val="0"/>
                <w:color w:val="212121"/>
                <w:sz w:val="19"/>
              </w:rPr>
              <w:t>Cloudy / turbid urine on inspection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Visibly hazy urine suggesting pyuria and bacteriuria.</w:t>
            </w:r>
          </w:p>
        </w:tc>
      </w:tr>
      <w:tr>
        <w:trPr>
          <w:cantSplit/>
        </w:trPr>
        <w:tc>
          <w:tcPr>
            <w:tcW w:type="dxa" w:w="3456"/>
            <w:vAlign w:val="top"/>
          </w:tcPr>
          <w:p>
            <w:pPr>
              <w:spacing w:after="40" w:before="0" w:line="259" w:lineRule="auto"/>
            </w:pPr>
            <w:r>
              <w:rPr>
                <w:rFonts w:ascii="Calibri" w:hAnsi="Calibri"/>
                <w:b/>
                <w:i w:val="0"/>
                <w:color w:val="212121"/>
                <w:sz w:val="19"/>
              </w:rPr>
              <w:t>Positive leukocyte esterase &amp; nitrite dipstick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Bedside marker of pyuria and Enterobacteriaceae; nitrite is highly specific.</w:t>
            </w:r>
          </w:p>
        </w:tc>
      </w:tr>
      <w:tr>
        <w:trPr>
          <w:cantSplit/>
        </w:trPr>
        <w:tc>
          <w:tcPr>
            <w:tcW w:type="dxa" w:w="3456"/>
            <w:vAlign w:val="top"/>
          </w:tcPr>
          <w:p>
            <w:pPr>
              <w:spacing w:after="40" w:before="0" w:line="259" w:lineRule="auto"/>
            </w:pPr>
            <w:r>
              <w:rPr>
                <w:rFonts w:ascii="Calibri" w:hAnsi="Calibri"/>
                <w:b/>
                <w:i w:val="0"/>
                <w:color w:val="212121"/>
                <w:sz w:val="19"/>
              </w:rPr>
              <w:t>Pyuria and bacteriuria on microscopy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White cells and bacteria in urine confirm an inflammatory infective process.</w:t>
            </w:r>
          </w:p>
        </w:tc>
      </w:tr>
      <w:tr>
        <w:trPr>
          <w:cantSplit/>
        </w:trPr>
        <w:tc>
          <w:tcPr>
            <w:tcW w:type="dxa" w:w="3456"/>
            <w:vAlign w:val="top"/>
          </w:tcPr>
          <w:p>
            <w:pPr>
              <w:spacing w:after="40" w:before="0" w:line="259" w:lineRule="auto"/>
            </w:pPr>
            <w:r>
              <w:rPr>
                <w:rFonts w:ascii="Calibri" w:hAnsi="Calibri"/>
                <w:b/>
                <w:i w:val="0"/>
                <w:color w:val="212121"/>
                <w:sz w:val="19"/>
              </w:rPr>
              <w:t>Fever and 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Present in upper-tract infection and systemic involvement.</w:t>
            </w:r>
          </w:p>
        </w:tc>
      </w:tr>
      <w:tr>
        <w:trPr>
          <w:cantSplit/>
        </w:trPr>
        <w:tc>
          <w:tcPr>
            <w:tcW w:type="dxa" w:w="3456"/>
            <w:vAlign w:val="top"/>
          </w:tcPr>
          <w:p>
            <w:pPr>
              <w:spacing w:after="40" w:before="0" w:line="259" w:lineRule="auto"/>
            </w:pPr>
            <w:r>
              <w:rPr>
                <w:rFonts w:ascii="Calibri" w:hAnsi="Calibri"/>
                <w:b/>
                <w:i w:val="0"/>
                <w:color w:val="212121"/>
                <w:sz w:val="19"/>
              </w:rPr>
              <w:t>Costovertebral-angle (renal angle)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Tenderness on percussion over the kidney — a key sign of acute pyelonephritis.</w:t>
            </w:r>
          </w:p>
        </w:tc>
      </w:tr>
      <w:tr>
        <w:trPr>
          <w:cantSplit/>
        </w:trPr>
        <w:tc>
          <w:tcPr>
            <w:tcW w:type="dxa" w:w="3456"/>
            <w:vAlign w:val="top"/>
          </w:tcPr>
          <w:p>
            <w:pPr>
              <w:spacing w:after="40" w:before="0" w:line="259" w:lineRule="auto"/>
            </w:pPr>
            <w:r>
              <w:rPr>
                <w:rFonts w:ascii="Calibri" w:hAnsi="Calibri"/>
                <w:b/>
                <w:i w:val="0"/>
                <w:color w:val="212121"/>
                <w:sz w:val="19"/>
              </w:rPr>
              <w:t>Malodorous urine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Strong ammoniacal or foul smell, marked with urease-producing organisms.</w:t>
            </w:r>
          </w:p>
        </w:tc>
      </w:tr>
      <w:tr>
        <w:trPr>
          <w:cantSplit/>
        </w:trPr>
        <w:tc>
          <w:tcPr>
            <w:tcW w:type="dxa" w:w="3456"/>
            <w:vAlign w:val="top"/>
          </w:tcPr>
          <w:p>
            <w:pPr>
              <w:spacing w:after="40" w:before="0" w:line="259" w:lineRule="auto"/>
            </w:pPr>
            <w:r>
              <w:rPr>
                <w:rFonts w:ascii="Calibri" w:hAnsi="Calibri"/>
                <w:b/>
                <w:i w:val="0"/>
                <w:color w:val="212121"/>
                <w:sz w:val="19"/>
              </w:rPr>
              <w:t>Palpable distended bladder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urinary retention with incomplete emptying, often in men with BPH or neurogenic bladder.</w:t>
            </w:r>
          </w:p>
        </w:tc>
      </w:tr>
      <w:tr>
        <w:trPr>
          <w:cantSplit/>
        </w:trPr>
        <w:tc>
          <w:tcPr>
            <w:tcW w:type="dxa" w:w="3456"/>
            <w:vAlign w:val="top"/>
          </w:tcPr>
          <w:p>
            <w:pPr>
              <w:spacing w:after="40" w:before="0" w:line="259" w:lineRule="auto"/>
            </w:pPr>
            <w:r>
              <w:rPr>
                <w:rFonts w:ascii="Calibri" w:hAnsi="Calibri"/>
                <w:b/>
                <w:i w:val="0"/>
                <w:color w:val="212121"/>
                <w:sz w:val="19"/>
              </w:rPr>
              <w:t>Enlarged prostate on digital rectal exam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Points to prostatic obstruction or prostatitis as the source of male UTI.</w:t>
            </w:r>
          </w:p>
        </w:tc>
      </w:tr>
      <w:tr>
        <w:trPr>
          <w:cantSplit/>
        </w:trPr>
        <w:tc>
          <w:tcPr>
            <w:tcW w:type="dxa" w:w="3456"/>
            <w:vAlign w:val="top"/>
          </w:tcPr>
          <w:p>
            <w:pPr>
              <w:spacing w:after="40" w:before="0" w:line="259" w:lineRule="auto"/>
            </w:pPr>
            <w:r>
              <w:rPr>
                <w:rFonts w:ascii="Calibri" w:hAnsi="Calibri"/>
                <w:b/>
                <w:i w:val="0"/>
                <w:color w:val="212121"/>
                <w:sz w:val="19"/>
              </w:rPr>
              <w:t>Hypotension and signs of sepsis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Low blood pressure, cool peripheries and altered mentation indicate urosepsis — a medical emergency.</w:t>
            </w:r>
          </w:p>
        </w:tc>
      </w:tr>
      <w:tr>
        <w:trPr>
          <w:cantSplit/>
        </w:trPr>
        <w:tc>
          <w:tcPr>
            <w:tcW w:type="dxa" w:w="3456"/>
            <w:vAlign w:val="top"/>
          </w:tcPr>
          <w:p>
            <w:pPr>
              <w:spacing w:after="40" w:before="0" w:line="259" w:lineRule="auto"/>
            </w:pPr>
            <w:r>
              <w:rPr>
                <w:rFonts w:ascii="Calibri" w:hAnsi="Calibri"/>
                <w:b/>
                <w:i w:val="0"/>
                <w:color w:val="212121"/>
                <w:sz w:val="19"/>
              </w:rPr>
              <w:t>Pneumaturia / gas on imaging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Gas in the urine or renal tissue suggests emphysematous UTI or a fistula, seen especially in diabetics.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pyelonephritis (ascending kidney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or persistent cystitis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urinary retention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Haemorrhagic cystitis with visible haematuria</w:t>
            </w:r>
          </w:p>
        </w:tc>
        <w:tc>
          <w:tcPr>
            <w:tcW w:type="dxa" w:w="2980"/>
            <w:vAlign w:val="top"/>
          </w:tcPr>
          <w:p>
            <w:pPr>
              <w:spacing w:after="40" w:before="0" w:line="259" w:lineRule="auto"/>
            </w:pPr>
            <w:r>
              <w:rPr>
                <w:rFonts w:ascii="Calibri" w:hAnsi="Calibri"/>
                <w:b w:val="0"/>
                <w:i w:val="0"/>
                <w:color w:val="212121"/>
                <w:sz w:val="19"/>
              </w:rPr>
              <w:t>Direct extension and persistence of infection within the urinary tract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Urosepsis and bacteraemia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Renal or perinephric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Emphysematous pyelonephritis/cystitis (especially in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kidney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Pregnancy complications — pyelonephritis, preterm labour, low birth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Epididymo-orchitis or acute prostatitis in men</w:t>
            </w:r>
          </w:p>
        </w:tc>
        <w:tc>
          <w:tcPr>
            <w:tcW w:type="dxa" w:w="2980"/>
            <w:vAlign w:val="top"/>
          </w:tcPr>
          <w:p>
            <w:pPr>
              <w:spacing w:after="40" w:before="0" w:line="259" w:lineRule="auto"/>
            </w:pPr>
            <w:r>
              <w:rPr>
                <w:rFonts w:ascii="Calibri" w:hAnsi="Calibri"/>
                <w:b w:val="0"/>
                <w:i w:val="0"/>
                <w:color w:val="212121"/>
                <w:sz w:val="19"/>
              </w:rPr>
              <w:t>Systemic spread and organ-level damage from unchecked or complicated infection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pyelonephritis with renal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 progressing to end-stage renal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Struvite (infection) staghorn stones from urease-producing organisms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Septic shock, multi-organ failure and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Antimicrobial resistance and recurrent treatment failure</w:t>
            </w:r>
          </w:p>
        </w:tc>
        <w:tc>
          <w:tcPr>
            <w:tcW w:type="dxa" w:w="2980"/>
            <w:vAlign w:val="top"/>
          </w:tcPr>
          <w:p>
            <w:pPr>
              <w:spacing w:after="40" w:before="0" w:line="259" w:lineRule="auto"/>
            </w:pPr>
            <w:r>
              <w:rPr>
                <w:rFonts w:ascii="Calibri" w:hAnsi="Calibri"/>
                <w:b w:val="0"/>
                <w:i w:val="0"/>
                <w:color w:val="212121"/>
                <w:sz w:val="19"/>
              </w:rPr>
              <w:t>Irreversible, disabling or life-threatening outcomes of longstanding or resistant infection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Glucosuria feeds uropathogens, hyperglycaemia impairs immunity and autonomic neuropathy causes incomplete emptying; diabetics also develop more severe infections such as emphysematous pyelonephritis, and SGLT2-inhibitor therapy further raises glucosuria.</w:t>
            </w:r>
          </w:p>
        </w:tc>
      </w:tr>
      <w:tr>
        <w:trPr>
          <w:cantSplit/>
        </w:trPr>
        <w:tc>
          <w:tcPr>
            <w:tcW w:type="dxa" w:w="2232"/>
            <w:vAlign w:val="top"/>
          </w:tcPr>
          <w:p>
            <w:pPr>
              <w:spacing w:after="40" w:before="0" w:line="259" w:lineRule="auto"/>
            </w:pPr>
            <w:r>
              <w:rPr>
                <w:rFonts w:ascii="Calibri" w:hAnsi="Calibri"/>
                <w:b/>
                <w:i w:val="0"/>
                <w:color w:val="212121"/>
                <w:sz w:val="19"/>
              </w:rPr>
              <w:t>Pregnancy / asymptomatic bacteriuria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Ureteric dilatation and stasis in pregnancy allow bacteriuria to ascend; untreated it causes pyelonephritis, preterm labour and low birth weight, so screening and treatment are mandatory.</w:t>
            </w:r>
          </w:p>
          <w:p>
            <w:pPr>
              <w:spacing w:after="40" w:before="0" w:line="259" w:lineRule="auto"/>
            </w:pPr>
            <w:r>
              <w:rPr>
                <w:rFonts w:ascii="Calibri" w:hAnsi="Calibri"/>
                <w:b/>
                <w:i w:val="0"/>
                <w:color w:val="212121"/>
                <w:sz w:val="19"/>
              </w:rPr>
              <w:t>Up to 29%</w:t>
            </w:r>
          </w:p>
        </w:tc>
      </w:tr>
      <w:tr>
        <w:trPr>
          <w:cantSplit/>
        </w:trPr>
        <w:tc>
          <w:tcPr>
            <w:tcW w:type="dxa" w:w="2232"/>
            <w:vAlign w:val="top"/>
          </w:tcPr>
          <w:p>
            <w:pPr>
              <w:spacing w:after="40" w:before="0" w:line="259" w:lineRule="auto"/>
            </w:pPr>
            <w:r>
              <w:rPr>
                <w:rFonts w:ascii="Calibri" w:hAnsi="Calibri"/>
                <w:b/>
                <w:i w:val="0"/>
                <w:color w:val="212121"/>
                <w:sz w:val="19"/>
              </w:rPr>
              <w:t>Benign prostatic hyperplasia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Bladder outlet obstruction and residual urine make recurrent and complicated UTI common in older men and mandate evaluation of the lower tract.</w:t>
            </w:r>
          </w:p>
        </w:tc>
      </w:tr>
      <w:tr>
        <w:trPr>
          <w:cantSplit/>
        </w:trPr>
        <w:tc>
          <w:tcPr>
            <w:tcW w:type="dxa" w:w="2232"/>
            <w:vAlign w:val="top"/>
          </w:tcPr>
          <w:p>
            <w:pPr>
              <w:spacing w:after="40" w:before="0" w:line="259" w:lineRule="auto"/>
            </w:pPr>
            <w:r>
              <w:rPr>
                <w:rFonts w:ascii="Calibri" w:hAnsi="Calibri"/>
                <w:b/>
                <w:i w:val="0"/>
                <w:color w:val="212121"/>
                <w:sz w:val="19"/>
              </w:rPr>
              <w:t>Urolithiasis (kidney/bladder stones)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Stones obstruct flow and harbour biofilm, while urease-producing UTIs form struvite stones — a self-perpetuating stone–infection cycle.</w:t>
            </w:r>
          </w:p>
        </w:tc>
      </w:tr>
      <w:tr>
        <w:trPr>
          <w:cantSplit/>
        </w:trPr>
        <w:tc>
          <w:tcPr>
            <w:tcW w:type="dxa" w:w="2232"/>
            <w:vAlign w:val="top"/>
          </w:tcPr>
          <w:p>
            <w:pPr>
              <w:spacing w:after="40" w:before="0" w:line="259" w:lineRule="auto"/>
            </w:pPr>
            <w:r>
              <w:rPr>
                <w:rFonts w:ascii="Calibri" w:hAnsi="Calibri"/>
                <w:b/>
                <w:i w:val="0"/>
                <w:color w:val="212121"/>
                <w:sz w:val="19"/>
              </w:rPr>
              <w:t>Acute pyelonephritis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Ascent of a lower UTI to the renal parenchyma is the principal upper-tract complication, sharing the same uropathogens.</w:t>
            </w:r>
          </w:p>
        </w:tc>
      </w:tr>
      <w:tr>
        <w:trPr>
          <w:cantSplit/>
        </w:trPr>
        <w:tc>
          <w:tcPr>
            <w:tcW w:type="dxa" w:w="2232"/>
            <w:vAlign w:val="top"/>
          </w:tcPr>
          <w:p>
            <w:pPr>
              <w:spacing w:after="40" w:before="0" w:line="259" w:lineRule="auto"/>
            </w:pPr>
            <w:r>
              <w:rPr>
                <w:rFonts w:ascii="Calibri" w:hAnsi="Calibri"/>
                <w:b/>
                <w:i w:val="0"/>
                <w:color w:val="212121"/>
                <w:sz w:val="19"/>
              </w:rPr>
              <w:t>Urosepsis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Systemic spread of a urinary source, a leading cause of Gram-negative sepsis, requiring urgent source control and intravenous antibiotics.</w:t>
            </w:r>
          </w:p>
        </w:tc>
      </w:tr>
      <w:tr>
        <w:trPr>
          <w:cantSplit/>
        </w:trPr>
        <w:tc>
          <w:tcPr>
            <w:tcW w:type="dxa" w:w="2232"/>
            <w:vAlign w:val="top"/>
          </w:tcPr>
          <w:p>
            <w:pPr>
              <w:spacing w:after="40" w:before="0" w:line="259" w:lineRule="auto"/>
            </w:pPr>
            <w:r>
              <w:rPr>
                <w:rFonts w:ascii="Calibri" w:hAnsi="Calibri"/>
                <w:b/>
                <w:i w:val="0"/>
                <w:color w:val="212121"/>
                <w:sz w:val="19"/>
              </w:rPr>
              <w:t>Vesicoureteral reflux (children)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Reflux of infected bladder urine to the kidneys drives recurrent febrile childhood UTI and renal scarring, and infection can worsen reflux.</w:t>
            </w:r>
          </w:p>
        </w:tc>
      </w:tr>
      <w:tr>
        <w:trPr>
          <w:cantSplit/>
        </w:trPr>
        <w:tc>
          <w:tcPr>
            <w:tcW w:type="dxa" w:w="2232"/>
            <w:vAlign w:val="top"/>
          </w:tcPr>
          <w:p>
            <w:pPr>
              <w:spacing w:after="40" w:before="0" w:line="259" w:lineRule="auto"/>
            </w:pPr>
            <w:r>
              <w:rPr>
                <w:rFonts w:ascii="Calibri" w:hAnsi="Calibri"/>
                <w:b/>
                <w:i w:val="0"/>
                <w:color w:val="212121"/>
                <w:sz w:val="19"/>
              </w:rPr>
              <w:t>Genitourinary syndrome of menopause (oestrogen deficiency)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Post-menopausal atrophy and loss of vaginal lactobacilli predispose to recurrent UTI; vaginal oestrogen restores the urogenital microbiome and lowers recurrence.</w:t>
            </w:r>
          </w:p>
        </w:tc>
      </w:tr>
      <w:tr>
        <w:trPr>
          <w:cantSplit/>
        </w:trPr>
        <w:tc>
          <w:tcPr>
            <w:tcW w:type="dxa" w:w="2232"/>
            <w:vAlign w:val="top"/>
          </w:tcPr>
          <w:p>
            <w:pPr>
              <w:spacing w:after="40" w:before="0" w:line="259" w:lineRule="auto"/>
            </w:pPr>
            <w:r>
              <w:rPr>
                <w:rFonts w:ascii="Calibri" w:hAnsi="Calibri"/>
                <w:b/>
                <w:i w:val="0"/>
                <w:color w:val="212121"/>
                <w:sz w:val="19"/>
              </w:rPr>
              <w:t>Neurogenic bladder / spinal cord injury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emptying and reliance on catheters make bacteriuria and recurrent complicated UTI almost universal.</w:t>
            </w:r>
          </w:p>
        </w:tc>
      </w:tr>
      <w:tr>
        <w:trPr>
          <w:cantSplit/>
        </w:trPr>
        <w:tc>
          <w:tcPr>
            <w:tcW w:type="dxa" w:w="2232"/>
            <w:vAlign w:val="top"/>
          </w:tcPr>
          <w:p>
            <w:pPr>
              <w:spacing w:after="40" w:before="0" w:line="259" w:lineRule="auto"/>
            </w:pPr>
            <w:r>
              <w:rPr>
                <w:rFonts w:ascii="Calibri" w:hAnsi="Calibri"/>
                <w:b/>
                <w:i w:val="0"/>
                <w:color w:val="212121"/>
                <w:sz w:val="19"/>
              </w:rPr>
              <w:t>Catheter-associated infection (indwelling catheter)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Catheters bypass defences and form biofilm; CAUTI is the commonest healthcare-associated infection and a reservoir of resistant organisms.</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Repeated pyelonephritis and scarring can drive progressive renal impairment, while established CKD alters antibiotic choice and dosing.</w:t>
            </w:r>
          </w:p>
        </w:tc>
      </w:tr>
      <w:tr>
        <w:trPr>
          <w:cantSplit/>
        </w:trPr>
        <w:tc>
          <w:tcPr>
            <w:tcW w:type="dxa" w:w="2232"/>
            <w:vAlign w:val="top"/>
          </w:tcPr>
          <w:p>
            <w:pPr>
              <w:spacing w:after="40" w:before="0" w:line="259" w:lineRule="auto"/>
            </w:pPr>
            <w:r>
              <w:rPr>
                <w:rFonts w:ascii="Calibri" w:hAnsi="Calibri"/>
                <w:b/>
                <w:i w:val="0"/>
                <w:color w:val="212121"/>
                <w:sz w:val="19"/>
              </w:rPr>
              <w:t>Antimicrobial-resistant uropathogens (ESBL / MDR E. coli)</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Empirical over-use of antibiotics selects for ESBL- and carbapenemase-producing organisms; in rural Assam, 26.2% of UTI E. coli were ESBL producers, forcing culture-directed therapy.</w:t>
            </w:r>
          </w:p>
          <w:p>
            <w:pPr>
              <w:spacing w:after="40" w:before="0" w:line="259" w:lineRule="auto"/>
            </w:pPr>
            <w:r>
              <w:rPr>
                <w:rFonts w:ascii="Calibri" w:hAnsi="Calibri"/>
                <w:b/>
                <w:i w:val="0"/>
                <w:color w:val="212121"/>
                <w:sz w:val="19"/>
              </w:rPr>
              <w:t>Up to 26.2% ESBL</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adequate fluids (about 1.5–2 litres/day unless restricted) so urine stays pale and the bladder is flushed regularly.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hold urine for long periods; void when the urge is felt and empty the bladder completely.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perineal hygiene, wipe front-to-back, and use clean, preferably individual, toilets.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Urinate soon after sexual intercourse and avoid spermicide-based contraception if prone to UTIs.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 burning urination, frequency, fever or flank pain — and seek timely testing rather than self-medicating.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antibiotics only when prescribed and complete the full course; avoid over-the-counter antibiotic purchase to curb resistance.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Sexually active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poor toilet/water access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antibiotic course even after symptoms settle, and take culture-directed therapy wherever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for a follow-up (test-of-cure) urine culture in pregnancy and in recurrent or complicated UTI.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urgently if fever, flank pain, vomiting, or confusion develop, as these suggest kidney involvement or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recurrent UTI, discuss prophylactic strategies (behavioural, post-coital or continuous low-dose) with a clinician instead of repeated self-treatment.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any indwelling catheter is reviewed daily and removed as soon as it is no longer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antibiotics for UTI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Recurrent-UTI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Catheterised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and maintain a healthy weight to support pelvic-floor function and complete bladder emptying.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immobility; move and void regularly, particularly during long journeys or bed rest.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timed, double-voiding techniques if you tend to retain urine.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pelvic-floor exercises where incomplete emptying or incontinence contributes to recurrent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men with BPH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Post-partum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Neurogenic-bladder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generous fluid intake, mainly water, spread through the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blood sugar well controlled and limit high-sugar foods and drinks that promote glucosuria.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cranberry products or D-mannose for prevention, recognising the evidence is modest and they do not replace 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fibre-rich diet to prevent constipation, which can impair bladder emptying.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Recurrent-UTI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Low-fluid-intake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fluid intake during an acute infection to help flush the urinary tract, unless fluids are medically restricted.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glycaemic control during and after infection in 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probiotics/lactobacillus and, in post-menopausal women, discuss vaginal oestrogen to restore protective urogenital flora.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UTI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regular sleep to support immune defence.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Empty the bladder just before going to bed to reduce overnight stasis.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older adults, treat sleep-disturbing nocturia and review its cause.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Recurrent-UTI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protect overall urinary-tract and bladder health and reduce bladder-cancer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(counselling, nicotine replacement) as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recurrent urinary symptoms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and caffeinated drinks, which irritate the bladder and can worsen urinary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Balance any diuretic drinks with plain water to maintain hydration.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urinary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Recurrent-UTI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and address the anxiety, sleep disturbance and sexual-health impact that recurrent UTI can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sexual-health counselling where intercourse-related recurrence affects relationships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older adults, remember that new confusion or agitation may be the only sign of a UTI and warrants prompt assessment.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Recurrent-UTI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Sexually active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 elderly</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8774177/" TargetMode="External"/><Relationship Id="rId10" Type="http://schemas.openxmlformats.org/officeDocument/2006/relationships/hyperlink" Target="https://www.ncbi.nlm.nih.gov/books/NBK470195/" TargetMode="External"/><Relationship Id="rId11" Type="http://schemas.openxmlformats.org/officeDocument/2006/relationships/hyperlink" Target="https://www.niddk.nih.gov/health-information/urologic-diseases/bladder-infection-uti-in-adults/definition-facts" TargetMode="External"/><Relationship Id="rId12" Type="http://schemas.openxmlformats.org/officeDocument/2006/relationships/hyperlink" Target="https://pubmed.ncbi.nlm.nih.gov/40124802/" TargetMode="External"/><Relationship Id="rId13" Type="http://schemas.openxmlformats.org/officeDocument/2006/relationships/hyperlink" Target="https://pubmed.ncbi.nlm.nih.gov/28721962/" TargetMode="External"/><Relationship Id="rId14" Type="http://schemas.openxmlformats.org/officeDocument/2006/relationships/hyperlink" Target="https://www.cdc.gov/uti/about/index.html" TargetMode="External"/><Relationship Id="rId15" Type="http://schemas.openxmlformats.org/officeDocument/2006/relationships/hyperlink" Target="https://pubmed.ncbi.nlm.nih.gov/42463183/" TargetMode="External"/><Relationship Id="rId16" Type="http://schemas.openxmlformats.org/officeDocument/2006/relationships/hyperlink" Target="https://pubmed.ncbi.nlm.nih.gov/425164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