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Benign Prostatic Hyperplasia</w:t>
      </w:r>
    </w:p>
    <w:p>
      <w:pPr>
        <w:spacing w:before="0" w:after="160"/>
      </w:pPr>
      <w:r>
        <w:rPr>
          <w:rFonts w:ascii="Calibri" w:hAnsi="Calibri"/>
          <w:b/>
          <w:i w:val="0"/>
          <w:color w:val="212121"/>
          <w:sz w:val="22"/>
        </w:rPr>
        <w:t xml:space="preserve">AKA </w:t>
      </w:r>
      <w:r>
        <w:rPr>
          <w:rFonts w:ascii="Calibri" w:hAnsi="Calibri"/>
          <w:b w:val="0"/>
          <w:i w:val="0"/>
          <w:color w:val="212121"/>
          <w:sz w:val="22"/>
        </w:rPr>
        <w:t>i.e., BPH, Benign Prostatic Enlargement (BPE), Enlarged Prostate, Prostate Gland Enlargement, Prostatism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Benign prostatic hyperplasia (BPH) is a non-malignant (benign) enlargement of the prostate gland caused by hyperplasia — an increase in the number — of stromal and glandular epithelial cells in the transition zone that surrounds the prostatic urethra. This androgen (dihydrotestosterone)-driven growth, together with increased prostatic smooth-muscle tone, compresses the urethra and produces bladder outlet obstruction and lower urinary tract symptoms (LUTS). It is the commonest benign proliferative disorder and the commonest cause of LUTS in ageing men, and is distinct from prostate cancer.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BPH is strongly age-dependent. In an Indian community study of men aged 50 years and above, lower urinary tract symptoms suggestive of BPH were present in about 10% of men, while histological BPH is found in roughly 50-60% of men in their 60s and 80-90% of men over 70 years. Broadly, around one in four Indian men above 50 has symptomatic prostate enlargement, and the absolute burden is climbing rapidly with population ageing. Notably, Indian men tend to have smaller prostates but higher symptom scores than Western men, with nocturia the commonest and most bothersome complaint.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BPH is a clinical diagnosis of bladder outlet obstruction due to prostatic enlargement, made after excluding infection, cancer and neurogenic causes, and is supported by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 quantification using the International Prostate Symptom Score (IPSS): mild 0-7, moderate 8-19, severe 20-35, together with a bother/quality-of-life score;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(DRE) showing a smoothly enlarged, firm-to-rubbery, non-tender prostate with loss of the median sulcus and no hard nodules (a hard/nodular gland raises suspicion of cancer);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to exclude infection, glycosuria and haematuria, plus serum creatinine/eGFR to assess renal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prostate-specific antigen (PSA), which helps estimate prostate volume and progression risk and screens for cancer (interpret with age-specific ranges);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uroflowmetry (peak flow Qmax &lt; 10 mL/s suggests obstruction; 10-15 mL/s is equivocal) with measurement of post-void residual urine (&gt; 50-100 mL indicates incomplete emptying);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ultrasound (trans-abdominal or trans-rectal) to measure prostate volume (&gt; 30 mL is enlarged), assess the median lobe, and detect bladder wall changes, stones or hydronephrosis.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BPH is described using several complementary, clinically useful classifications:</w:t>
      </w:r>
    </w:p>
    <w:p>
      <w:pPr>
        <w:spacing w:before="0" w:after="80"/>
      </w:pPr>
      <w:r>
        <w:rPr>
          <w:rFonts w:ascii="Calibri" w:hAnsi="Calibri"/>
          <w:b w:val="0"/>
          <w:i w:val="0"/>
          <w:color w:val="212121"/>
          <w:sz w:val="21"/>
        </w:rPr>
        <w:t>(1) By symptom severity on the IPSS / AUA Symptom Index: mild (0-7), moderate (8-19) and severe (20-35) lower urinary tract symptoms, which primarily guides whether watchful waiting, medical therapy or surgery is offered;</w:t>
      </w:r>
    </w:p>
    <w:p>
      <w:pPr>
        <w:spacing w:before="0" w:after="80"/>
      </w:pPr>
      <w:r>
        <w:rPr>
          <w:rFonts w:ascii="Calibri" w:hAnsi="Calibri"/>
          <w:b w:val="0"/>
          <w:i w:val="0"/>
          <w:color w:val="212121"/>
          <w:sz w:val="21"/>
        </w:rPr>
        <w:t>(2) By clinical stage / complications: uncomplicated BPH (bothersome LUTS only) versus complicated BPH — with acute or chronic urinary retention, recurrent urinary infection, bladder stones, refractory haematuria, or upper-tract dilatation and renal impairment — the latter usually being an indication for surgery;</w:t>
      </w:r>
    </w:p>
    <w:p>
      <w:pPr>
        <w:spacing w:before="0" w:after="80"/>
      </w:pPr>
      <w:r>
        <w:rPr>
          <w:rFonts w:ascii="Calibri" w:hAnsi="Calibri"/>
          <w:b w:val="0"/>
          <w:i w:val="0"/>
          <w:color w:val="212121"/>
          <w:sz w:val="21"/>
        </w:rPr>
        <w:t>(3) By anatomical growth pattern: predominant lateral-lobe enlargement, intravesical median-lobe ('middle-lobe') enlargement, or diffuse enlargement; median-lobe growth causes ball-valve obstruction disproportionate to gland size;</w:t>
      </w:r>
    </w:p>
    <w:p>
      <w:pPr>
        <w:spacing w:before="0" w:after="80"/>
      </w:pPr>
      <w:r>
        <w:rPr>
          <w:rFonts w:ascii="Calibri" w:hAnsi="Calibri"/>
          <w:b w:val="0"/>
          <w:i w:val="0"/>
          <w:color w:val="212121"/>
          <w:sz w:val="21"/>
        </w:rPr>
        <w:t>(4) By symptom type: voiding (obstructive) symptoms, storage (irritative) symptoms and post-micturition symptoms, which commonly coexist and determine the choice of drug class.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The dominant, non-modifiable driver; cumulative hormonal and cellular changes make histological BPH near-universal in very old men.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Androgens (dihydrotestosterone): Testosterone is converted to DHT by 5-alpha-reductase type 2 in prostatic stromal cells (DHT is ~90% of intraprostatic androgen); DHT drives stromal and epithelial proliferation, and BPH does not occur without functioning androgen signalling.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Estrogen-androgen imbalance: A rising estrogen-to-androgen ratio with age sensitises the prostate to DHT and promotes stromal growth.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 familial predisposition: Early-onset, larger-volume BPH clusters in families; men with an affected first-degree relative develop disease younger and with larger glands.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Metabolic syndrome and insulin resistance: Hyperinsulinaemia, central obesity, dyslipidaemia and type 2 diabetes create a pro-proliferative, pro-inflammatory milieu that enlarges the prostate.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intraprostatic inflammation: Inflammatory infiltrates drive cytokine-mediated tissue remodelling, growth and progression.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Autonomic (sympathetic) overactivity: Increased alpha-adrenergic tone raises prostatic smooth-muscle tension — the reversible 'dynamic' component of obstruction targeted by alpha-blockers.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men (40-60 years)</w:t>
            </w:r>
          </w:p>
        </w:tc>
        <w:tc>
          <w:tcPr>
            <w:tcW w:type="dxa" w:w="4276"/>
            <w:vAlign w:val="top"/>
          </w:tcPr>
          <w:p>
            <w:pPr>
              <w:spacing w:after="60" w:line="259" w:lineRule="auto"/>
            </w:pPr>
            <w:r>
              <w:rPr>
                <w:rFonts w:ascii="Calibri" w:hAnsi="Calibri"/>
                <w:b w:val="0"/>
                <w:i w:val="0"/>
                <w:color w:val="212121"/>
                <w:sz w:val="19"/>
              </w:rPr>
              <w:t>Histological BPH typically begins in the 40s and its prevalence rises steeply through middle age as lifetime androgen exposure accumulates; about half of men have microscopic BPH by age 60, though only a minority are yet symptomatic.</w:t>
            </w:r>
          </w:p>
          <w:p>
            <w:pPr>
              <w:spacing w:after="40" w:before="60" w:line="259" w:lineRule="auto"/>
            </w:pPr>
            <w:r>
              <w:rPr>
                <w:rFonts w:ascii="Calibri" w:hAnsi="Calibri"/>
                <w:b w:val="0"/>
                <w:i w:val="0"/>
                <w:color w:val="212121"/>
                <w:sz w:val="19"/>
              </w:rPr>
              <w:t>BPH affects roughly 5-6% of men aged 40-64 years and rarely causes symptoms before age 40.</w:t>
            </w:r>
          </w:p>
          <w:p>
            <w:pPr>
              <w:spacing w:after="40" w:line="252" w:lineRule="auto"/>
            </w:pPr>
            <w:hyperlink r:id="rId9">
              <w:r>
                <w:rPr>
                  <w:rFonts w:ascii="Calibri" w:hAnsi="Calibri" w:cs="Calibri"/>
                  <w:sz w:val="18"/>
                  <w:color w:val="1155CC"/>
                  <w:u w:val="single"/>
                </w:rPr>
                <w:t xml:space="preserve">niddk.nih.gov — prostate enlargement (BPH)</w:t>
              </w:r>
            </w:hyperlink>
          </w:p>
          <w:p>
            <w:pPr>
              <w:spacing w:before="60" w:after="40"/>
            </w:pPr>
            <w:r>
              <w:rPr>
                <w:rFonts w:ascii="Calibri" w:hAnsi="Calibri"/>
                <w:b w:val="0"/>
                <w:i w:val="0"/>
                <w:color w:val="5A5A5A"/>
                <w:sz w:val="18"/>
              </w:rPr>
              <w:t>#BPH  #prostate  #ageing  #LUTS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men (&gt;60-70 years)</w:t>
            </w:r>
          </w:p>
        </w:tc>
        <w:tc>
          <w:tcPr>
            <w:tcW w:type="dxa" w:w="4276"/>
            <w:vAlign w:val="top"/>
          </w:tcPr>
          <w:p>
            <w:pPr>
              <w:spacing w:after="60" w:line="259" w:lineRule="auto"/>
            </w:pPr>
            <w:r>
              <w:rPr>
                <w:rFonts w:ascii="Calibri" w:hAnsi="Calibri"/>
                <w:b w:val="0"/>
                <w:i w:val="0"/>
                <w:color w:val="212121"/>
                <w:sz w:val="19"/>
              </w:rPr>
              <w:t>BPH is overwhelmingly a disease of older men; the transition zone continues to enlarge with age, and detrusor and renal reserve fall, so both symptom burden and complications (retention, renal impairment) rise sharply after 60.</w:t>
            </w:r>
          </w:p>
          <w:p>
            <w:pPr>
              <w:spacing w:after="40" w:before="60" w:line="259" w:lineRule="auto"/>
            </w:pPr>
            <w:r>
              <w:rPr>
                <w:rFonts w:ascii="Calibri" w:hAnsi="Calibri"/>
                <w:b w:val="0"/>
                <w:i w:val="0"/>
                <w:color w:val="212121"/>
                <w:sz w:val="19"/>
              </w:rPr>
              <w:t>Histological BPH is present in ~50-60% of men in their 60s and 80-90% of men over 70; ~29-33% of men 65+ have clinically significant enlargement.</w:t>
            </w:r>
          </w:p>
          <w:p>
            <w:pPr>
              <w:spacing w:after="40" w:line="252" w:lineRule="auto"/>
            </w:pPr>
            <w:hyperlink r:id="rId10">
              <w:r>
                <w:rPr>
                  <w:rFonts w:ascii="Calibri" w:hAnsi="Calibri" w:cs="Calibri"/>
                  <w:sz w:val="18"/>
                  <w:color w:val="1155CC"/>
                  <w:u w:val="single"/>
                </w:rPr>
                <w:t xml:space="preserve">ncbi.nlm.nih.gov/books/NBK558920 — StatPearls BPH</w:t>
              </w:r>
            </w:hyperlink>
          </w:p>
          <w:p>
            <w:pPr>
              <w:spacing w:before="60" w:after="40"/>
            </w:pPr>
            <w:r>
              <w:rPr>
                <w:rFonts w:ascii="Calibri" w:hAnsi="Calibri"/>
                <w:b w:val="0"/>
                <w:i w:val="0"/>
                <w:color w:val="5A5A5A"/>
                <w:sz w:val="18"/>
              </w:rPr>
              <w:t>#elderly  #prostate  #retention  #nocturia  #agingmale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(androgen-exposed) only</w:t>
            </w:r>
          </w:p>
        </w:tc>
        <w:tc>
          <w:tcPr>
            <w:tcW w:type="dxa" w:w="4276"/>
            <w:vAlign w:val="top"/>
          </w:tcPr>
          <w:p>
            <w:pPr>
              <w:spacing w:after="60" w:line="259" w:lineRule="auto"/>
            </w:pPr>
            <w:r>
              <w:rPr>
                <w:rFonts w:ascii="Calibri" w:hAnsi="Calibri"/>
                <w:b w:val="0"/>
                <w:i w:val="0"/>
                <w:color w:val="212121"/>
                <w:sz w:val="19"/>
              </w:rPr>
              <w:t>BPH is an exclusively male condition that requires functioning testes and lifelong androgen (DHT) exposure; men castrated before puberty or with 5-alpha-reductase deficiency do not develop it.</w:t>
            </w:r>
          </w:p>
          <w:p>
            <w:pPr>
              <w:spacing w:after="40" w:before="60" w:line="259" w:lineRule="auto"/>
            </w:pPr>
            <w:r>
              <w:rPr>
                <w:rFonts w:ascii="Calibri" w:hAnsi="Calibri"/>
                <w:b w:val="0"/>
                <w:i w:val="0"/>
                <w:color w:val="212121"/>
                <w:sz w:val="19"/>
              </w:rPr>
              <w:t>Dihydrotestosterone, formed by 5-alpha-reductase, constitutes ~90% of intraprostatic androgen and is essential for prostatic hyperplasia.</w:t>
            </w:r>
          </w:p>
          <w:p>
            <w:pPr>
              <w:spacing w:after="40" w:line="252" w:lineRule="auto"/>
            </w:pPr>
            <w:hyperlink r:id="rId10">
              <w:r>
                <w:rPr>
                  <w:rFonts w:ascii="Calibri" w:hAnsi="Calibri" w:cs="Calibri"/>
                  <w:sz w:val="18"/>
                  <w:color w:val="1155CC"/>
                  <w:u w:val="single"/>
                </w:rPr>
                <w:t xml:space="preserve">ncbi.nlm.nih.gov/books/NBK558920 — DHT &amp; prostate growth</w:t>
              </w:r>
            </w:hyperlink>
          </w:p>
          <w:p>
            <w:pPr>
              <w:spacing w:before="60" w:after="40"/>
            </w:pPr>
            <w:r>
              <w:rPr>
                <w:rFonts w:ascii="Calibri" w:hAnsi="Calibri"/>
                <w:b w:val="0"/>
                <w:i w:val="0"/>
                <w:color w:val="5A5A5A"/>
                <w:sz w:val="18"/>
              </w:rPr>
              <w:t>#male  #DHT  #androgens  #5alphareductase  #hormonal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men</w:t>
            </w:r>
          </w:p>
        </w:tc>
        <w:tc>
          <w:tcPr>
            <w:tcW w:type="dxa" w:w="4276"/>
            <w:vAlign w:val="top"/>
          </w:tcPr>
          <w:p>
            <w:pPr>
              <w:spacing w:after="60" w:line="259" w:lineRule="auto"/>
            </w:pPr>
            <w:r>
              <w:rPr>
                <w:rFonts w:ascii="Calibri" w:hAnsi="Calibri"/>
                <w:b w:val="0"/>
                <w:i w:val="0"/>
                <w:color w:val="212121"/>
                <w:sz w:val="19"/>
              </w:rPr>
              <w:t>Indian men characteristically present with smaller prostate volumes but higher symptom scores than Western men, with nocturia predominating; smaller glands can still cause marked obstruction, and symptom burden should not be judged by size alone.</w:t>
            </w:r>
          </w:p>
          <w:p>
            <w:pPr>
              <w:spacing w:after="40" w:before="60" w:line="259" w:lineRule="auto"/>
            </w:pPr>
            <w:r>
              <w:rPr>
                <w:rFonts w:ascii="Calibri" w:hAnsi="Calibri"/>
                <w:b w:val="0"/>
                <w:i w:val="0"/>
                <w:color w:val="212121"/>
                <w:sz w:val="19"/>
              </w:rPr>
              <w:t>In a Gujarat community study of 2,406 men (mean IPSS 12.2), Indian men had smaller prostates yet higher symptom scores than Western cohorts, with nocturia the commonest symptom.</w:t>
            </w:r>
          </w:p>
          <w:p>
            <w:pPr>
              <w:spacing w:after="40" w:line="252" w:lineRule="auto"/>
            </w:pPr>
            <w:hyperlink r:id="rId11">
              <w:r>
                <w:rPr>
                  <w:rFonts w:ascii="Calibri" w:hAnsi="Calibri" w:cs="Calibri"/>
                  <w:sz w:val="18"/>
                  <w:color w:val="1155CC"/>
                  <w:u w:val="single"/>
                </w:rPr>
                <w:t xml:space="preserve">pubmed.ncbi.nlm.nih.gov/15291862 — Indian community LUTS study</w:t>
              </w:r>
            </w:hyperlink>
          </w:p>
          <w:p>
            <w:pPr>
              <w:spacing w:before="60" w:after="40"/>
            </w:pPr>
            <w:r>
              <w:rPr>
                <w:rFonts w:ascii="Calibri" w:hAnsi="Calibri"/>
                <w:b w:val="0"/>
                <w:i w:val="0"/>
                <w:color w:val="5A5A5A"/>
                <w:sz w:val="18"/>
              </w:rPr>
              <w:t>#India  #nocturia  #smallprostate  #IPSS  #southasian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Below-poverty-line / rural men</w:t>
            </w:r>
          </w:p>
        </w:tc>
        <w:tc>
          <w:tcPr>
            <w:tcW w:type="dxa" w:w="4276"/>
            <w:vAlign w:val="top"/>
          </w:tcPr>
          <w:p>
            <w:pPr>
              <w:spacing w:after="60" w:line="259" w:lineRule="auto"/>
            </w:pPr>
            <w:r>
              <w:rPr>
                <w:rFonts w:ascii="Calibri" w:hAnsi="Calibri"/>
                <w:b w:val="0"/>
                <w:i w:val="0"/>
                <w:color w:val="212121"/>
                <w:sz w:val="19"/>
              </w:rPr>
              <w:t>Poverty and rural residence delay presentation, so men often reach care with advanced obstruction, retention or renal impairment; limited access to urology services worsens outcomes.</w:t>
            </w:r>
          </w:p>
          <w:p>
            <w:pPr>
              <w:spacing w:after="40" w:before="60" w:line="259" w:lineRule="auto"/>
            </w:pPr>
            <w:r>
              <w:rPr>
                <w:rFonts w:ascii="Calibri" w:hAnsi="Calibri"/>
                <w:b w:val="0"/>
                <w:i w:val="0"/>
                <w:color w:val="212121"/>
                <w:sz w:val="19"/>
              </w:rPr>
              <w:t>In a Tamil Nadu community study, below-poverty-line status was independently associated with LUTS suggestive of BPH (adjusted prevalence ratio 4.13).</w:t>
            </w:r>
          </w:p>
          <w:p>
            <w:pPr>
              <w:spacing w:after="40" w:line="252" w:lineRule="auto"/>
            </w:pPr>
            <w:hyperlink r:id="rId12">
              <w:r>
                <w:rPr>
                  <w:rFonts w:ascii="Calibri" w:hAnsi="Calibri" w:cs="Calibri"/>
                  <w:sz w:val="18"/>
                  <w:color w:val="1155CC"/>
                  <w:u w:val="single"/>
                </w:rPr>
                <w:t xml:space="preserve">pubmed.ncbi.nlm.nih.gov/41840745 — Coimbatore community study</w:t>
              </w:r>
            </w:hyperlink>
          </w:p>
          <w:p>
            <w:pPr>
              <w:spacing w:before="60" w:after="40"/>
            </w:pPr>
            <w:r>
              <w:rPr>
                <w:rFonts w:ascii="Calibri" w:hAnsi="Calibri"/>
                <w:b w:val="0"/>
                <w:i w:val="0"/>
                <w:color w:val="5A5A5A"/>
                <w:sz w:val="18"/>
              </w:rPr>
              <w:t>#poverty  #ruralhealth  #accessgap  #latepresentation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Indian men with metabolic risk</w:t>
            </w:r>
          </w:p>
        </w:tc>
        <w:tc>
          <w:tcPr>
            <w:tcW w:type="dxa" w:w="4276"/>
            <w:vAlign w:val="top"/>
          </w:tcPr>
          <w:p>
            <w:pPr>
              <w:spacing w:after="60" w:line="259" w:lineRule="auto"/>
            </w:pPr>
            <w:r>
              <w:rPr>
                <w:rFonts w:ascii="Calibri" w:hAnsi="Calibri"/>
                <w:b w:val="0"/>
                <w:i w:val="0"/>
                <w:color w:val="212121"/>
                <w:sz w:val="19"/>
              </w:rPr>
              <w:t>Urbanisation brings sedentary work, energy-dense diets, obesity and metabolic syndrome, all of which promote prostatic growth and worsen LUTS in Indian men.</w:t>
            </w:r>
          </w:p>
          <w:p>
            <w:pPr>
              <w:spacing w:after="40" w:before="60" w:line="259" w:lineRule="auto"/>
            </w:pPr>
            <w:r>
              <w:rPr>
                <w:rFonts w:ascii="Calibri" w:hAnsi="Calibri"/>
                <w:b w:val="0"/>
                <w:i w:val="0"/>
                <w:color w:val="212121"/>
                <w:sz w:val="19"/>
              </w:rPr>
              <w:t>Reviews of BPH epidemiology in India link rising clinical BPH to an ageing, increasingly urban and metabolically-burdened male population.</w:t>
            </w:r>
          </w:p>
          <w:p>
            <w:pPr>
              <w:spacing w:after="40" w:line="252" w:lineRule="auto"/>
            </w:pPr>
            <w:hyperlink r:id="rId13">
              <w:r>
                <w:rPr>
                  <w:rFonts w:ascii="Calibri" w:hAnsi="Calibri" w:cs="Calibri"/>
                  <w:sz w:val="18"/>
                  <w:color w:val="1155CC"/>
                  <w:u w:val="single"/>
                </w:rPr>
                <w:t xml:space="preserve">pubmed.ncbi.nlm.nih.gov/24744516 — Indian J Urol epidemiology of BPH</w:t>
              </w:r>
            </w:hyperlink>
          </w:p>
          <w:p>
            <w:pPr>
              <w:spacing w:before="60" w:after="40"/>
            </w:pPr>
            <w:r>
              <w:rPr>
                <w:rFonts w:ascii="Calibri" w:hAnsi="Calibri"/>
                <w:b w:val="0"/>
                <w:i w:val="0"/>
                <w:color w:val="5A5A5A"/>
                <w:sz w:val="18"/>
              </w:rPr>
              <w:t>#urban  #metabolicsyndrome  #lifestyle  #India  #obesity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physically inactive</w:t>
            </w:r>
          </w:p>
        </w:tc>
        <w:tc>
          <w:tcPr>
            <w:tcW w:type="dxa" w:w="2160"/>
            <w:vAlign w:val="top"/>
          </w:tcPr>
          <w:p>
            <w:pPr>
              <w:spacing w:after="40" w:before="0" w:line="259" w:lineRule="auto"/>
            </w:pPr>
            <w:r>
              <w:rPr>
                <w:rFonts w:ascii="Calibri" w:hAnsi="Calibri"/>
                <w:b w:val="0"/>
                <w:i w:val="0"/>
                <w:color w:val="212121"/>
                <w:sz w:val="19"/>
              </w:rPr>
              <w:t>Office workers, drivers, inactive elderly men</w:t>
            </w:r>
          </w:p>
        </w:tc>
        <w:tc>
          <w:tcPr>
            <w:tcW w:type="dxa" w:w="4276"/>
            <w:vAlign w:val="top"/>
          </w:tcPr>
          <w:p>
            <w:pPr>
              <w:spacing w:after="60" w:line="259" w:lineRule="auto"/>
            </w:pPr>
            <w:r>
              <w:rPr>
                <w:rFonts w:ascii="Calibri" w:hAnsi="Calibri"/>
                <w:b w:val="0"/>
                <w:i w:val="0"/>
                <w:color w:val="212121"/>
                <w:sz w:val="19"/>
              </w:rPr>
              <w:t>Physical inactivity promotes obesity, insulin resistance, sympathetic overactivity and chronic inflammation, all of which enlarge the prostate and worsen LUTS; regular activity is protective and improves symptoms.</w:t>
            </w:r>
          </w:p>
          <w:p>
            <w:pPr>
              <w:spacing w:after="40" w:before="60" w:line="259" w:lineRule="auto"/>
            </w:pPr>
            <w:r>
              <w:rPr>
                <w:rFonts w:ascii="Calibri" w:hAnsi="Calibri"/>
                <w:b w:val="0"/>
                <w:i w:val="0"/>
                <w:color w:val="212121"/>
                <w:sz w:val="19"/>
              </w:rPr>
              <w:t>Physical inactivity was an independent predictor of LUTS suggestive of BPH in Indian men (adjusted prevalence ratio 2.89).</w:t>
            </w:r>
          </w:p>
          <w:p>
            <w:pPr>
              <w:spacing w:after="40" w:line="252" w:lineRule="auto"/>
            </w:pPr>
            <w:hyperlink r:id="rId12">
              <w:r>
                <w:rPr>
                  <w:rFonts w:ascii="Calibri" w:hAnsi="Calibri" w:cs="Calibri"/>
                  <w:sz w:val="18"/>
                  <w:color w:val="1155CC"/>
                  <w:u w:val="single"/>
                </w:rPr>
                <w:t xml:space="preserve">pubmed.ncbi.nlm.nih.gov/41840745 — physical inactivity &amp; BPH</w:t>
              </w:r>
            </w:hyperlink>
          </w:p>
          <w:p>
            <w:pPr>
              <w:spacing w:before="60" w:after="40"/>
            </w:pPr>
            <w:r>
              <w:rPr>
                <w:rFonts w:ascii="Calibri" w:hAnsi="Calibri"/>
                <w:b w:val="0"/>
                <w:i w:val="0"/>
                <w:color w:val="5A5A5A"/>
                <w:sz w:val="18"/>
              </w:rPr>
              <w:t>#sedentary  #inactivity  #insulinresistance  #LUTS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 (central adiposity)</w:t>
            </w:r>
          </w:p>
        </w:tc>
        <w:tc>
          <w:tcPr>
            <w:tcW w:type="dxa" w:w="2160"/>
            <w:vAlign w:val="top"/>
          </w:tcPr>
          <w:p>
            <w:pPr>
              <w:spacing w:after="40" w:before="0" w:line="259" w:lineRule="auto"/>
            </w:pPr>
            <w:r>
              <w:rPr>
                <w:rFonts w:ascii="Calibri" w:hAnsi="Calibri"/>
                <w:b w:val="0"/>
                <w:i w:val="0"/>
                <w:color w:val="212121"/>
                <w:sz w:val="19"/>
              </w:rPr>
              <w:t>Men with high BMI / large waist</w:t>
            </w:r>
          </w:p>
        </w:tc>
        <w:tc>
          <w:tcPr>
            <w:tcW w:type="dxa" w:w="4276"/>
            <w:vAlign w:val="top"/>
          </w:tcPr>
          <w:p>
            <w:pPr>
              <w:spacing w:after="60" w:line="259" w:lineRule="auto"/>
            </w:pPr>
            <w:r>
              <w:rPr>
                <w:rFonts w:ascii="Calibri" w:hAnsi="Calibri"/>
                <w:b w:val="0"/>
                <w:i w:val="0"/>
                <w:color w:val="212121"/>
                <w:sz w:val="19"/>
              </w:rPr>
              <w:t>Obesity — especially visceral adiposity — raises circulating insulin, estrogen and inflammatory cytokines and increases prostate volume and the risk of clinical BPH and progression to surgery.</w:t>
            </w:r>
          </w:p>
          <w:p>
            <w:pPr>
              <w:spacing w:after="40" w:before="60" w:line="259" w:lineRule="auto"/>
            </w:pPr>
            <w:r>
              <w:rPr>
                <w:rFonts w:ascii="Calibri" w:hAnsi="Calibri"/>
                <w:b w:val="0"/>
                <w:i w:val="0"/>
                <w:color w:val="212121"/>
                <w:sz w:val="19"/>
              </w:rPr>
              <w:t>Obesity shows strong positive associations with BPH by several measures, whereas physical activity significantly decreases BPH risk.</w:t>
            </w:r>
          </w:p>
          <w:p>
            <w:pPr>
              <w:spacing w:after="40" w:line="252" w:lineRule="auto"/>
            </w:pPr>
            <w:hyperlink r:id="rId14">
              <w:r>
                <w:rPr>
                  <w:rFonts w:ascii="Calibri" w:hAnsi="Calibri" w:cs="Calibri"/>
                  <w:sz w:val="18"/>
                  <w:color w:val="1155CC"/>
                  <w:u w:val="single"/>
                </w:rPr>
                <w:t xml:space="preserve">pubmed.ncbi.nlm.nih.gov/19846130 — obesity &amp; BPH</w:t>
              </w:r>
            </w:hyperlink>
          </w:p>
          <w:p>
            <w:pPr>
              <w:spacing w:before="60" w:after="40"/>
            </w:pPr>
            <w:r>
              <w:rPr>
                <w:rFonts w:ascii="Calibri" w:hAnsi="Calibri"/>
                <w:b w:val="0"/>
                <w:i w:val="0"/>
                <w:color w:val="5A5A5A"/>
                <w:sz w:val="18"/>
              </w:rPr>
              <w:t>#obesity  #visceralfat  #BMI  #prostatevolume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 heavy smokers</w:t>
            </w:r>
          </w:p>
        </w:tc>
        <w:tc>
          <w:tcPr>
            <w:tcW w:type="dxa" w:w="4276"/>
            <w:vAlign w:val="top"/>
          </w:tcPr>
          <w:p>
            <w:pPr>
              <w:spacing w:after="60" w:line="259" w:lineRule="auto"/>
            </w:pPr>
            <w:r>
              <w:rPr>
                <w:rFonts w:ascii="Calibri" w:hAnsi="Calibri"/>
                <w:b w:val="0"/>
                <w:i w:val="0"/>
                <w:color w:val="212121"/>
                <w:sz w:val="19"/>
              </w:rPr>
              <w:t>Smoking raises sympathetic tone, oxidative stress and circulating androgens and is linked to more severe storage symptoms in several studies, although its effect on gland growth is less consistent than that of obesity.</w:t>
            </w:r>
          </w:p>
          <w:p>
            <w:pPr>
              <w:spacing w:after="40" w:before="60" w:line="259" w:lineRule="auto"/>
            </w:pPr>
            <w:r>
              <w:rPr>
                <w:rFonts w:ascii="Calibri" w:hAnsi="Calibri"/>
                <w:b w:val="0"/>
                <w:i w:val="0"/>
                <w:color w:val="212121"/>
                <w:sz w:val="19"/>
              </w:rPr>
              <w:t>Smoking is associated with worse lower urinary tract symptoms and greater sympathetic (dynamic) obstruction, though evidence for prostate growth is inconsistent.</w:t>
            </w:r>
          </w:p>
          <w:p>
            <w:pPr>
              <w:spacing w:before="60" w:after="40"/>
            </w:pPr>
            <w:r>
              <w:rPr>
                <w:rFonts w:ascii="Calibri" w:hAnsi="Calibri"/>
                <w:b w:val="0"/>
                <w:i w:val="0"/>
                <w:color w:val="5A5A5A"/>
                <w:sz w:val="18"/>
              </w:rPr>
              <w:t>#smoking  #oxidativestress  #sympathetictone  #LUTS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Heavy alcohol intake causes diuresis and nocturia, worsens storage symptoms and can precipitate acute urinary retention, particularly when combined with cold exposure or decongestant/anticholinergic drugs.</w:t>
            </w:r>
          </w:p>
          <w:p>
            <w:pPr>
              <w:spacing w:after="40" w:before="60" w:line="259" w:lineRule="auto"/>
            </w:pPr>
            <w:r>
              <w:rPr>
                <w:rFonts w:ascii="Calibri" w:hAnsi="Calibri"/>
                <w:b w:val="0"/>
                <w:i w:val="0"/>
                <w:color w:val="212121"/>
                <w:sz w:val="19"/>
              </w:rPr>
              <w:t>Heavy alcohol worsens storage LUTS and can precipitate acute retention; paradoxically, moderate intake has been linked to lower histological BPH in some cohorts.</w:t>
            </w:r>
          </w:p>
          <w:p>
            <w:pPr>
              <w:spacing w:before="60" w:after="40"/>
            </w:pPr>
            <w:r>
              <w:rPr>
                <w:rFonts w:ascii="Calibri" w:hAnsi="Calibri"/>
                <w:b w:val="0"/>
                <w:i w:val="0"/>
                <w:color w:val="5A5A5A"/>
                <w:sz w:val="18"/>
              </w:rPr>
              <w:t>#alcohol  #diuresis  #nocturia  #retention  #storagesymptoms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red-meat / high-fat, low-vegetable diet</w:t>
            </w:r>
          </w:p>
        </w:tc>
        <w:tc>
          <w:tcPr>
            <w:tcW w:type="dxa" w:w="4276"/>
            <w:vAlign w:val="top"/>
          </w:tcPr>
          <w:p>
            <w:pPr>
              <w:spacing w:after="60" w:line="259" w:lineRule="auto"/>
            </w:pPr>
            <w:r>
              <w:rPr>
                <w:rFonts w:ascii="Calibri" w:hAnsi="Calibri"/>
                <w:b w:val="0"/>
                <w:i w:val="0"/>
                <w:color w:val="212121"/>
                <w:sz w:val="19"/>
              </w:rPr>
              <w:t>Diets rich in red meat, saturated fat and refined carbohydrate and low in vegetables promote obesity, insulin resistance and inflammation and are associated with larger prostates and more clinical BPH.</w:t>
            </w:r>
          </w:p>
          <w:p>
            <w:pPr>
              <w:spacing w:after="40" w:before="60" w:line="259" w:lineRule="auto"/>
            </w:pPr>
            <w:r>
              <w:rPr>
                <w:rFonts w:ascii="Calibri" w:hAnsi="Calibri"/>
                <w:b w:val="0"/>
                <w:i w:val="0"/>
                <w:color w:val="212121"/>
                <w:sz w:val="19"/>
              </w:rPr>
              <w:t>Higher intakes of total energy, red meat and fat are associated with increased BPH risk, while vegetables, fruit and healthy fats appear protective.</w:t>
            </w:r>
          </w:p>
          <w:p>
            <w:pPr>
              <w:spacing w:after="40" w:line="252" w:lineRule="auto"/>
            </w:pPr>
            <w:hyperlink r:id="rId14">
              <w:r>
                <w:rPr>
                  <w:rFonts w:ascii="Calibri" w:hAnsi="Calibri" w:cs="Calibri"/>
                  <w:sz w:val="18"/>
                  <w:color w:val="1155CC"/>
                  <w:u w:val="single"/>
                </w:rPr>
                <w:t xml:space="preserve">pubmed.ncbi.nlm.nih.gov/19846130 — diet, obesity &amp; BPH</w:t>
              </w:r>
            </w:hyperlink>
          </w:p>
          <w:p>
            <w:pPr>
              <w:spacing w:before="60" w:after="40"/>
            </w:pPr>
            <w:r>
              <w:rPr>
                <w:rFonts w:ascii="Calibri" w:hAnsi="Calibri"/>
                <w:b w:val="0"/>
                <w:i w:val="0"/>
                <w:color w:val="5A5A5A"/>
                <w:sz w:val="18"/>
              </w:rPr>
              <w:t>#diet  #redmeat  #highfat  #refinedcarbs  #westerndiet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 plant intake</w:t>
            </w:r>
          </w:p>
        </w:tc>
        <w:tc>
          <w:tcPr>
            <w:tcW w:type="dxa" w:w="2160"/>
            <w:vAlign w:val="top"/>
          </w:tcPr>
          <w:p>
            <w:pPr>
              <w:spacing w:after="40" w:before="0" w:line="259" w:lineRule="auto"/>
            </w:pPr>
            <w:r>
              <w:rPr>
                <w:rFonts w:ascii="Calibri" w:hAnsi="Calibri"/>
                <w:b w:val="0"/>
                <w:i w:val="0"/>
                <w:color w:val="212121"/>
                <w:sz w:val="19"/>
              </w:rPr>
              <w:t>Low fruit &amp; vegetable, low-fibre diet</w:t>
            </w:r>
          </w:p>
        </w:tc>
        <w:tc>
          <w:tcPr>
            <w:tcW w:type="dxa" w:w="4276"/>
            <w:vAlign w:val="top"/>
          </w:tcPr>
          <w:p>
            <w:pPr>
              <w:spacing w:after="60" w:line="259" w:lineRule="auto"/>
            </w:pPr>
            <w:r>
              <w:rPr>
                <w:rFonts w:ascii="Calibri" w:hAnsi="Calibri"/>
                <w:b w:val="0"/>
                <w:i w:val="0"/>
                <w:color w:val="212121"/>
                <w:sz w:val="19"/>
              </w:rPr>
              <w:t>Low intake of vegetables, legumes, fibre, carotenoids and phyto-oestrogens removes protective antioxidant and anti-inflammatory effects; higher vegetable and legume intake is linked to lower BPH risk.</w:t>
            </w:r>
          </w:p>
          <w:p>
            <w:pPr>
              <w:spacing w:after="40" w:before="60" w:line="259" w:lineRule="auto"/>
            </w:pPr>
            <w:r>
              <w:rPr>
                <w:rFonts w:ascii="Calibri" w:hAnsi="Calibri"/>
                <w:b w:val="0"/>
                <w:i w:val="0"/>
                <w:color w:val="212121"/>
                <w:sz w:val="19"/>
              </w:rPr>
              <w:t>Populations with high vegetable, legume and whole-plant intake show lower rates of symptomatic BPH than those on refined, low-fibre diets.</w:t>
            </w:r>
          </w:p>
          <w:p>
            <w:pPr>
              <w:spacing w:before="60" w:after="40"/>
            </w:pPr>
            <w:r>
              <w:rPr>
                <w:rFonts w:ascii="Calibri" w:hAnsi="Calibri"/>
                <w:b w:val="0"/>
                <w:i w:val="0"/>
                <w:color w:val="5A5A5A"/>
                <w:sz w:val="18"/>
              </w:rPr>
              <w:t>#vegetables  #fibre  #antioxidants  #phytoestrogens  #plantbased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BPH / prostate surgery</w:t>
            </w:r>
          </w:p>
        </w:tc>
        <w:tc>
          <w:tcPr>
            <w:tcW w:type="dxa" w:w="4276"/>
            <w:vAlign w:val="top"/>
          </w:tcPr>
          <w:p>
            <w:pPr>
              <w:spacing w:after="60" w:line="259" w:lineRule="auto"/>
            </w:pPr>
            <w:r>
              <w:rPr>
                <w:rFonts w:ascii="Calibri" w:hAnsi="Calibri"/>
                <w:b w:val="0"/>
                <w:i w:val="0"/>
                <w:color w:val="212121"/>
                <w:sz w:val="19"/>
              </w:rPr>
              <w:t>A hereditary, autosomal-dominant form of BPH exists; men with an affected father or brother develop disease earlier and with larger glands, and are more likely to need surgery.</w:t>
            </w:r>
          </w:p>
          <w:p>
            <w:pPr>
              <w:spacing w:after="40" w:before="60" w:line="259" w:lineRule="auto"/>
            </w:pPr>
            <w:r>
              <w:rPr>
                <w:rFonts w:ascii="Calibri" w:hAnsi="Calibri"/>
                <w:b w:val="0"/>
                <w:i w:val="0"/>
                <w:color w:val="212121"/>
                <w:sz w:val="19"/>
              </w:rPr>
              <w:t>Early-onset, large-volume BPH clusters in families, and a positive family history increases the likelihood of surgically-significant disease.</w:t>
            </w:r>
          </w:p>
          <w:p>
            <w:pPr>
              <w:spacing w:after="40" w:line="252" w:lineRule="auto"/>
            </w:pPr>
            <w:hyperlink r:id="rId10">
              <w:r>
                <w:rPr>
                  <w:rFonts w:ascii="Calibri" w:hAnsi="Calibri" w:cs="Calibri"/>
                  <w:sz w:val="18"/>
                  <w:color w:val="1155CC"/>
                  <w:u w:val="single"/>
                </w:rPr>
                <w:t xml:space="preserve">ncbi.nlm.nih.gov/books/NBK558920 — familial BPH</w:t>
              </w:r>
            </w:hyperlink>
          </w:p>
          <w:p>
            <w:pPr>
              <w:spacing w:before="60" w:after="40"/>
            </w:pPr>
            <w:r>
              <w:rPr>
                <w:rFonts w:ascii="Calibri" w:hAnsi="Calibri"/>
                <w:b w:val="0"/>
                <w:i w:val="0"/>
                <w:color w:val="5A5A5A"/>
                <w:sz w:val="18"/>
              </w:rPr>
              <w:t>#familyhistory  #genetics  #hereditary  #earlyonset  #largegland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Men with metabolic syndrome</w:t>
            </w:r>
          </w:p>
        </w:tc>
        <w:tc>
          <w:tcPr>
            <w:tcW w:type="dxa" w:w="4276"/>
            <w:vAlign w:val="top"/>
          </w:tcPr>
          <w:p>
            <w:pPr>
              <w:spacing w:after="60" w:line="259" w:lineRule="auto"/>
            </w:pPr>
            <w:r>
              <w:rPr>
                <w:rFonts w:ascii="Calibri" w:hAnsi="Calibri"/>
                <w:b w:val="0"/>
                <w:i w:val="0"/>
                <w:color w:val="212121"/>
                <w:sz w:val="19"/>
              </w:rPr>
              <w:t>The clustering of central obesity, hypertension, dysglycaemia and dyslipidaemia drives hyperinsulinaemia, sympathetic overactivity and inflammation, all of which enlarge the prostate and worsen LUTS — BPH is increasingly viewed as a metabolic disease of the ageing male.</w:t>
            </w:r>
          </w:p>
          <w:p>
            <w:pPr>
              <w:spacing w:after="40" w:before="60" w:line="259" w:lineRule="auto"/>
            </w:pPr>
            <w:r>
              <w:rPr>
                <w:rFonts w:ascii="Calibri" w:hAnsi="Calibri"/>
                <w:b w:val="0"/>
                <w:i w:val="0"/>
                <w:color w:val="212121"/>
                <w:sz w:val="19"/>
              </w:rPr>
              <w:t>BPH shows strong, independent associations with metabolic syndrome components and correlates with sexual dysfunction in ageing men.</w:t>
            </w:r>
          </w:p>
          <w:p>
            <w:pPr>
              <w:spacing w:after="40" w:line="252" w:lineRule="auto"/>
            </w:pPr>
            <w:hyperlink r:id="rId15">
              <w:r>
                <w:rPr>
                  <w:rFonts w:ascii="Calibri" w:hAnsi="Calibri" w:cs="Calibri"/>
                  <w:sz w:val="18"/>
                  <w:color w:val="1155CC"/>
                  <w:u w:val="single"/>
                </w:rPr>
                <w:t xml:space="preserve">pubmed.ncbi.nlm.nih.gov/24688539 — BPH as a metabolic disease</w:t>
              </w:r>
            </w:hyperlink>
          </w:p>
          <w:p>
            <w:pPr>
              <w:spacing w:before="60" w:after="40"/>
            </w:pPr>
            <w:r>
              <w:rPr>
                <w:rFonts w:ascii="Calibri" w:hAnsi="Calibri"/>
                <w:b w:val="0"/>
                <w:i w:val="0"/>
                <w:color w:val="5A5A5A"/>
                <w:sz w:val="18"/>
              </w:rPr>
              <w:t>#metabolicsyndrome  #insulinresistance  #inflammation  #prostate  #agingmale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Men with type 2 diabetes</w:t>
            </w:r>
          </w:p>
        </w:tc>
        <w:tc>
          <w:tcPr>
            <w:tcW w:type="dxa" w:w="4276"/>
            <w:vAlign w:val="top"/>
          </w:tcPr>
          <w:p>
            <w:pPr>
              <w:spacing w:after="60" w:line="259" w:lineRule="auto"/>
            </w:pPr>
            <w:r>
              <w:rPr>
                <w:rFonts w:ascii="Calibri" w:hAnsi="Calibri"/>
                <w:b w:val="0"/>
                <w:i w:val="0"/>
                <w:color w:val="212121"/>
                <w:sz w:val="19"/>
              </w:rPr>
              <w:t>Hyperinsulinaemia acts as a prostate growth factor and diabetic autonomic neuropathy impairs bladder emptying, so diabetic men have larger prostates, worse LUTS and higher retention risk.</w:t>
            </w:r>
          </w:p>
          <w:p>
            <w:pPr>
              <w:spacing w:after="40" w:before="60" w:line="259" w:lineRule="auto"/>
            </w:pPr>
            <w:r>
              <w:rPr>
                <w:rFonts w:ascii="Calibri" w:hAnsi="Calibri"/>
                <w:b w:val="0"/>
                <w:i w:val="0"/>
                <w:color w:val="212121"/>
                <w:sz w:val="19"/>
              </w:rPr>
              <w:t>Diabetes mellitus was independently associated with LUTS suggestive of BPH in Indian men (adjusted prevalence ratio 2.58); diabetes and high BMI raise BPH risk.</w:t>
            </w:r>
          </w:p>
          <w:p>
            <w:pPr>
              <w:spacing w:after="40" w:line="252" w:lineRule="auto"/>
            </w:pPr>
            <w:hyperlink r:id="rId12">
              <w:r>
                <w:rPr>
                  <w:rFonts w:ascii="Calibri" w:hAnsi="Calibri" w:cs="Calibri"/>
                  <w:sz w:val="18"/>
                  <w:color w:val="1155CC"/>
                  <w:u w:val="single"/>
                </w:rPr>
                <w:t xml:space="preserve">pubmed.ncbi.nlm.nih.gov/41840745 — diabetes &amp; BPH (India)</w:t>
              </w:r>
            </w:hyperlink>
          </w:p>
          <w:p>
            <w:pPr>
              <w:spacing w:before="60" w:after="40"/>
            </w:pPr>
            <w:r>
              <w:rPr>
                <w:rFonts w:ascii="Calibri" w:hAnsi="Calibri"/>
                <w:b w:val="0"/>
                <w:i w:val="0"/>
                <w:color w:val="5A5A5A"/>
                <w:sz w:val="18"/>
              </w:rPr>
              <w:t>#diabetes  #hyperinsulinaemia  #autonomicneuropathy  #bladder  #LUTS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 / hypertension</w:t>
            </w:r>
          </w:p>
        </w:tc>
        <w:tc>
          <w:tcPr>
            <w:tcW w:type="dxa" w:w="2160"/>
            <w:vAlign w:val="top"/>
          </w:tcPr>
          <w:p>
            <w:pPr>
              <w:spacing w:after="40" w:before="0" w:line="259" w:lineRule="auto"/>
            </w:pPr>
            <w:r>
              <w:rPr>
                <w:rFonts w:ascii="Calibri" w:hAnsi="Calibri"/>
                <w:b w:val="0"/>
                <w:i w:val="0"/>
                <w:color w:val="212121"/>
                <w:sz w:val="19"/>
              </w:rPr>
              <w:t>Men with cardiac disease or hypertension</w:t>
            </w:r>
          </w:p>
        </w:tc>
        <w:tc>
          <w:tcPr>
            <w:tcW w:type="dxa" w:w="4276"/>
            <w:vAlign w:val="top"/>
          </w:tcPr>
          <w:p>
            <w:pPr>
              <w:spacing w:after="60" w:line="259" w:lineRule="auto"/>
            </w:pPr>
            <w:r>
              <w:rPr>
                <w:rFonts w:ascii="Calibri" w:hAnsi="Calibri"/>
                <w:b w:val="0"/>
                <w:i w:val="0"/>
                <w:color w:val="212121"/>
                <w:sz w:val="19"/>
              </w:rPr>
              <w:t>BPH and cardiovascular disease share metabolic, sympathetic and endothelial (nitric-oxide) pathways; men with cardiac disease have markedly more LUTS, and treatment must account for the blood-pressure effects of alpha-blockers.</w:t>
            </w:r>
          </w:p>
          <w:p>
            <w:pPr>
              <w:spacing w:after="40" w:before="60" w:line="259" w:lineRule="auto"/>
            </w:pPr>
            <w:r>
              <w:rPr>
                <w:rFonts w:ascii="Calibri" w:hAnsi="Calibri"/>
                <w:b w:val="0"/>
                <w:i w:val="0"/>
                <w:color w:val="212121"/>
                <w:sz w:val="19"/>
              </w:rPr>
              <w:t>Cardiac disease was strongly associated with LUTS suggestive of BPH in Indian men (adjusted prevalence ratio 3.27).</w:t>
            </w:r>
          </w:p>
          <w:p>
            <w:pPr>
              <w:spacing w:after="40" w:line="252" w:lineRule="auto"/>
            </w:pPr>
            <w:hyperlink r:id="rId12">
              <w:r>
                <w:rPr>
                  <w:rFonts w:ascii="Calibri" w:hAnsi="Calibri" w:cs="Calibri"/>
                  <w:sz w:val="18"/>
                  <w:color w:val="1155CC"/>
                  <w:u w:val="single"/>
                </w:rPr>
                <w:t xml:space="preserve">pubmed.ncbi.nlm.nih.gov/41840745 — cardiac disease &amp; BPH</w:t>
              </w:r>
            </w:hyperlink>
          </w:p>
          <w:p>
            <w:pPr>
              <w:spacing w:before="60" w:after="40"/>
            </w:pPr>
            <w:r>
              <w:rPr>
                <w:rFonts w:ascii="Calibri" w:hAnsi="Calibri"/>
                <w:b w:val="0"/>
                <w:i w:val="0"/>
                <w:color w:val="5A5A5A"/>
                <w:sz w:val="18"/>
              </w:rPr>
              <w:t>#hypertension  #cardiovascular  #endothelial  #nitricoxide  #alphablocker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Erectile / sexual dysfunction</w:t>
            </w:r>
          </w:p>
        </w:tc>
        <w:tc>
          <w:tcPr>
            <w:tcW w:type="dxa" w:w="2160"/>
            <w:vAlign w:val="top"/>
          </w:tcPr>
          <w:p>
            <w:pPr>
              <w:spacing w:after="40" w:before="0" w:line="259" w:lineRule="auto"/>
            </w:pPr>
            <w:r>
              <w:rPr>
                <w:rFonts w:ascii="Calibri" w:hAnsi="Calibri"/>
                <w:b w:val="0"/>
                <w:i w:val="0"/>
                <w:color w:val="212121"/>
                <w:sz w:val="19"/>
              </w:rPr>
              <w:t>Men with erectile dysfunction</w:t>
            </w:r>
          </w:p>
        </w:tc>
        <w:tc>
          <w:tcPr>
            <w:tcW w:type="dxa" w:w="4276"/>
            <w:vAlign w:val="top"/>
          </w:tcPr>
          <w:p>
            <w:pPr>
              <w:spacing w:after="60" w:line="259" w:lineRule="auto"/>
            </w:pPr>
            <w:r>
              <w:rPr>
                <w:rFonts w:ascii="Calibri" w:hAnsi="Calibri"/>
                <w:b w:val="0"/>
                <w:i w:val="0"/>
                <w:color w:val="212121"/>
                <w:sz w:val="19"/>
              </w:rPr>
              <w:t>LUTS and erectile dysfunction strongly co-occur through shared pelvic ischaemia, reduced nitric-oxide signalling and Rho-kinase overactivity; ED severity tracks LUTS severity independent of age.</w:t>
            </w:r>
          </w:p>
          <w:p>
            <w:pPr>
              <w:spacing w:after="40" w:before="60" w:line="259" w:lineRule="auto"/>
            </w:pPr>
            <w:r>
              <w:rPr>
                <w:rFonts w:ascii="Calibri" w:hAnsi="Calibri"/>
                <w:b w:val="0"/>
                <w:i w:val="0"/>
                <w:color w:val="212121"/>
                <w:sz w:val="19"/>
              </w:rPr>
              <w:t>BPH/LUTS correlate closely with sexual dysfunction in ageing men, reflecting shared vascular and neuro-muscular pathophysiology.</w:t>
            </w:r>
          </w:p>
          <w:p>
            <w:pPr>
              <w:spacing w:after="40" w:line="252" w:lineRule="auto"/>
            </w:pPr>
            <w:hyperlink r:id="rId15">
              <w:r>
                <w:rPr>
                  <w:rFonts w:ascii="Calibri" w:hAnsi="Calibri" w:cs="Calibri"/>
                  <w:sz w:val="18"/>
                  <w:color w:val="1155CC"/>
                  <w:u w:val="single"/>
                </w:rPr>
                <w:t xml:space="preserve">pubmed.ncbi.nlm.nih.gov/24688539 — LUTS &amp; sexual dysfunction</w:t>
              </w:r>
            </w:hyperlink>
          </w:p>
          <w:p>
            <w:pPr>
              <w:spacing w:before="60" w:after="40"/>
            </w:pPr>
            <w:r>
              <w:rPr>
                <w:rFonts w:ascii="Calibri" w:hAnsi="Calibri"/>
                <w:b w:val="0"/>
                <w:i w:val="0"/>
                <w:color w:val="5A5A5A"/>
                <w:sz w:val="18"/>
              </w:rPr>
              <w:t>#erectiledysfunction  #LUTS  #nitricoxide  #rhokinase  #pelvicischaemia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is an independent risk factor for symptomatic BPH (adjusted prevalence ratio ~2.9 in Indian men), while regular moderate activity significantly lowers BPH/LUTS risk, reduces prostate growth and improves symptom scores.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high in total energy, red meat, saturated fat and refined carbohydrate raise BPH risk, whereas vegetables, legumes, fibre and healthy fats are protective; obesity is the key mediating pathway.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Nocturia is the commonest and most bothersome symptom and fragments sleep; short/disturbed sleep and shift work interact with metabolic risk, giving a bidirectional relationship with LUTS.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smoking raises sympathetic tone, androgens and oxidative stress and is linked to worse storage symptoms in some studies, but is not a consistent driver of gland enlargement.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or binge drinking causes diuresis and nocturia, worsens storage LUTS and can precipitate acute urinary retention; some cohorts paradoxically link moderate intake to lower histological BPH.</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Bothersome LUTS and nocturia reduce quality of life and cause anxiety, depression and sleep loss, while psychological stress heightens sympathetic tone and worsens symptoms — a bidirectional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pattern and timing of fluid intake strongly affect frequency and nocturia; excessive or late-evening fluids worsen symptoms, while over-restriction risks concentrated urine, infection and stones.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 diuretic and bladder irritant that worsens urgency, frequency and nocturia; reducing caffeine (and evening fluids) is a standard first-line behavioural measure.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BPH, but urinary retention and catheterisation predispose to infection; good genito-urinary and aseptic catheter care reduces urinary tract infection complications.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Anticholinergics, sympathomimetic decongestants (pseudoephedrine), opioids and general anaesthesia, alcohol binges, cold exposure, constipation and immobility can precipitate acute urinary retention in men with BPH.</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 &amp; elderly 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 (sedentary)</w:t>
            </w:r>
          </w:p>
        </w:tc>
        <w:tc>
          <w:tcPr>
            <w:tcW w:type="dxa" w:w="1468"/>
            <w:vAlign w:val="top"/>
          </w:tcPr>
          <w:p>
            <w:pPr>
              <w:spacing w:after="60" w:line="259" w:lineRule="auto"/>
            </w:pPr>
            <w:r>
              <w:rPr>
                <w:rFonts w:ascii="Calibri" w:hAnsi="Calibri"/>
                <w:b w:val="0"/>
                <w:i w:val="0"/>
                <w:color w:val="212121"/>
                <w:sz w:val="19"/>
              </w:rPr>
              <w:t>Inactivity independently raises BPH/LUTS risk; activity is protective</w:t>
            </w:r>
          </w:p>
          <w:p>
            <w:pPr>
              <w:spacing w:after="40" w:line="252" w:lineRule="auto"/>
            </w:pPr>
            <w:hyperlink r:id="rId12">
              <w:r>
                <w:rPr>
                  <w:rFonts w:ascii="Calibri" w:hAnsi="Calibri" w:cs="Calibri"/>
                  <w:sz w:val="18"/>
                  <w:color w:val="1155CC"/>
                  <w:u w:val="single"/>
                </w:rPr>
                <w:t xml:space="preserve">https://pubmed.ncbi.nlm.nih.gov/41840745/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men (Asian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increases prostate volume and clinical BPH</w:t>
            </w:r>
          </w:p>
          <w:p>
            <w:pPr>
              <w:spacing w:after="40" w:line="252" w:lineRule="auto"/>
            </w:pPr>
            <w:hyperlink r:id="rId14">
              <w:r>
                <w:rPr>
                  <w:rFonts w:ascii="Calibri" w:hAnsi="Calibri" w:cs="Calibri"/>
                  <w:sz w:val="18"/>
                  <w:color w:val="1155CC"/>
                  <w:u w:val="single"/>
                </w:rPr>
                <w:t xml:space="preserve">https://pubmed.ncbi.nlm.nih.gov/19846130/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&lt; 90 cm (Asian men)</w:t>
            </w:r>
          </w:p>
        </w:tc>
        <w:tc>
          <w:tcPr>
            <w:tcW w:type="dxa" w:w="1512"/>
            <w:vAlign w:val="top"/>
          </w:tcPr>
          <w:p>
            <w:pPr>
              <w:spacing w:after="40" w:before="0" w:line="259" w:lineRule="auto"/>
            </w:pPr>
            <w:r>
              <w:rPr>
                <w:rFonts w:ascii="Calibri" w:hAnsi="Calibri"/>
                <w:b w:val="0"/>
                <w:i w:val="0"/>
                <w:color w:val="212121"/>
                <w:sz w:val="19"/>
              </w:rPr>
              <w:t>≥ 90 cm (central obesity)</w:t>
            </w:r>
          </w:p>
        </w:tc>
        <w:tc>
          <w:tcPr>
            <w:tcW w:type="dxa" w:w="1468"/>
            <w:vAlign w:val="top"/>
          </w:tcPr>
          <w:p>
            <w:pPr>
              <w:spacing w:after="60" w:line="259" w:lineRule="auto"/>
            </w:pPr>
            <w:r>
              <w:rPr>
                <w:rFonts w:ascii="Calibri" w:hAnsi="Calibri"/>
                <w:b w:val="0"/>
                <w:i w:val="0"/>
                <w:color w:val="212121"/>
                <w:sz w:val="19"/>
              </w:rPr>
              <w:t>Visceral adiposity drives insulin-mediated prostate growth</w:t>
            </w:r>
          </w:p>
          <w:p>
            <w:pPr>
              <w:spacing w:after="40" w:line="252" w:lineRule="auto"/>
            </w:pPr>
            <w:hyperlink r:id="rId16">
              <w:r>
                <w:rPr>
                  <w:rFonts w:ascii="Calibri" w:hAnsi="Calibri" w:cs="Calibri"/>
                  <w:sz w:val="18"/>
                  <w:color w:val="1155CC"/>
                  <w:u w:val="single"/>
                </w:rPr>
                <w:t xml:space="preserve">https://pubmed.ncbi.nlm.nih.gov/25677137/</w:t>
              </w:r>
            </w:hyperlink>
          </w:p>
        </w:tc>
      </w:tr>
      <w:tr>
        <w:trPr>
          <w:cantSplit/>
        </w:trPr>
        <w:tc>
          <w:tcPr>
            <w:tcW w:type="dxa" w:w="1512"/>
            <w:vAlign w:val="center"/>
          </w:tcPr>
          <w:p>
            <w:pPr>
              <w:spacing w:after="40"/>
            </w:pPr>
            <w:r>
              <w:rPr>
                <w:rFonts w:ascii="Calibri" w:hAnsi="Calibri"/>
                <w:b w:val="0"/>
                <w:i w:val="0"/>
                <w:color w:val="212121"/>
                <w:sz w:val="19"/>
              </w:rPr>
              <w:t>Education</w:t>
            </w:r>
          </w:p>
        </w:tc>
        <w:tc>
          <w:tcPr>
            <w:tcW w:type="dxa" w:w="1944"/>
            <w:vAlign w:val="top"/>
          </w:tcPr>
          <w:p>
            <w:pPr>
              <w:spacing w:after="40" w:before="0" w:line="259" w:lineRule="auto"/>
            </w:pPr>
            <w:r>
              <w:rPr>
                <w:rFonts w:ascii="Calibri" w:hAnsi="Calibri"/>
                <w:b w:val="0"/>
                <w:i w:val="0"/>
                <w:color w:val="212121"/>
                <w:sz w:val="19"/>
              </w:rPr>
              <w:t>IPSS total score (0-35)</w:t>
            </w:r>
          </w:p>
        </w:tc>
        <w:tc>
          <w:tcPr>
            <w:tcW w:type="dxa" w:w="1655"/>
            <w:vAlign w:val="top"/>
          </w:tcPr>
          <w:p>
            <w:pPr>
              <w:spacing w:after="40" w:before="0" w:line="259" w:lineRule="auto"/>
            </w:pPr>
            <w:r>
              <w:rPr>
                <w:rFonts w:ascii="Calibri" w:hAnsi="Calibri"/>
                <w:b w:val="0"/>
                <w:i w:val="0"/>
                <w:color w:val="212121"/>
                <w:sz w:val="19"/>
              </w:rPr>
              <w:t>Men with LUTS</w:t>
            </w:r>
          </w:p>
        </w:tc>
        <w:tc>
          <w:tcPr>
            <w:tcW w:type="dxa" w:w="1512"/>
            <w:vAlign w:val="top"/>
          </w:tcPr>
          <w:p>
            <w:pPr>
              <w:spacing w:after="40" w:before="0" w:line="259" w:lineRule="auto"/>
            </w:pPr>
            <w:r>
              <w:rPr>
                <w:rFonts w:ascii="Calibri" w:hAnsi="Calibri"/>
                <w:b w:val="0"/>
                <w:i w:val="0"/>
                <w:color w:val="212121"/>
                <w:sz w:val="19"/>
              </w:rPr>
              <w:t>0-7 (mild)</w:t>
            </w:r>
          </w:p>
        </w:tc>
        <w:tc>
          <w:tcPr>
            <w:tcW w:type="dxa" w:w="1512"/>
            <w:vAlign w:val="top"/>
          </w:tcPr>
          <w:p>
            <w:pPr>
              <w:spacing w:after="40" w:before="0" w:line="259" w:lineRule="auto"/>
            </w:pPr>
            <w:r>
              <w:rPr>
                <w:rFonts w:ascii="Calibri" w:hAnsi="Calibri"/>
                <w:b w:val="0"/>
                <w:i w:val="0"/>
                <w:color w:val="212121"/>
                <w:sz w:val="19"/>
              </w:rPr>
              <w:t>≥ 8 (moderate-severe)</w:t>
            </w:r>
          </w:p>
        </w:tc>
        <w:tc>
          <w:tcPr>
            <w:tcW w:type="dxa" w:w="1468"/>
            <w:vAlign w:val="top"/>
          </w:tcPr>
          <w:p>
            <w:pPr>
              <w:spacing w:after="60" w:line="259" w:lineRule="auto"/>
            </w:pPr>
            <w:r>
              <w:rPr>
                <w:rFonts w:ascii="Calibri" w:hAnsi="Calibri"/>
                <w:b w:val="0"/>
                <w:i w:val="0"/>
                <w:color w:val="212121"/>
                <w:sz w:val="19"/>
              </w:rPr>
              <w:t>Core validated severity/bother index guiding therapy and monitoring</w:t>
            </w:r>
          </w:p>
          <w:p>
            <w:pPr>
              <w:spacing w:after="40" w:line="252" w:lineRule="auto"/>
            </w:pPr>
            <w:hyperlink r:id="rId9">
              <w:r>
                <w:rPr>
                  <w:rFonts w:ascii="Calibri" w:hAnsi="Calibri" w:cs="Calibri"/>
                  <w:sz w:val="18"/>
                  <w:color w:val="1155CC"/>
                  <w:u w:val="single"/>
                </w:rPr>
                <w:t xml:space="preserve">https://www.niddk.nih.gov/health-information/urologic-diseases/prostate-problems/prostate-enlargement-benign-prostatic-hyperplasia</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Nocturia (voids per night)</w:t>
            </w:r>
          </w:p>
        </w:tc>
        <w:tc>
          <w:tcPr>
            <w:tcW w:type="dxa" w:w="1655"/>
            <w:vAlign w:val="top"/>
          </w:tcPr>
          <w:p>
            <w:pPr>
              <w:spacing w:after="40" w:before="0" w:line="259" w:lineRule="auto"/>
            </w:pPr>
            <w:r>
              <w:rPr>
                <w:rFonts w:ascii="Calibri" w:hAnsi="Calibri"/>
                <w:b w:val="0"/>
                <w:i w:val="0"/>
                <w:color w:val="212121"/>
                <w:sz w:val="19"/>
              </w:rPr>
              <w:t>Older men</w:t>
            </w:r>
          </w:p>
        </w:tc>
        <w:tc>
          <w:tcPr>
            <w:tcW w:type="dxa" w:w="1512"/>
            <w:vAlign w:val="top"/>
          </w:tcPr>
          <w:p>
            <w:pPr>
              <w:spacing w:after="40" w:before="0" w:line="259" w:lineRule="auto"/>
            </w:pPr>
            <w:r>
              <w:rPr>
                <w:rFonts w:ascii="Calibri" w:hAnsi="Calibri"/>
                <w:b w:val="0"/>
                <w:i w:val="0"/>
                <w:color w:val="212121"/>
                <w:sz w:val="19"/>
              </w:rPr>
              <w:t>0-1</w:t>
            </w:r>
          </w:p>
        </w:tc>
        <w:tc>
          <w:tcPr>
            <w:tcW w:type="dxa" w:w="1512"/>
            <w:vAlign w:val="top"/>
          </w:tcPr>
          <w:p>
            <w:pPr>
              <w:spacing w:after="40" w:before="0" w:line="259" w:lineRule="auto"/>
            </w:pPr>
            <w:r>
              <w:rPr>
                <w:rFonts w:ascii="Calibri" w:hAnsi="Calibri"/>
                <w:b w:val="0"/>
                <w:i w:val="0"/>
                <w:color w:val="212121"/>
                <w:sz w:val="19"/>
              </w:rPr>
              <w:t>≥ 2 per night</w:t>
            </w:r>
          </w:p>
        </w:tc>
        <w:tc>
          <w:tcPr>
            <w:tcW w:type="dxa" w:w="1468"/>
            <w:vAlign w:val="top"/>
          </w:tcPr>
          <w:p>
            <w:pPr>
              <w:spacing w:after="60" w:line="259" w:lineRule="auto"/>
            </w:pPr>
            <w:r>
              <w:rPr>
                <w:rFonts w:ascii="Calibri" w:hAnsi="Calibri"/>
                <w:b w:val="0"/>
                <w:i w:val="0"/>
                <w:color w:val="212121"/>
                <w:sz w:val="19"/>
              </w:rPr>
              <w:t>Commonest and most bothersome symptom; disrupts sleep</w:t>
            </w:r>
          </w:p>
          <w:p>
            <w:pPr>
              <w:spacing w:after="40" w:line="252" w:lineRule="auto"/>
            </w:pPr>
            <w:hyperlink r:id="rId11">
              <w:r>
                <w:rPr>
                  <w:rFonts w:ascii="Calibri" w:hAnsi="Calibri" w:cs="Calibri"/>
                  <w:sz w:val="18"/>
                  <w:color w:val="1155CC"/>
                  <w:u w:val="single"/>
                </w:rPr>
                <w:t xml:space="preserve">https://pubmed.ncbi.nlm.nih.gov/15291862/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Post-void residual urine (mL)</w:t>
            </w:r>
          </w:p>
        </w:tc>
        <w:tc>
          <w:tcPr>
            <w:tcW w:type="dxa" w:w="1655"/>
            <w:vAlign w:val="top"/>
          </w:tcPr>
          <w:p>
            <w:pPr>
              <w:spacing w:after="40" w:before="0" w:line="259" w:lineRule="auto"/>
            </w:pPr>
            <w:r>
              <w:rPr>
                <w:rFonts w:ascii="Calibri" w:hAnsi="Calibri"/>
                <w:b w:val="0"/>
                <w:i w:val="0"/>
                <w:color w:val="212121"/>
                <w:sz w:val="19"/>
              </w:rPr>
              <w:t>Men with LUTS</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100-200 mL</w:t>
            </w:r>
          </w:p>
        </w:tc>
        <w:tc>
          <w:tcPr>
            <w:tcW w:type="dxa" w:w="1468"/>
            <w:vAlign w:val="top"/>
          </w:tcPr>
          <w:p>
            <w:pPr>
              <w:spacing w:after="60" w:line="259" w:lineRule="auto"/>
            </w:pPr>
            <w:r>
              <w:rPr>
                <w:rFonts w:ascii="Calibri" w:hAnsi="Calibri"/>
                <w:b w:val="0"/>
                <w:i w:val="0"/>
                <w:color w:val="212121"/>
                <w:sz w:val="19"/>
              </w:rPr>
              <w:t>High residual indicates incomplete emptying and retention risk</w:t>
            </w:r>
          </w:p>
          <w:p>
            <w:pPr>
              <w:spacing w:after="40" w:line="252" w:lineRule="auto"/>
            </w:pPr>
            <w:hyperlink r:id="rId10">
              <w:r>
                <w:rPr>
                  <w:rFonts w:ascii="Calibri" w:hAnsi="Calibri" w:cs="Calibri"/>
                  <w:sz w:val="18"/>
                  <w:color w:val="1155CC"/>
                  <w:u w:val="single"/>
                </w:rPr>
                <w:t xml:space="preserve">https://www.ncbi.nlm.nih.gov/books/NBK558920/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Peak urinary flow, Qmax (mL/s)</w:t>
            </w:r>
          </w:p>
        </w:tc>
        <w:tc>
          <w:tcPr>
            <w:tcW w:type="dxa" w:w="1655"/>
            <w:vAlign w:val="top"/>
          </w:tcPr>
          <w:p>
            <w:pPr>
              <w:spacing w:after="40" w:before="0" w:line="259" w:lineRule="auto"/>
            </w:pPr>
            <w:r>
              <w:rPr>
                <w:rFonts w:ascii="Calibri" w:hAnsi="Calibri"/>
                <w:b w:val="0"/>
                <w:i w:val="0"/>
                <w:color w:val="212121"/>
                <w:sz w:val="19"/>
              </w:rPr>
              <w:t>Men with LUTS</w:t>
            </w:r>
          </w:p>
        </w:tc>
        <w:tc>
          <w:tcPr>
            <w:tcW w:type="dxa" w:w="1512"/>
            <w:vAlign w:val="top"/>
          </w:tcPr>
          <w:p>
            <w:pPr>
              <w:spacing w:after="40" w:before="0" w:line="259" w:lineRule="auto"/>
            </w:pPr>
            <w:r>
              <w:rPr>
                <w:rFonts w:ascii="Calibri" w:hAnsi="Calibri"/>
                <w:b w:val="0"/>
                <w:i w:val="0"/>
                <w:color w:val="212121"/>
                <w:sz w:val="19"/>
              </w:rPr>
              <w:t>≥ 15 mL/s</w:t>
            </w:r>
          </w:p>
        </w:tc>
        <w:tc>
          <w:tcPr>
            <w:tcW w:type="dxa" w:w="1512"/>
            <w:vAlign w:val="top"/>
          </w:tcPr>
          <w:p>
            <w:pPr>
              <w:spacing w:after="40" w:before="0" w:line="259" w:lineRule="auto"/>
            </w:pPr>
            <w:r>
              <w:rPr>
                <w:rFonts w:ascii="Calibri" w:hAnsi="Calibri"/>
                <w:b w:val="0"/>
                <w:i w:val="0"/>
                <w:color w:val="212121"/>
                <w:sz w:val="19"/>
              </w:rPr>
              <w:t>&lt; 10 mL/s (obstruction)</w:t>
            </w:r>
          </w:p>
        </w:tc>
        <w:tc>
          <w:tcPr>
            <w:tcW w:type="dxa" w:w="1468"/>
            <w:vAlign w:val="top"/>
          </w:tcPr>
          <w:p>
            <w:pPr>
              <w:spacing w:after="60" w:line="259" w:lineRule="auto"/>
            </w:pPr>
            <w:r>
              <w:rPr>
                <w:rFonts w:ascii="Calibri" w:hAnsi="Calibri"/>
                <w:b w:val="0"/>
                <w:i w:val="0"/>
                <w:color w:val="212121"/>
                <w:sz w:val="19"/>
              </w:rPr>
              <w:t>Uroflowmetry needs a voided volume &gt; 150 mL to be valid</w:t>
            </w:r>
          </w:p>
          <w:p>
            <w:pPr>
              <w:spacing w:after="40" w:line="252" w:lineRule="auto"/>
            </w:pPr>
            <w:hyperlink r:id="rId10">
              <w:r>
                <w:rPr>
                  <w:rFonts w:ascii="Calibri" w:hAnsi="Calibri" w:cs="Calibri"/>
                  <w:sz w:val="18"/>
                  <w:color w:val="1155CC"/>
                  <w:u w:val="single"/>
                </w:rPr>
                <w:t xml:space="preserve">https://www.ncbi.nlm.nih.gov/books/NBK558920/</w:t>
              </w:r>
            </w:hyperlink>
          </w:p>
        </w:tc>
      </w:tr>
      <w:tr>
        <w:trPr>
          <w:cantSplit/>
        </w:trPr>
        <w:tc>
          <w:tcPr>
            <w:tcW w:type="dxa" w:w="1512"/>
            <w:vMerge w:val="restart"/>
            <w:vAlign w:val="center"/>
          </w:tcPr>
          <w:p>
            <w:pPr>
              <w:spacing w:after="40"/>
            </w:pPr>
            <w:r>
              <w:rPr>
                <w:rFonts w:ascii="Calibri" w:hAnsi="Calibri"/>
                <w:b w:val="0"/>
                <w:i w:val="0"/>
                <w:color w:val="212121"/>
                <w:sz w:val="19"/>
              </w:rPr>
              <w:t>Education</w:t>
            </w:r>
          </w:p>
        </w:tc>
        <w:tc>
          <w:tcPr>
            <w:tcW w:type="dxa" w:w="1944"/>
            <w:vAlign w:val="top"/>
          </w:tcPr>
          <w:p>
            <w:pPr>
              <w:spacing w:after="40" w:before="0" w:line="259" w:lineRule="auto"/>
            </w:pPr>
            <w:r>
              <w:rPr>
                <w:rFonts w:ascii="Calibri" w:hAnsi="Calibri"/>
                <w:b w:val="0"/>
                <w:i w:val="0"/>
                <w:color w:val="212121"/>
                <w:sz w:val="19"/>
              </w:rPr>
              <w:t>Prostate volume (mL, ultrasound)</w:t>
            </w:r>
          </w:p>
        </w:tc>
        <w:tc>
          <w:tcPr>
            <w:tcW w:type="dxa" w:w="1655"/>
            <w:vAlign w:val="top"/>
          </w:tcPr>
          <w:p>
            <w:pPr>
              <w:spacing w:after="40" w:before="0" w:line="259" w:lineRule="auto"/>
            </w:pPr>
            <w:r>
              <w:rPr>
                <w:rFonts w:ascii="Calibri" w:hAnsi="Calibri"/>
                <w:b w:val="0"/>
                <w:i w:val="0"/>
                <w:color w:val="212121"/>
                <w:sz w:val="19"/>
              </w:rPr>
              <w:t>Ageing men</w:t>
            </w:r>
          </w:p>
        </w:tc>
        <w:tc>
          <w:tcPr>
            <w:tcW w:type="dxa" w:w="1512"/>
            <w:vAlign w:val="top"/>
          </w:tcPr>
          <w:p>
            <w:pPr>
              <w:spacing w:after="40" w:before="0" w:line="259" w:lineRule="auto"/>
            </w:pPr>
            <w:r>
              <w:rPr>
                <w:rFonts w:ascii="Calibri" w:hAnsi="Calibri"/>
                <w:b w:val="0"/>
                <w:i w:val="0"/>
                <w:color w:val="212121"/>
                <w:sz w:val="19"/>
              </w:rPr>
              <w:t>&lt; 30 mL</w:t>
            </w:r>
          </w:p>
        </w:tc>
        <w:tc>
          <w:tcPr>
            <w:tcW w:type="dxa" w:w="1512"/>
            <w:vAlign w:val="top"/>
          </w:tcPr>
          <w:p>
            <w:pPr>
              <w:spacing w:after="40" w:before="0" w:line="259" w:lineRule="auto"/>
            </w:pPr>
            <w:r>
              <w:rPr>
                <w:rFonts w:ascii="Calibri" w:hAnsi="Calibri"/>
                <w:b w:val="0"/>
                <w:i w:val="0"/>
                <w:color w:val="212121"/>
                <w:sz w:val="19"/>
              </w:rPr>
              <w:t>&gt; 30-40 mL (&gt; 80 mL is large)</w:t>
            </w:r>
          </w:p>
        </w:tc>
        <w:tc>
          <w:tcPr>
            <w:tcW w:type="dxa" w:w="1468"/>
            <w:vAlign w:val="top"/>
          </w:tcPr>
          <w:p>
            <w:pPr>
              <w:spacing w:after="60" w:line="259" w:lineRule="auto"/>
            </w:pPr>
            <w:r>
              <w:rPr>
                <w:rFonts w:ascii="Calibri" w:hAnsi="Calibri"/>
                <w:b w:val="0"/>
                <w:i w:val="0"/>
                <w:color w:val="212121"/>
                <w:sz w:val="19"/>
              </w:rPr>
              <w:t>Volume &gt; 30-40 mL predicts progression and benefit from 5-alpha-reductase inhibitors</w:t>
            </w:r>
          </w:p>
          <w:p>
            <w:pPr>
              <w:spacing w:after="40" w:line="252" w:lineRule="auto"/>
            </w:pPr>
            <w:hyperlink r:id="rId10">
              <w:r>
                <w:rPr>
                  <w:rFonts w:ascii="Calibri" w:hAnsi="Calibri" w:cs="Calibri"/>
                  <w:sz w:val="18"/>
                  <w:color w:val="1155CC"/>
                  <w:u w:val="single"/>
                </w:rPr>
                <w:t xml:space="preserve">https://www.ncbi.nlm.nih.gov/books/NBK558920/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PSA (ng/mL)</w:t>
            </w:r>
          </w:p>
        </w:tc>
        <w:tc>
          <w:tcPr>
            <w:tcW w:type="dxa" w:w="1655"/>
            <w:vAlign w:val="top"/>
          </w:tcPr>
          <w:p>
            <w:pPr>
              <w:spacing w:after="40" w:before="0" w:line="259" w:lineRule="auto"/>
            </w:pPr>
            <w:r>
              <w:rPr>
                <w:rFonts w:ascii="Calibri" w:hAnsi="Calibri"/>
                <w:b w:val="0"/>
                <w:i w:val="0"/>
                <w:color w:val="212121"/>
                <w:sz w:val="19"/>
              </w:rPr>
              <w:t>Men &gt; 50 years</w:t>
            </w:r>
          </w:p>
        </w:tc>
        <w:tc>
          <w:tcPr>
            <w:tcW w:type="dxa" w:w="1512"/>
            <w:vAlign w:val="top"/>
          </w:tcPr>
          <w:p>
            <w:pPr>
              <w:spacing w:after="40" w:before="0" w:line="259" w:lineRule="auto"/>
            </w:pPr>
            <w:r>
              <w:rPr>
                <w:rFonts w:ascii="Calibri" w:hAnsi="Calibri"/>
                <w:b w:val="0"/>
                <w:i w:val="0"/>
                <w:color w:val="212121"/>
                <w:sz w:val="19"/>
              </w:rPr>
              <w:t>&lt; 4 ng/mL (age-specific)</w:t>
            </w:r>
          </w:p>
        </w:tc>
        <w:tc>
          <w:tcPr>
            <w:tcW w:type="dxa" w:w="1512"/>
            <w:vAlign w:val="top"/>
          </w:tcPr>
          <w:p>
            <w:pPr>
              <w:spacing w:after="40" w:before="0" w:line="259" w:lineRule="auto"/>
            </w:pPr>
            <w:r>
              <w:rPr>
                <w:rFonts w:ascii="Calibri" w:hAnsi="Calibri"/>
                <w:b w:val="0"/>
                <w:i w:val="0"/>
                <w:color w:val="212121"/>
                <w:sz w:val="19"/>
              </w:rPr>
              <w:t>&gt; 4 ng/mL (needs cancer work-up)</w:t>
            </w:r>
          </w:p>
        </w:tc>
        <w:tc>
          <w:tcPr>
            <w:tcW w:type="dxa" w:w="1468"/>
            <w:vAlign w:val="top"/>
          </w:tcPr>
          <w:p>
            <w:pPr>
              <w:spacing w:after="60" w:line="259" w:lineRule="auto"/>
            </w:pPr>
            <w:r>
              <w:rPr>
                <w:rFonts w:ascii="Calibri" w:hAnsi="Calibri"/>
                <w:b w:val="0"/>
                <w:i w:val="0"/>
                <w:color w:val="212121"/>
                <w:sz w:val="19"/>
              </w:rPr>
              <w:t>Correlates with prostate volume; finasteride roughly halves PSA</w:t>
            </w:r>
          </w:p>
          <w:p>
            <w:pPr>
              <w:spacing w:after="40" w:line="252" w:lineRule="auto"/>
            </w:pPr>
            <w:hyperlink r:id="rId10">
              <w:r>
                <w:rPr>
                  <w:rFonts w:ascii="Calibri" w:hAnsi="Calibri" w:cs="Calibri"/>
                  <w:sz w:val="18"/>
                  <w:color w:val="1155CC"/>
                  <w:u w:val="single"/>
                </w:rPr>
                <w:t xml:space="preserve">https://www.ncbi.nlm.nih.gov/books/NBK558920/</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Men with storage LUTS</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High or evening intake</w:t>
            </w:r>
          </w:p>
        </w:tc>
        <w:tc>
          <w:tcPr>
            <w:tcW w:type="dxa" w:w="1468"/>
            <w:vAlign w:val="top"/>
          </w:tcPr>
          <w:p>
            <w:pPr>
              <w:spacing w:after="40" w:before="0" w:line="259" w:lineRule="auto"/>
            </w:pPr>
            <w:r>
              <w:rPr>
                <w:rFonts w:ascii="Calibri" w:hAnsi="Calibri"/>
                <w:b w:val="0"/>
                <w:i w:val="0"/>
                <w:color w:val="212121"/>
                <w:sz w:val="19"/>
              </w:rPr>
              <w:t>Bladder irritant and diuretic; worsens urgency, frequency and nocturia</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(standard drinks/week)</w:t>
            </w:r>
          </w:p>
        </w:tc>
        <w:tc>
          <w:tcPr>
            <w:tcW w:type="dxa" w:w="1655"/>
            <w:vAlign w:val="top"/>
          </w:tcPr>
          <w:p>
            <w:pPr>
              <w:spacing w:after="40" w:before="0" w:line="259" w:lineRule="auto"/>
            </w:pPr>
            <w:r>
              <w:rPr>
                <w:rFonts w:ascii="Calibri" w:hAnsi="Calibri"/>
                <w:b w:val="0"/>
                <w:i w:val="0"/>
                <w:color w:val="212121"/>
                <w:sz w:val="19"/>
              </w:rPr>
              <w:t>Men with LUTS</w:t>
            </w:r>
          </w:p>
        </w:tc>
        <w:tc>
          <w:tcPr>
            <w:tcW w:type="dxa" w:w="1512"/>
            <w:vAlign w:val="top"/>
          </w:tcPr>
          <w:p>
            <w:pPr>
              <w:spacing w:after="40" w:before="0" w:line="259" w:lineRule="auto"/>
            </w:pPr>
            <w:r>
              <w:rPr>
                <w:rFonts w:ascii="Calibri" w:hAnsi="Calibri"/>
                <w:b w:val="0"/>
                <w:i w:val="0"/>
                <w:color w:val="212121"/>
                <w:sz w:val="19"/>
              </w:rPr>
              <w:t>≤ 10 drinks/week or none</w:t>
            </w:r>
          </w:p>
        </w:tc>
        <w:tc>
          <w:tcPr>
            <w:tcW w:type="dxa" w:w="1512"/>
            <w:vAlign w:val="top"/>
          </w:tcPr>
          <w:p>
            <w:pPr>
              <w:spacing w:after="40" w:before="0" w:line="259" w:lineRule="auto"/>
            </w:pPr>
            <w:r>
              <w:rPr>
                <w:rFonts w:ascii="Calibri" w:hAnsi="Calibri"/>
                <w:b w:val="0"/>
                <w:i w:val="0"/>
                <w:color w:val="212121"/>
                <w:sz w:val="19"/>
              </w:rPr>
              <w:t>Heavy or binge intake</w:t>
            </w:r>
          </w:p>
        </w:tc>
        <w:tc>
          <w:tcPr>
            <w:tcW w:type="dxa" w:w="1468"/>
            <w:vAlign w:val="top"/>
          </w:tcPr>
          <w:p>
            <w:pPr>
              <w:spacing w:after="40" w:before="0" w:line="259" w:lineRule="auto"/>
            </w:pPr>
            <w:r>
              <w:rPr>
                <w:rFonts w:ascii="Calibri" w:hAnsi="Calibri"/>
                <w:b w:val="0"/>
                <w:i w:val="0"/>
                <w:color w:val="212121"/>
                <w:sz w:val="19"/>
              </w:rPr>
              <w:t>Diuresis and nocturia; can precipitate acute urinary retention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Urinalysis (dipstick + microscopy)</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blood, leukocytes, nitrites or glucose</w:t>
            </w:r>
          </w:p>
        </w:tc>
        <w:tc>
          <w:tcPr>
            <w:tcW w:type="dxa" w:w="950"/>
            <w:vAlign w:val="top"/>
          </w:tcPr>
          <w:p>
            <w:pPr>
              <w:spacing w:after="40" w:before="0" w:line="259" w:lineRule="auto"/>
            </w:pPr>
            <w:r>
              <w:rPr>
                <w:rFonts w:ascii="Calibri" w:hAnsi="Calibri"/>
                <w:b w:val="0"/>
                <w:i w:val="0"/>
                <w:color w:val="212121"/>
                <w:sz w:val="16"/>
              </w:rPr>
              <w:t>Haematuria, pyuria/nitrites or glycosuria</w:t>
            </w:r>
          </w:p>
        </w:tc>
        <w:tc>
          <w:tcPr>
            <w:tcW w:type="dxa" w:w="1036"/>
            <w:vAlign w:val="top"/>
          </w:tcPr>
          <w:p>
            <w:pPr>
              <w:spacing w:after="40" w:before="0" w:line="259" w:lineRule="auto"/>
            </w:pPr>
            <w:r>
              <w:rPr>
                <w:rFonts w:ascii="Calibri" w:hAnsi="Calibri"/>
                <w:b w:val="0"/>
                <w:i w:val="0"/>
                <w:color w:val="212121"/>
                <w:sz w:val="16"/>
              </w:rPr>
              <w:t>Excludes urinary infection, diabetes and haematuria before attributing symptoms to BPH</w:t>
            </w:r>
          </w:p>
        </w:tc>
        <w:tc>
          <w:tcPr>
            <w:tcW w:type="dxa" w:w="1036"/>
            <w:vAlign w:val="top"/>
          </w:tcPr>
          <w:p>
            <w:pPr>
              <w:spacing w:after="40" w:before="0" w:line="259" w:lineRule="auto"/>
            </w:pPr>
            <w:r>
              <w:rPr>
                <w:rFonts w:ascii="Calibri" w:hAnsi="Calibri"/>
                <w:b w:val="0"/>
                <w:i w:val="0"/>
                <w:color w:val="212121"/>
                <w:sz w:val="16"/>
              </w:rPr>
              <w:t>All men with LUTS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Mandatory first test</w:t>
            </w:r>
          </w:p>
        </w:tc>
        <w:tc>
          <w:tcPr>
            <w:tcW w:type="dxa" w:w="720"/>
            <w:vAlign w:val="top"/>
          </w:tcPr>
          <w:p>
            <w:pPr>
              <w:spacing w:after="40" w:before="0" w:line="259" w:lineRule="auto"/>
            </w:pPr>
            <w:r>
              <w:rPr>
                <w:rFonts w:ascii="Calibri" w:hAnsi="Calibri"/>
                <w:b w:val="0"/>
                <w:i w:val="0"/>
                <w:color w:val="212121"/>
                <w:sz w:val="16"/>
              </w:rPr>
              <w:t>Haematuria warrants imaging and cystoscopy to exclude tumour/stone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PSA</w:t>
            </w:r>
          </w:p>
        </w:tc>
        <w:tc>
          <w:tcPr>
            <w:tcW w:type="dxa" w:w="892"/>
            <w:vAlign w:val="top"/>
          </w:tcPr>
          <w:p>
            <w:pPr>
              <w:spacing w:after="40" w:before="0" w:line="259" w:lineRule="auto"/>
            </w:pPr>
            <w:r>
              <w:rPr>
                <w:rFonts w:ascii="Calibri" w:hAnsi="Calibri"/>
                <w:b w:val="0"/>
                <w:i w:val="0"/>
                <w:color w:val="212121"/>
                <w:sz w:val="16"/>
              </w:rPr>
              <w:t>Prostate-specific antigen</w:t>
            </w:r>
          </w:p>
        </w:tc>
        <w:tc>
          <w:tcPr>
            <w:tcW w:type="dxa" w:w="950"/>
            <w:vAlign w:val="top"/>
          </w:tcPr>
          <w:p>
            <w:pPr>
              <w:spacing w:after="40" w:before="0" w:line="259" w:lineRule="auto"/>
            </w:pPr>
            <w:r>
              <w:rPr>
                <w:rFonts w:ascii="Calibri" w:hAnsi="Calibri"/>
                <w:b w:val="0"/>
                <w:i w:val="0"/>
                <w:color w:val="212121"/>
                <w:sz w:val="16"/>
              </w:rPr>
              <w:t>&lt; 4 ng/mL (age-specific)</w:t>
            </w:r>
          </w:p>
        </w:tc>
        <w:tc>
          <w:tcPr>
            <w:tcW w:type="dxa" w:w="950"/>
            <w:vAlign w:val="top"/>
          </w:tcPr>
          <w:p>
            <w:pPr>
              <w:spacing w:after="40" w:before="0" w:line="259" w:lineRule="auto"/>
            </w:pPr>
            <w:r>
              <w:rPr>
                <w:rFonts w:ascii="Calibri" w:hAnsi="Calibri"/>
                <w:b w:val="0"/>
                <w:i w:val="0"/>
                <w:color w:val="212121"/>
                <w:sz w:val="16"/>
              </w:rPr>
              <w:t>&gt; 4 ng/mL or rapid rise</w:t>
            </w:r>
          </w:p>
        </w:tc>
        <w:tc>
          <w:tcPr>
            <w:tcW w:type="dxa" w:w="1036"/>
            <w:vAlign w:val="top"/>
          </w:tcPr>
          <w:p>
            <w:pPr>
              <w:spacing w:after="40" w:before="0" w:line="259" w:lineRule="auto"/>
            </w:pPr>
            <w:r>
              <w:rPr>
                <w:rFonts w:ascii="Calibri" w:hAnsi="Calibri"/>
                <w:b w:val="0"/>
                <w:i w:val="0"/>
                <w:color w:val="212121"/>
                <w:sz w:val="16"/>
              </w:rPr>
              <w:t>Estimates prostate volume and progression risk and screens for prostate cancer</w:t>
            </w:r>
          </w:p>
        </w:tc>
        <w:tc>
          <w:tcPr>
            <w:tcW w:type="dxa" w:w="1036"/>
            <w:vAlign w:val="top"/>
          </w:tcPr>
          <w:p>
            <w:pPr>
              <w:spacing w:after="40" w:before="0" w:line="259" w:lineRule="auto"/>
            </w:pPr>
            <w:r>
              <w:rPr>
                <w:rFonts w:ascii="Calibri" w:hAnsi="Calibri"/>
                <w:b w:val="0"/>
                <w:i w:val="0"/>
                <w:color w:val="212121"/>
                <w:sz w:val="16"/>
              </w:rPr>
              <w:t>Men &gt; 50 (or &gt; 45 with family history)</w:t>
            </w:r>
          </w:p>
        </w:tc>
        <w:tc>
          <w:tcPr>
            <w:tcW w:type="dxa" w:w="720"/>
            <w:vAlign w:val="top"/>
          </w:tcPr>
          <w:p>
            <w:pPr>
              <w:spacing w:after="40" w:before="0" w:line="259" w:lineRule="auto"/>
            </w:pPr>
            <w:r>
              <w:rPr>
                <w:rFonts w:ascii="Calibri" w:hAnsi="Calibri"/>
                <w:b w:val="0"/>
                <w:i w:val="0"/>
                <w:color w:val="212121"/>
                <w:sz w:val="16"/>
              </w:rPr>
              <w:t>Education</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Falsely raised by infection/DRE/retention; halved by finasteride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Cr 0.7-1.3 mg/dL; eGFR ≥ 90</w:t>
            </w:r>
          </w:p>
        </w:tc>
        <w:tc>
          <w:tcPr>
            <w:tcW w:type="dxa" w:w="950"/>
            <w:vAlign w:val="top"/>
          </w:tcPr>
          <w:p>
            <w:pPr>
              <w:spacing w:after="40" w:before="0" w:line="259" w:lineRule="auto"/>
            </w:pPr>
            <w:r>
              <w:rPr>
                <w:rFonts w:ascii="Calibri" w:hAnsi="Calibri"/>
                <w:b w:val="0"/>
                <w:i w:val="0"/>
                <w:color w:val="212121"/>
                <w:sz w:val="16"/>
              </w:rPr>
              <w:t>Elevated creatinine / low eGFR</w:t>
            </w:r>
          </w:p>
        </w:tc>
        <w:tc>
          <w:tcPr>
            <w:tcW w:type="dxa" w:w="1036"/>
            <w:vAlign w:val="top"/>
          </w:tcPr>
          <w:p>
            <w:pPr>
              <w:spacing w:after="40" w:before="0" w:line="259" w:lineRule="auto"/>
            </w:pPr>
            <w:r>
              <w:rPr>
                <w:rFonts w:ascii="Calibri" w:hAnsi="Calibri"/>
                <w:b w:val="0"/>
                <w:i w:val="0"/>
                <w:color w:val="212121"/>
                <w:sz w:val="16"/>
              </w:rPr>
              <w:t>Detects obstructive uropathy and chronic kidney disease from back-pressure</w:t>
            </w:r>
          </w:p>
        </w:tc>
        <w:tc>
          <w:tcPr>
            <w:tcW w:type="dxa" w:w="1036"/>
            <w:vAlign w:val="top"/>
          </w:tcPr>
          <w:p>
            <w:pPr>
              <w:spacing w:after="40" w:before="0" w:line="259" w:lineRule="auto"/>
            </w:pPr>
            <w:r>
              <w:rPr>
                <w:rFonts w:ascii="Calibri" w:hAnsi="Calibri"/>
                <w:b w:val="0"/>
                <w:i w:val="0"/>
                <w:color w:val="212121"/>
                <w:sz w:val="16"/>
              </w:rPr>
              <w:t>Men with high residual, retention or hydronephrosis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Renal impairment is an indication for prompt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Uroflowmetry (Qmax)</w:t>
            </w:r>
          </w:p>
        </w:tc>
        <w:tc>
          <w:tcPr>
            <w:tcW w:type="dxa" w:w="892"/>
            <w:vAlign w:val="top"/>
          </w:tcPr>
          <w:p>
            <w:pPr>
              <w:spacing w:after="40" w:before="0" w:line="259" w:lineRule="auto"/>
            </w:pPr>
            <w:r>
              <w:rPr>
                <w:rFonts w:ascii="Calibri" w:hAnsi="Calibri"/>
                <w:b w:val="0"/>
                <w:i w:val="0"/>
                <w:color w:val="212121"/>
                <w:sz w:val="16"/>
              </w:rPr>
              <w:t>Peak urinary flow rate</w:t>
            </w:r>
          </w:p>
        </w:tc>
        <w:tc>
          <w:tcPr>
            <w:tcW w:type="dxa" w:w="950"/>
            <w:vAlign w:val="top"/>
          </w:tcPr>
          <w:p>
            <w:pPr>
              <w:spacing w:after="40" w:before="0" w:line="259" w:lineRule="auto"/>
            </w:pPr>
            <w:r>
              <w:rPr>
                <w:rFonts w:ascii="Calibri" w:hAnsi="Calibri"/>
                <w:b w:val="0"/>
                <w:i w:val="0"/>
                <w:color w:val="212121"/>
                <w:sz w:val="16"/>
              </w:rPr>
              <w:t>≥ 15 mL/s</w:t>
            </w:r>
          </w:p>
        </w:tc>
        <w:tc>
          <w:tcPr>
            <w:tcW w:type="dxa" w:w="950"/>
            <w:vAlign w:val="top"/>
          </w:tcPr>
          <w:p>
            <w:pPr>
              <w:spacing w:after="40" w:before="0" w:line="259" w:lineRule="auto"/>
            </w:pPr>
            <w:r>
              <w:rPr>
                <w:rFonts w:ascii="Calibri" w:hAnsi="Calibri"/>
                <w:b w:val="0"/>
                <w:i w:val="0"/>
                <w:color w:val="212121"/>
                <w:sz w:val="16"/>
              </w:rPr>
              <w:t>&lt; 10 mL/s</w:t>
            </w:r>
          </w:p>
        </w:tc>
        <w:tc>
          <w:tcPr>
            <w:tcW w:type="dxa" w:w="1036"/>
            <w:vAlign w:val="top"/>
          </w:tcPr>
          <w:p>
            <w:pPr>
              <w:spacing w:after="40" w:before="0" w:line="259" w:lineRule="auto"/>
            </w:pPr>
            <w:r>
              <w:rPr>
                <w:rFonts w:ascii="Calibri" w:hAnsi="Calibri"/>
                <w:b w:val="0"/>
                <w:i w:val="0"/>
                <w:color w:val="212121"/>
                <w:sz w:val="16"/>
              </w:rPr>
              <w:t>Objective, non-invasive evidence of bladder outlet obstruction</w:t>
            </w:r>
          </w:p>
        </w:tc>
        <w:tc>
          <w:tcPr>
            <w:tcW w:type="dxa" w:w="1036"/>
            <w:vAlign w:val="top"/>
          </w:tcPr>
          <w:p>
            <w:pPr>
              <w:spacing w:after="40" w:before="0" w:line="259" w:lineRule="auto"/>
            </w:pPr>
            <w:r>
              <w:rPr>
                <w:rFonts w:ascii="Calibri" w:hAnsi="Calibri"/>
                <w:b w:val="0"/>
                <w:i w:val="0"/>
                <w:color w:val="212121"/>
                <w:sz w:val="16"/>
              </w:rPr>
              <w:t>Men with voiding LUTS considered for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Requires a voided volume &gt; 150 mL to be reliable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Post-void residual urine</w:t>
            </w:r>
          </w:p>
        </w:tc>
        <w:tc>
          <w:tcPr>
            <w:tcW w:type="dxa" w:w="892"/>
            <w:vAlign w:val="top"/>
          </w:tcPr>
          <w:p>
            <w:pPr>
              <w:spacing w:after="40" w:before="0" w:line="259" w:lineRule="auto"/>
            </w:pPr>
            <w:r>
              <w:rPr>
                <w:rFonts w:ascii="Calibri" w:hAnsi="Calibri"/>
                <w:b w:val="0"/>
                <w:i w:val="0"/>
                <w:color w:val="212121"/>
                <w:sz w:val="16"/>
              </w:rPr>
              <w:t>Bladder ultrasound (PVR)</w:t>
            </w:r>
          </w:p>
        </w:tc>
        <w:tc>
          <w:tcPr>
            <w:tcW w:type="dxa" w:w="950"/>
            <w:vAlign w:val="top"/>
          </w:tcPr>
          <w:p>
            <w:pPr>
              <w:spacing w:after="40" w:before="0" w:line="259" w:lineRule="auto"/>
            </w:pPr>
            <w:r>
              <w:rPr>
                <w:rFonts w:ascii="Calibri" w:hAnsi="Calibri"/>
                <w:b w:val="0"/>
                <w:i w:val="0"/>
                <w:color w:val="212121"/>
                <w:sz w:val="16"/>
              </w:rPr>
              <w:t>&lt; 50 mL</w:t>
            </w:r>
          </w:p>
        </w:tc>
        <w:tc>
          <w:tcPr>
            <w:tcW w:type="dxa" w:w="950"/>
            <w:vAlign w:val="top"/>
          </w:tcPr>
          <w:p>
            <w:pPr>
              <w:spacing w:after="40" w:before="0" w:line="259" w:lineRule="auto"/>
            </w:pPr>
            <w:r>
              <w:rPr>
                <w:rFonts w:ascii="Calibri" w:hAnsi="Calibri"/>
                <w:b w:val="0"/>
                <w:i w:val="0"/>
                <w:color w:val="212121"/>
                <w:sz w:val="16"/>
              </w:rPr>
              <w:t>&gt; 100-200 mL</w:t>
            </w:r>
          </w:p>
        </w:tc>
        <w:tc>
          <w:tcPr>
            <w:tcW w:type="dxa" w:w="1036"/>
            <w:vAlign w:val="top"/>
          </w:tcPr>
          <w:p>
            <w:pPr>
              <w:spacing w:after="40" w:before="0" w:line="259" w:lineRule="auto"/>
            </w:pPr>
            <w:r>
              <w:rPr>
                <w:rFonts w:ascii="Calibri" w:hAnsi="Calibri"/>
                <w:b w:val="0"/>
                <w:i w:val="0"/>
                <w:color w:val="212121"/>
                <w:sz w:val="16"/>
              </w:rPr>
              <w:t>Quantifies incomplete emptying and retention risk</w:t>
            </w:r>
          </w:p>
        </w:tc>
        <w:tc>
          <w:tcPr>
            <w:tcW w:type="dxa" w:w="1036"/>
            <w:vAlign w:val="top"/>
          </w:tcPr>
          <w:p>
            <w:pPr>
              <w:spacing w:after="40" w:before="0" w:line="259" w:lineRule="auto"/>
            </w:pPr>
            <w:r>
              <w:rPr>
                <w:rFonts w:ascii="Calibri" w:hAnsi="Calibri"/>
                <w:b w:val="0"/>
                <w:i w:val="0"/>
                <w:color w:val="212121"/>
                <w:sz w:val="16"/>
              </w:rPr>
              <w:t>All men with significant LUTS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Persistently high PVR predicts retention and upper-tract damage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Prostate volume &amp; upper tracts</w:t>
            </w:r>
          </w:p>
        </w:tc>
        <w:tc>
          <w:tcPr>
            <w:tcW w:type="dxa" w:w="892"/>
            <w:vAlign w:val="top"/>
          </w:tcPr>
          <w:p>
            <w:pPr>
              <w:spacing w:after="40" w:before="0" w:line="259" w:lineRule="auto"/>
            </w:pPr>
            <w:r>
              <w:rPr>
                <w:rFonts w:ascii="Calibri" w:hAnsi="Calibri"/>
                <w:b w:val="0"/>
                <w:i w:val="0"/>
                <w:color w:val="212121"/>
                <w:sz w:val="16"/>
              </w:rPr>
              <w:t>Trans-abdominal / trans-rectal ultrasound</w:t>
            </w:r>
          </w:p>
        </w:tc>
        <w:tc>
          <w:tcPr>
            <w:tcW w:type="dxa" w:w="950"/>
            <w:vAlign w:val="top"/>
          </w:tcPr>
          <w:p>
            <w:pPr>
              <w:spacing w:after="40" w:before="0" w:line="259" w:lineRule="auto"/>
            </w:pPr>
            <w:r>
              <w:rPr>
                <w:rFonts w:ascii="Calibri" w:hAnsi="Calibri"/>
                <w:b w:val="0"/>
                <w:i w:val="0"/>
                <w:color w:val="212121"/>
                <w:sz w:val="16"/>
              </w:rPr>
              <w:t>Prostate &lt; 30 mL; no hydronephrosis</w:t>
            </w:r>
          </w:p>
        </w:tc>
        <w:tc>
          <w:tcPr>
            <w:tcW w:type="dxa" w:w="950"/>
            <w:vAlign w:val="top"/>
          </w:tcPr>
          <w:p>
            <w:pPr>
              <w:spacing w:after="40" w:before="0" w:line="259" w:lineRule="auto"/>
            </w:pPr>
            <w:r>
              <w:rPr>
                <w:rFonts w:ascii="Calibri" w:hAnsi="Calibri"/>
                <w:b w:val="0"/>
                <w:i w:val="0"/>
                <w:color w:val="212121"/>
                <w:sz w:val="16"/>
              </w:rPr>
              <w:t>Volume &gt; 30-40 mL; median lobe; hydronephrosis; bladder stones/trabeculation</w:t>
            </w:r>
          </w:p>
        </w:tc>
        <w:tc>
          <w:tcPr>
            <w:tcW w:type="dxa" w:w="1036"/>
            <w:vAlign w:val="top"/>
          </w:tcPr>
          <w:p>
            <w:pPr>
              <w:spacing w:after="40" w:before="0" w:line="259" w:lineRule="auto"/>
            </w:pPr>
            <w:r>
              <w:rPr>
                <w:rFonts w:ascii="Calibri" w:hAnsi="Calibri"/>
                <w:b w:val="0"/>
                <w:i w:val="0"/>
                <w:color w:val="212121"/>
                <w:sz w:val="16"/>
              </w:rPr>
              <w:t>Sizes the gland, defines anatomy and detects complications; guides drug and surgical choice</w:t>
            </w:r>
          </w:p>
        </w:tc>
        <w:tc>
          <w:tcPr>
            <w:tcW w:type="dxa" w:w="1036"/>
            <w:vAlign w:val="top"/>
          </w:tcPr>
          <w:p>
            <w:pPr>
              <w:spacing w:after="40" w:before="0" w:line="259" w:lineRule="auto"/>
            </w:pPr>
            <w:r>
              <w:rPr>
                <w:rFonts w:ascii="Calibri" w:hAnsi="Calibri"/>
                <w:b w:val="0"/>
                <w:i w:val="0"/>
                <w:color w:val="212121"/>
                <w:sz w:val="16"/>
              </w:rPr>
              <w:t>Men with moderate-severe or complicated BPH</w:t>
            </w:r>
          </w:p>
        </w:tc>
        <w:tc>
          <w:tcPr>
            <w:tcW w:type="dxa" w:w="720"/>
            <w:vAlign w:val="top"/>
          </w:tcPr>
          <w:p>
            <w:pPr>
              <w:spacing w:after="40" w:before="0" w:line="259" w:lineRule="auto"/>
            </w:pPr>
            <w:r>
              <w:rPr>
                <w:rFonts w:ascii="Calibri" w:hAnsi="Calibri"/>
                <w:b w:val="0"/>
                <w:i w:val="0"/>
                <w:color w:val="212121"/>
                <w:sz w:val="16"/>
              </w:rPr>
              <w:t>Education</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TRUS gives the most accurate volume; large glands favour 5-ARI/enucleation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culture &amp; sensitivity</w:t>
            </w:r>
          </w:p>
        </w:tc>
        <w:tc>
          <w:tcPr>
            <w:tcW w:type="dxa" w:w="892"/>
            <w:vAlign w:val="top"/>
          </w:tcPr>
          <w:p>
            <w:pPr>
              <w:spacing w:after="40" w:before="0" w:line="259" w:lineRule="auto"/>
            </w:pPr>
            <w:r>
              <w:rPr>
                <w:rFonts w:ascii="Calibri" w:hAnsi="Calibri"/>
                <w:b w:val="0"/>
                <w:i w:val="0"/>
                <w:color w:val="212121"/>
                <w:sz w:val="16"/>
              </w:rPr>
              <w:t>Urine C/S</w:t>
            </w:r>
          </w:p>
        </w:tc>
        <w:tc>
          <w:tcPr>
            <w:tcW w:type="dxa" w:w="950"/>
            <w:vAlign w:val="top"/>
          </w:tcPr>
          <w:p>
            <w:pPr>
              <w:spacing w:after="40" w:before="0" w:line="259" w:lineRule="auto"/>
            </w:pPr>
            <w:r>
              <w:rPr>
                <w:rFonts w:ascii="Calibri" w:hAnsi="Calibri"/>
                <w:b w:val="0"/>
                <w:i w:val="0"/>
                <w:color w:val="212121"/>
                <w:sz w:val="16"/>
              </w:rPr>
              <w:t>No significant growth</w:t>
            </w:r>
          </w:p>
        </w:tc>
        <w:tc>
          <w:tcPr>
            <w:tcW w:type="dxa" w:w="950"/>
            <w:vAlign w:val="top"/>
          </w:tcPr>
          <w:p>
            <w:pPr>
              <w:spacing w:after="40" w:before="0" w:line="259" w:lineRule="auto"/>
            </w:pPr>
            <w:r>
              <w:rPr>
                <w:rFonts w:ascii="Calibri" w:hAnsi="Calibri"/>
                <w:b w:val="0"/>
                <w:i w:val="0"/>
                <w:color w:val="212121"/>
                <w:sz w:val="16"/>
              </w:rPr>
              <w:t>≥ 10^5 CFU/mL of a uropathogen</w:t>
            </w:r>
          </w:p>
        </w:tc>
        <w:tc>
          <w:tcPr>
            <w:tcW w:type="dxa" w:w="1036"/>
            <w:vAlign w:val="top"/>
          </w:tcPr>
          <w:p>
            <w:pPr>
              <w:spacing w:after="40" w:before="0" w:line="259" w:lineRule="auto"/>
            </w:pPr>
            <w:r>
              <w:rPr>
                <w:rFonts w:ascii="Calibri" w:hAnsi="Calibri"/>
                <w:b w:val="0"/>
                <w:i w:val="0"/>
                <w:color w:val="212121"/>
                <w:sz w:val="16"/>
              </w:rPr>
              <w:t>Identifies infection complicating retention or recurrent UTI, and guides antibiotics</w:t>
            </w:r>
          </w:p>
        </w:tc>
        <w:tc>
          <w:tcPr>
            <w:tcW w:type="dxa" w:w="1036"/>
            <w:vAlign w:val="top"/>
          </w:tcPr>
          <w:p>
            <w:pPr>
              <w:spacing w:after="40" w:before="0" w:line="259" w:lineRule="auto"/>
            </w:pPr>
            <w:r>
              <w:rPr>
                <w:rFonts w:ascii="Calibri" w:hAnsi="Calibri"/>
                <w:b w:val="0"/>
                <w:i w:val="0"/>
                <w:color w:val="212121"/>
                <w:sz w:val="16"/>
              </w:rPr>
              <w:t>Men with retention, recurrent UTI or before surgery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Treat infection before instrumentation/surgery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comorbid diabetes that worsens LUTS and bladder emptying</w:t>
            </w:r>
          </w:p>
        </w:tc>
        <w:tc>
          <w:tcPr>
            <w:tcW w:type="dxa" w:w="1036"/>
            <w:vAlign w:val="top"/>
          </w:tcPr>
          <w:p>
            <w:pPr>
              <w:spacing w:after="40" w:before="0" w:line="259" w:lineRule="auto"/>
            </w:pPr>
            <w:r>
              <w:rPr>
                <w:rFonts w:ascii="Calibri" w:hAnsi="Calibri"/>
                <w:b w:val="0"/>
                <w:i w:val="0"/>
                <w:color w:val="212121"/>
                <w:sz w:val="16"/>
              </w:rPr>
              <w:t>Men with metabolic risk or refractory LUTS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Optimising glycaemia and weight improves symptoms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Voiding + storage LUTS (hesitancy, weak stream, frequency, urgency, nocturia)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Bothersome voiding and/or storage symptoms</w:t>
            </w:r>
          </w:p>
        </w:tc>
        <w:tc>
          <w:tcPr>
            <w:tcW w:type="dxa" w:w="1036"/>
            <w:vAlign w:val="top"/>
          </w:tcPr>
          <w:p>
            <w:pPr>
              <w:spacing w:after="40" w:before="0" w:line="259" w:lineRule="auto"/>
            </w:pPr>
            <w:r>
              <w:rPr>
                <w:rFonts w:ascii="Calibri" w:hAnsi="Calibri"/>
                <w:b w:val="0"/>
                <w:i w:val="0"/>
                <w:color w:val="212121"/>
                <w:sz w:val="16"/>
              </w:rPr>
              <w:t>Defines the lower-urinary-tract syndrome and its impact</w:t>
            </w:r>
          </w:p>
        </w:tc>
        <w:tc>
          <w:tcPr>
            <w:tcW w:type="dxa" w:w="1036"/>
            <w:vAlign w:val="top"/>
          </w:tcPr>
          <w:p>
            <w:pPr>
              <w:spacing w:after="40" w:before="0" w:line="259" w:lineRule="auto"/>
            </w:pPr>
            <w:r>
              <w:rPr>
                <w:rFonts w:ascii="Calibri" w:hAnsi="Calibri"/>
                <w:b w:val="0"/>
                <w:i w:val="0"/>
                <w:color w:val="212121"/>
                <w:sz w:val="16"/>
              </w:rPr>
              <w:t>Ageing men with urinary symptoms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Core / screening</w:t>
            </w:r>
          </w:p>
        </w:tc>
        <w:tc>
          <w:tcPr>
            <w:tcW w:type="dxa" w:w="720"/>
            <w:vAlign w:val="top"/>
          </w:tcPr>
          <w:p>
            <w:pPr>
              <w:spacing w:after="40" w:before="0" w:line="259" w:lineRule="auto"/>
            </w:pPr>
            <w:r>
              <w:rPr>
                <w:rFonts w:ascii="Calibri" w:hAnsi="Calibri"/>
                <w:b w:val="0"/>
                <w:i w:val="0"/>
                <w:color w:val="212121"/>
                <w:sz w:val="16"/>
              </w:rPr>
              <w:t>Nocturia is often the most bothersome complaint in Indian men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IPSS + quality-of-life score</w:t>
            </w:r>
          </w:p>
        </w:tc>
        <w:tc>
          <w:tcPr>
            <w:tcW w:type="dxa" w:w="979"/>
            <w:vAlign w:val="top"/>
          </w:tcPr>
          <w:p>
            <w:pPr>
              <w:spacing w:after="40" w:before="0" w:line="259" w:lineRule="auto"/>
            </w:pPr>
            <w:r>
              <w:rPr>
                <w:rFonts w:ascii="Calibri" w:hAnsi="Calibri"/>
                <w:b w:val="0"/>
                <w:i w:val="0"/>
                <w:color w:val="212121"/>
                <w:sz w:val="16"/>
              </w:rPr>
              <w:t>Symptom severity &amp; bother (0-35 + QoL 0-6)</w:t>
            </w:r>
          </w:p>
        </w:tc>
        <w:tc>
          <w:tcPr>
            <w:tcW w:type="dxa" w:w="950"/>
            <w:vAlign w:val="top"/>
          </w:tcPr>
          <w:p>
            <w:pPr>
              <w:spacing w:after="40" w:before="0" w:line="259" w:lineRule="auto"/>
            </w:pPr>
            <w:r>
              <w:rPr>
                <w:rFonts w:ascii="Calibri" w:hAnsi="Calibri"/>
                <w:b w:val="0"/>
                <w:i w:val="0"/>
                <w:color w:val="212121"/>
                <w:sz w:val="16"/>
              </w:rPr>
              <w:t>IPSS 0-7</w:t>
            </w:r>
          </w:p>
        </w:tc>
        <w:tc>
          <w:tcPr>
            <w:tcW w:type="dxa" w:w="950"/>
            <w:vAlign w:val="top"/>
          </w:tcPr>
          <w:p>
            <w:pPr>
              <w:spacing w:after="40" w:before="0" w:line="259" w:lineRule="auto"/>
            </w:pPr>
            <w:r>
              <w:rPr>
                <w:rFonts w:ascii="Calibri" w:hAnsi="Calibri"/>
                <w:b w:val="0"/>
                <w:i w:val="0"/>
                <w:color w:val="212121"/>
                <w:sz w:val="16"/>
              </w:rPr>
              <w:t>IPSS ≥ 8 with QoL bother</w:t>
            </w:r>
          </w:p>
        </w:tc>
        <w:tc>
          <w:tcPr>
            <w:tcW w:type="dxa" w:w="1036"/>
            <w:vAlign w:val="top"/>
          </w:tcPr>
          <w:p>
            <w:pPr>
              <w:spacing w:after="40" w:before="0" w:line="259" w:lineRule="auto"/>
            </w:pPr>
            <w:r>
              <w:rPr>
                <w:rFonts w:ascii="Calibri" w:hAnsi="Calibri"/>
                <w:b w:val="0"/>
                <w:i w:val="0"/>
                <w:color w:val="212121"/>
                <w:sz w:val="16"/>
              </w:rPr>
              <w:t>Quantifies severity, guides treatment choice and tracks response</w:t>
            </w:r>
          </w:p>
        </w:tc>
        <w:tc>
          <w:tcPr>
            <w:tcW w:type="dxa" w:w="1036"/>
            <w:vAlign w:val="top"/>
          </w:tcPr>
          <w:p>
            <w:pPr>
              <w:spacing w:after="40" w:before="0" w:line="259" w:lineRule="auto"/>
            </w:pPr>
            <w:r>
              <w:rPr>
                <w:rFonts w:ascii="Calibri" w:hAnsi="Calibri"/>
                <w:b w:val="0"/>
                <w:i w:val="0"/>
                <w:color w:val="212121"/>
                <w:sz w:val="16"/>
              </w:rPr>
              <w:t>All men with LUTS</w:t>
            </w:r>
          </w:p>
        </w:tc>
        <w:tc>
          <w:tcPr>
            <w:tcW w:type="dxa" w:w="720"/>
            <w:vAlign w:val="top"/>
          </w:tcPr>
          <w:p>
            <w:pPr>
              <w:spacing w:after="40" w:before="0" w:line="259" w:lineRule="auto"/>
            </w:pPr>
            <w:r>
              <w:rPr>
                <w:rFonts w:ascii="Calibri" w:hAnsi="Calibri"/>
                <w:b w:val="0"/>
                <w:i w:val="0"/>
                <w:color w:val="212121"/>
                <w:sz w:val="16"/>
              </w:rPr>
              <w:t>Education</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Repeat to monitor therapy and progression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Digital rectal examination (DRE)</w:t>
            </w:r>
          </w:p>
        </w:tc>
        <w:tc>
          <w:tcPr>
            <w:tcW w:type="dxa" w:w="979"/>
            <w:vAlign w:val="top"/>
          </w:tcPr>
          <w:p>
            <w:pPr>
              <w:spacing w:after="40" w:before="0" w:line="259" w:lineRule="auto"/>
            </w:pPr>
            <w:r>
              <w:rPr>
                <w:rFonts w:ascii="Calibri" w:hAnsi="Calibri"/>
                <w:b w:val="0"/>
                <w:i w:val="0"/>
                <w:color w:val="212121"/>
                <w:sz w:val="16"/>
              </w:rPr>
              <w:t>Prostate size, consistency, surface</w:t>
            </w:r>
          </w:p>
        </w:tc>
        <w:tc>
          <w:tcPr>
            <w:tcW w:type="dxa" w:w="950"/>
            <w:vAlign w:val="top"/>
          </w:tcPr>
          <w:p>
            <w:pPr>
              <w:spacing w:after="40" w:before="0" w:line="259" w:lineRule="auto"/>
            </w:pPr>
            <w:r>
              <w:rPr>
                <w:rFonts w:ascii="Calibri" w:hAnsi="Calibri"/>
                <w:b w:val="0"/>
                <w:i w:val="0"/>
                <w:color w:val="212121"/>
                <w:sz w:val="16"/>
              </w:rPr>
              <w:t>Small, smooth prostate</w:t>
            </w:r>
          </w:p>
        </w:tc>
        <w:tc>
          <w:tcPr>
            <w:tcW w:type="dxa" w:w="950"/>
            <w:vAlign w:val="top"/>
          </w:tcPr>
          <w:p>
            <w:pPr>
              <w:spacing w:after="40" w:before="0" w:line="259" w:lineRule="auto"/>
            </w:pPr>
            <w:r>
              <w:rPr>
                <w:rFonts w:ascii="Calibri" w:hAnsi="Calibri"/>
                <w:b w:val="0"/>
                <w:i w:val="0"/>
                <w:color w:val="212121"/>
                <w:sz w:val="16"/>
              </w:rPr>
              <w:t>Smoothly enlarged, firm-rubbery, non-tender, median sulcus lost; a hard/nodular gland suggests cancer</w:t>
            </w:r>
          </w:p>
        </w:tc>
        <w:tc>
          <w:tcPr>
            <w:tcW w:type="dxa" w:w="1036"/>
            <w:vAlign w:val="top"/>
          </w:tcPr>
          <w:p>
            <w:pPr>
              <w:spacing w:after="40" w:before="0" w:line="259" w:lineRule="auto"/>
            </w:pPr>
            <w:r>
              <w:rPr>
                <w:rFonts w:ascii="Calibri" w:hAnsi="Calibri"/>
                <w:b w:val="0"/>
                <w:i w:val="0"/>
                <w:color w:val="212121"/>
                <w:sz w:val="16"/>
              </w:rPr>
              <w:t>Estimates size and, crucially, screens for prostate cancer and prostatitis</w:t>
            </w:r>
          </w:p>
        </w:tc>
        <w:tc>
          <w:tcPr>
            <w:tcW w:type="dxa" w:w="1036"/>
            <w:vAlign w:val="top"/>
          </w:tcPr>
          <w:p>
            <w:pPr>
              <w:spacing w:after="40" w:before="0" w:line="259" w:lineRule="auto"/>
            </w:pPr>
            <w:r>
              <w:rPr>
                <w:rFonts w:ascii="Calibri" w:hAnsi="Calibri"/>
                <w:b w:val="0"/>
                <w:i w:val="0"/>
                <w:color w:val="212121"/>
                <w:sz w:val="16"/>
              </w:rPr>
              <w:t>All men with LUTS</w:t>
            </w:r>
          </w:p>
        </w:tc>
        <w:tc>
          <w:tcPr>
            <w:tcW w:type="dxa" w:w="720"/>
            <w:vAlign w:val="top"/>
          </w:tcPr>
          <w:p>
            <w:pPr>
              <w:spacing w:after="40" w:before="0" w:line="259" w:lineRule="auto"/>
            </w:pPr>
            <w:r>
              <w:rPr>
                <w:rFonts w:ascii="Calibri" w:hAnsi="Calibri"/>
                <w:b w:val="0"/>
                <w:i w:val="0"/>
                <w:color w:val="212121"/>
                <w:sz w:val="16"/>
              </w:rPr>
              <w:t>Education</w:t>
            </w:r>
          </w:p>
        </w:tc>
        <w:tc>
          <w:tcPr>
            <w:tcW w:type="dxa" w:w="720"/>
            <w:vAlign w:val="top"/>
          </w:tcPr>
          <w:p>
            <w:pPr>
              <w:spacing w:after="40" w:before="0" w:line="259" w:lineRule="auto"/>
            </w:pPr>
            <w:r>
              <w:rPr>
                <w:rFonts w:ascii="Calibri" w:hAnsi="Calibri"/>
                <w:b w:val="0"/>
                <w:i w:val="0"/>
                <w:color w:val="212121"/>
                <w:sz w:val="16"/>
              </w:rPr>
              <w:t>Mandatory</w:t>
            </w:r>
          </w:p>
        </w:tc>
        <w:tc>
          <w:tcPr>
            <w:tcW w:type="dxa" w:w="720"/>
            <w:vAlign w:val="top"/>
          </w:tcPr>
          <w:p>
            <w:pPr>
              <w:spacing w:after="40" w:before="0" w:line="259" w:lineRule="auto"/>
            </w:pPr>
            <w:r>
              <w:rPr>
                <w:rFonts w:ascii="Calibri" w:hAnsi="Calibri"/>
                <w:b w:val="0"/>
                <w:i w:val="0"/>
                <w:color w:val="212121"/>
                <w:sz w:val="16"/>
              </w:rPr>
              <w:t>Any hard nodule or asymmetry mandates PSA and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Abdominal / suprapubic examination</w:t>
            </w:r>
          </w:p>
        </w:tc>
        <w:tc>
          <w:tcPr>
            <w:tcW w:type="dxa" w:w="979"/>
            <w:vAlign w:val="top"/>
          </w:tcPr>
          <w:p>
            <w:pPr>
              <w:spacing w:after="40" w:before="0" w:line="259" w:lineRule="auto"/>
            </w:pPr>
            <w:r>
              <w:rPr>
                <w:rFonts w:ascii="Calibri" w:hAnsi="Calibri"/>
                <w:b w:val="0"/>
                <w:i w:val="0"/>
                <w:color w:val="212121"/>
                <w:sz w:val="16"/>
              </w:rPr>
              <w:t>Palpable bladder, suprapubic dullness</w:t>
            </w:r>
          </w:p>
        </w:tc>
        <w:tc>
          <w:tcPr>
            <w:tcW w:type="dxa" w:w="950"/>
            <w:vAlign w:val="top"/>
          </w:tcPr>
          <w:p>
            <w:pPr>
              <w:spacing w:after="40" w:before="0" w:line="259" w:lineRule="auto"/>
            </w:pPr>
            <w:r>
              <w:rPr>
                <w:rFonts w:ascii="Calibri" w:hAnsi="Calibri"/>
                <w:b w:val="0"/>
                <w:i w:val="0"/>
                <w:color w:val="212121"/>
                <w:sz w:val="16"/>
              </w:rPr>
              <w:t>Non-palpable bladder</w:t>
            </w:r>
          </w:p>
        </w:tc>
        <w:tc>
          <w:tcPr>
            <w:tcW w:type="dxa" w:w="950"/>
            <w:vAlign w:val="top"/>
          </w:tcPr>
          <w:p>
            <w:pPr>
              <w:spacing w:after="40" w:before="0" w:line="259" w:lineRule="auto"/>
            </w:pPr>
            <w:r>
              <w:rPr>
                <w:rFonts w:ascii="Calibri" w:hAnsi="Calibri"/>
                <w:b w:val="0"/>
                <w:i w:val="0"/>
                <w:color w:val="212121"/>
                <w:sz w:val="16"/>
              </w:rPr>
              <w:t>Distended, palpable bladder with suprapubic dullness</w:t>
            </w:r>
          </w:p>
        </w:tc>
        <w:tc>
          <w:tcPr>
            <w:tcW w:type="dxa" w:w="1036"/>
            <w:vAlign w:val="top"/>
          </w:tcPr>
          <w:p>
            <w:pPr>
              <w:spacing w:after="40" w:before="0" w:line="259" w:lineRule="auto"/>
            </w:pPr>
            <w:r>
              <w:rPr>
                <w:rFonts w:ascii="Calibri" w:hAnsi="Calibri"/>
                <w:b w:val="0"/>
                <w:i w:val="0"/>
                <w:color w:val="212121"/>
                <w:sz w:val="16"/>
              </w:rPr>
              <w:t>Detects acute or chronic urinary retention</w:t>
            </w:r>
          </w:p>
        </w:tc>
        <w:tc>
          <w:tcPr>
            <w:tcW w:type="dxa" w:w="1036"/>
            <w:vAlign w:val="top"/>
          </w:tcPr>
          <w:p>
            <w:pPr>
              <w:spacing w:after="40" w:before="0" w:line="259" w:lineRule="auto"/>
            </w:pPr>
            <w:r>
              <w:rPr>
                <w:rFonts w:ascii="Calibri" w:hAnsi="Calibri"/>
                <w:b w:val="0"/>
                <w:i w:val="0"/>
                <w:color w:val="212121"/>
                <w:sz w:val="16"/>
              </w:rPr>
              <w:t>Men with severe LUTS or overflow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Important</w:t>
            </w:r>
          </w:p>
        </w:tc>
        <w:tc>
          <w:tcPr>
            <w:tcW w:type="dxa" w:w="720"/>
            <w:vAlign w:val="top"/>
          </w:tcPr>
          <w:p>
            <w:pPr>
              <w:spacing w:after="40" w:before="0" w:line="259" w:lineRule="auto"/>
            </w:pPr>
            <w:r>
              <w:rPr>
                <w:rFonts w:ascii="Calibri" w:hAnsi="Calibri"/>
                <w:b w:val="0"/>
                <w:i w:val="0"/>
                <w:color w:val="212121"/>
                <w:sz w:val="16"/>
              </w:rPr>
              <w:t>A painless, grossly distended bladder suggests chronic retention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Frequency-volume (bladder) diary</w:t>
            </w:r>
          </w:p>
        </w:tc>
        <w:tc>
          <w:tcPr>
            <w:tcW w:type="dxa" w:w="979"/>
            <w:vAlign w:val="top"/>
          </w:tcPr>
          <w:p>
            <w:pPr>
              <w:spacing w:after="40" w:before="0" w:line="259" w:lineRule="auto"/>
            </w:pPr>
            <w:r>
              <w:rPr>
                <w:rFonts w:ascii="Calibri" w:hAnsi="Calibri"/>
                <w:b w:val="0"/>
                <w:i w:val="0"/>
                <w:color w:val="212121"/>
                <w:sz w:val="16"/>
              </w:rPr>
              <w:t>Voided volumes, timing, nocturnal output</w:t>
            </w:r>
          </w:p>
        </w:tc>
        <w:tc>
          <w:tcPr>
            <w:tcW w:type="dxa" w:w="950"/>
            <w:vAlign w:val="top"/>
          </w:tcPr>
          <w:p>
            <w:pPr>
              <w:spacing w:after="40" w:before="0" w:line="259" w:lineRule="auto"/>
            </w:pPr>
            <w:r>
              <w:rPr>
                <w:rFonts w:ascii="Calibri" w:hAnsi="Calibri"/>
                <w:b w:val="0"/>
                <w:i w:val="0"/>
                <w:color w:val="212121"/>
                <w:sz w:val="16"/>
              </w:rPr>
              <w:t>Balanced diurnal voids, low nocturnal output</w:t>
            </w:r>
          </w:p>
        </w:tc>
        <w:tc>
          <w:tcPr>
            <w:tcW w:type="dxa" w:w="950"/>
            <w:vAlign w:val="top"/>
          </w:tcPr>
          <w:p>
            <w:pPr>
              <w:spacing w:after="40" w:before="0" w:line="259" w:lineRule="auto"/>
            </w:pPr>
            <w:r>
              <w:rPr>
                <w:rFonts w:ascii="Calibri" w:hAnsi="Calibri"/>
                <w:b w:val="0"/>
                <w:i w:val="0"/>
                <w:color w:val="212121"/>
                <w:sz w:val="16"/>
              </w:rPr>
              <w:t>Nocturnal polyuria or high frequency/urgency</w:t>
            </w:r>
          </w:p>
        </w:tc>
        <w:tc>
          <w:tcPr>
            <w:tcW w:type="dxa" w:w="1036"/>
            <w:vAlign w:val="top"/>
          </w:tcPr>
          <w:p>
            <w:pPr>
              <w:spacing w:after="40" w:before="0" w:line="259" w:lineRule="auto"/>
            </w:pPr>
            <w:r>
              <w:rPr>
                <w:rFonts w:ascii="Calibri" w:hAnsi="Calibri"/>
                <w:b w:val="0"/>
                <w:i w:val="0"/>
                <w:color w:val="212121"/>
                <w:sz w:val="16"/>
              </w:rPr>
              <w:t>Distinguishes nocturnal polyuria and overactive bladder from outlet obstruction</w:t>
            </w:r>
          </w:p>
        </w:tc>
        <w:tc>
          <w:tcPr>
            <w:tcW w:type="dxa" w:w="1036"/>
            <w:vAlign w:val="top"/>
          </w:tcPr>
          <w:p>
            <w:pPr>
              <w:spacing w:after="40" w:before="0" w:line="259" w:lineRule="auto"/>
            </w:pPr>
            <w:r>
              <w:rPr>
                <w:rFonts w:ascii="Calibri" w:hAnsi="Calibri"/>
                <w:b w:val="0"/>
                <w:i w:val="0"/>
                <w:color w:val="212121"/>
                <w:sz w:val="16"/>
              </w:rPr>
              <w:t>Men with predominant nocturia/storage symptoms</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Useful</w:t>
            </w:r>
          </w:p>
        </w:tc>
        <w:tc>
          <w:tcPr>
            <w:tcW w:type="dxa" w:w="720"/>
            <w:vAlign w:val="top"/>
          </w:tcPr>
          <w:p>
            <w:pPr>
              <w:spacing w:after="40" w:before="0" w:line="259" w:lineRule="auto"/>
            </w:pPr>
            <w:r>
              <w:rPr>
                <w:rFonts w:ascii="Calibri" w:hAnsi="Calibri"/>
                <w:b w:val="0"/>
                <w:i w:val="0"/>
                <w:color w:val="212121"/>
                <w:sz w:val="16"/>
              </w:rPr>
              <w:t>Guides fluid/caffeine advice and drug choice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drug review</w:t>
            </w:r>
          </w:p>
        </w:tc>
        <w:tc>
          <w:tcPr>
            <w:tcW w:type="dxa" w:w="979"/>
            <w:vAlign w:val="top"/>
          </w:tcPr>
          <w:p>
            <w:pPr>
              <w:spacing w:after="40" w:before="0" w:line="259" w:lineRule="auto"/>
            </w:pPr>
            <w:r>
              <w:rPr>
                <w:rFonts w:ascii="Calibri" w:hAnsi="Calibri"/>
                <w:b w:val="0"/>
                <w:i w:val="0"/>
                <w:color w:val="212121"/>
                <w:sz w:val="16"/>
              </w:rPr>
              <w:t>Anticholinergics, decongestants, opioids, diuretics</w:t>
            </w:r>
          </w:p>
        </w:tc>
        <w:tc>
          <w:tcPr>
            <w:tcW w:type="dxa" w:w="950"/>
            <w:vAlign w:val="top"/>
          </w:tcPr>
          <w:p>
            <w:pPr>
              <w:spacing w:after="40" w:before="0" w:line="259" w:lineRule="auto"/>
            </w:pPr>
            <w:r>
              <w:rPr>
                <w:rFonts w:ascii="Calibri" w:hAnsi="Calibri"/>
                <w:b w:val="0"/>
                <w:i w:val="0"/>
                <w:color w:val="212121"/>
                <w:sz w:val="16"/>
              </w:rPr>
              <w:t>No precipitant drugs</w:t>
            </w:r>
          </w:p>
        </w:tc>
        <w:tc>
          <w:tcPr>
            <w:tcW w:type="dxa" w:w="950"/>
            <w:vAlign w:val="top"/>
          </w:tcPr>
          <w:p>
            <w:pPr>
              <w:spacing w:after="40" w:before="0" w:line="259" w:lineRule="auto"/>
            </w:pPr>
            <w:r>
              <w:rPr>
                <w:rFonts w:ascii="Calibri" w:hAnsi="Calibri"/>
                <w:b w:val="0"/>
                <w:i w:val="0"/>
                <w:color w:val="212121"/>
                <w:sz w:val="16"/>
              </w:rPr>
              <w:t>Use of retention-provoking agents</w:t>
            </w:r>
          </w:p>
        </w:tc>
        <w:tc>
          <w:tcPr>
            <w:tcW w:type="dxa" w:w="1036"/>
            <w:vAlign w:val="top"/>
          </w:tcPr>
          <w:p>
            <w:pPr>
              <w:spacing w:after="40" w:before="0" w:line="259" w:lineRule="auto"/>
            </w:pPr>
            <w:r>
              <w:rPr>
                <w:rFonts w:ascii="Calibri" w:hAnsi="Calibri"/>
                <w:b w:val="0"/>
                <w:i w:val="0"/>
                <w:color w:val="212121"/>
                <w:sz w:val="16"/>
              </w:rPr>
              <w:t>Identifies reversible drug causes of worsening LUTS or acute retention</w:t>
            </w:r>
          </w:p>
        </w:tc>
        <w:tc>
          <w:tcPr>
            <w:tcW w:type="dxa" w:w="1036"/>
            <w:vAlign w:val="top"/>
          </w:tcPr>
          <w:p>
            <w:pPr>
              <w:spacing w:after="40" w:before="0" w:line="259" w:lineRule="auto"/>
            </w:pPr>
            <w:r>
              <w:rPr>
                <w:rFonts w:ascii="Calibri" w:hAnsi="Calibri"/>
                <w:b w:val="0"/>
                <w:i w:val="0"/>
                <w:color w:val="212121"/>
                <w:sz w:val="16"/>
              </w:rPr>
              <w:t>Men on multiple medications / pre-anaesthesia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Important</w:t>
            </w:r>
          </w:p>
        </w:tc>
        <w:tc>
          <w:tcPr>
            <w:tcW w:type="dxa" w:w="720"/>
            <w:vAlign w:val="top"/>
          </w:tcPr>
          <w:p>
            <w:pPr>
              <w:spacing w:after="40" w:before="0" w:line="259" w:lineRule="auto"/>
            </w:pPr>
            <w:r>
              <w:rPr>
                <w:rFonts w:ascii="Calibri" w:hAnsi="Calibri"/>
                <w:b w:val="0"/>
                <w:i w:val="0"/>
                <w:color w:val="212121"/>
                <w:sz w:val="16"/>
              </w:rPr>
              <w:t>Stopping the offending drug may resolve retention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Focused neurological examination</w:t>
            </w:r>
          </w:p>
        </w:tc>
        <w:tc>
          <w:tcPr>
            <w:tcW w:type="dxa" w:w="979"/>
            <w:vAlign w:val="top"/>
          </w:tcPr>
          <w:p>
            <w:pPr>
              <w:spacing w:after="40" w:before="0" w:line="259" w:lineRule="auto"/>
            </w:pPr>
            <w:r>
              <w:rPr>
                <w:rFonts w:ascii="Calibri" w:hAnsi="Calibri"/>
                <w:b w:val="0"/>
                <w:i w:val="0"/>
                <w:color w:val="212121"/>
                <w:sz w:val="16"/>
              </w:rPr>
              <w:t>Perineal sensation, anal tone, lower-limb power/reflexes</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Saddle anaesthesia, lax tone or deficits</w:t>
            </w:r>
          </w:p>
        </w:tc>
        <w:tc>
          <w:tcPr>
            <w:tcW w:type="dxa" w:w="1036"/>
            <w:vAlign w:val="top"/>
          </w:tcPr>
          <w:p>
            <w:pPr>
              <w:spacing w:after="40" w:before="0" w:line="259" w:lineRule="auto"/>
            </w:pPr>
            <w:r>
              <w:rPr>
                <w:rFonts w:ascii="Calibri" w:hAnsi="Calibri"/>
                <w:b w:val="0"/>
                <w:i w:val="0"/>
                <w:color w:val="212121"/>
                <w:sz w:val="16"/>
              </w:rPr>
              <w:t>Excludes neurogenic bladder mimicking or complicating BPH</w:t>
            </w:r>
          </w:p>
        </w:tc>
        <w:tc>
          <w:tcPr>
            <w:tcW w:type="dxa" w:w="1036"/>
            <w:vAlign w:val="top"/>
          </w:tcPr>
          <w:p>
            <w:pPr>
              <w:spacing w:after="40" w:before="0" w:line="259" w:lineRule="auto"/>
            </w:pPr>
            <w:r>
              <w:rPr>
                <w:rFonts w:ascii="Calibri" w:hAnsi="Calibri"/>
                <w:b w:val="0"/>
                <w:i w:val="0"/>
                <w:color w:val="212121"/>
                <w:sz w:val="16"/>
              </w:rPr>
              <w:t>Men with atypical or neurological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spinal/urodynamic evaluation if abnormal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Hesitancy (difficulty starting the stream)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Voiding/obstructive symptom from urethral compression; the man waits and strains before flow begins.</w:t>
            </w:r>
          </w:p>
        </w:tc>
      </w:tr>
      <w:tr>
        <w:trPr>
          <w:cantSplit/>
        </w:trPr>
        <w:tc>
          <w:tcPr>
            <w:tcW w:type="dxa" w:w="2304"/>
            <w:vAlign w:val="top"/>
          </w:tcPr>
          <w:p>
            <w:pPr>
              <w:spacing w:after="40" w:before="0" w:line="259" w:lineRule="auto"/>
            </w:pPr>
            <w:r>
              <w:rPr>
                <w:rFonts w:ascii="Calibri" w:hAnsi="Calibri"/>
                <w:b/>
                <w:i w:val="0"/>
                <w:color w:val="212121"/>
                <w:sz w:val="19"/>
              </w:rPr>
              <w:t>Weak / poor urinary stream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flow force and calibre due to bladder outlet obstruction.</w:t>
            </w:r>
          </w:p>
        </w:tc>
      </w:tr>
      <w:tr>
        <w:trPr>
          <w:cantSplit/>
        </w:trPr>
        <w:tc>
          <w:tcPr>
            <w:tcW w:type="dxa" w:w="2304"/>
            <w:vAlign w:val="top"/>
          </w:tcPr>
          <w:p>
            <w:pPr>
              <w:spacing w:after="40" w:before="0" w:line="259" w:lineRule="auto"/>
            </w:pPr>
            <w:r>
              <w:rPr>
                <w:rFonts w:ascii="Calibri" w:hAnsi="Calibri"/>
                <w:b/>
                <w:i w:val="0"/>
                <w:color w:val="212121"/>
                <w:sz w:val="19"/>
              </w:rPr>
              <w:t>Intermittency (stop-start stream)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Flow interrupted during voiding as the detrusor tires against obstruction.</w:t>
            </w:r>
          </w:p>
        </w:tc>
      </w:tr>
      <w:tr>
        <w:trPr>
          <w:cantSplit/>
        </w:trPr>
        <w:tc>
          <w:tcPr>
            <w:tcW w:type="dxa" w:w="2304"/>
            <w:vAlign w:val="top"/>
          </w:tcPr>
          <w:p>
            <w:pPr>
              <w:spacing w:after="40" w:before="0" w:line="259" w:lineRule="auto"/>
            </w:pPr>
            <w:r>
              <w:rPr>
                <w:rFonts w:ascii="Calibri" w:hAnsi="Calibri"/>
                <w:b/>
                <w:i w:val="0"/>
                <w:color w:val="212121"/>
                <w:sz w:val="19"/>
              </w:rPr>
              <w:t>Straining to void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Use of abdominal effort to empty the bladder against high outlet resistance.</w:t>
            </w:r>
          </w:p>
        </w:tc>
      </w:tr>
      <w:tr>
        <w:trPr>
          <w:cantSplit/>
        </w:trPr>
        <w:tc>
          <w:tcPr>
            <w:tcW w:type="dxa" w:w="2304"/>
            <w:vAlign w:val="top"/>
          </w:tcPr>
          <w:p>
            <w:pPr>
              <w:spacing w:after="40" w:before="0" w:line="259" w:lineRule="auto"/>
            </w:pPr>
            <w:r>
              <w:rPr>
                <w:rFonts w:ascii="Calibri" w:hAnsi="Calibri"/>
                <w:b/>
                <w:i w:val="0"/>
                <w:color w:val="212121"/>
                <w:sz w:val="19"/>
              </w:rPr>
              <w:t>Terminal dribbling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Prolonged trickle at the end of micturition due to poor emptying.</w:t>
            </w:r>
          </w:p>
        </w:tc>
      </w:tr>
      <w:tr>
        <w:trPr>
          <w:cantSplit/>
        </w:trPr>
        <w:tc>
          <w:tcPr>
            <w:tcW w:type="dxa" w:w="2304"/>
            <w:vAlign w:val="top"/>
          </w:tcPr>
          <w:p>
            <w:pPr>
              <w:spacing w:after="40" w:before="0" w:line="259" w:lineRule="auto"/>
            </w:pPr>
            <w:r>
              <w:rPr>
                <w:rFonts w:ascii="Calibri" w:hAnsi="Calibri"/>
                <w:b/>
                <w:i w:val="0"/>
                <w:color w:val="212121"/>
                <w:sz w:val="19"/>
              </w:rPr>
              <w:t>Sensation of incomplete bladder emptying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Residual urine after voiding; a hallmark of significant obstruction.</w:t>
            </w:r>
          </w:p>
        </w:tc>
      </w:tr>
      <w:tr>
        <w:trPr>
          <w:cantSplit/>
        </w:trPr>
        <w:tc>
          <w:tcPr>
            <w:tcW w:type="dxa" w:w="2304"/>
            <w:vAlign w:val="top"/>
          </w:tcPr>
          <w:p>
            <w:pPr>
              <w:spacing w:after="40" w:before="0" w:line="259" w:lineRule="auto"/>
            </w:pPr>
            <w:r>
              <w:rPr>
                <w:rFonts w:ascii="Calibri" w:hAnsi="Calibri"/>
                <w:b/>
                <w:i w:val="0"/>
                <w:color w:val="212121"/>
                <w:sz w:val="19"/>
              </w:rPr>
              <w:t>Increased daytime urinary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Storage/irritative symptom from reduced functional bladder capacity and high residual.</w:t>
            </w:r>
          </w:p>
        </w:tc>
      </w:tr>
      <w:tr>
        <w:trPr>
          <w:cantSplit/>
        </w:trPr>
        <w:tc>
          <w:tcPr>
            <w:tcW w:type="dxa" w:w="2304"/>
            <w:vAlign w:val="top"/>
          </w:tcPr>
          <w:p>
            <w:pPr>
              <w:spacing w:after="40" w:before="0" w:line="259" w:lineRule="auto"/>
            </w:pPr>
            <w:r>
              <w:rPr>
                <w:rFonts w:ascii="Calibri" w:hAnsi="Calibri"/>
                <w:b/>
                <w:i w:val="0"/>
                <w:color w:val="212121"/>
                <w:sz w:val="19"/>
              </w:rPr>
              <w:t>Nocturia (waking at night to urinate)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commonest and most bothersome symptom in Indian men; disrupts sleep and quality of life.</w:t>
            </w:r>
          </w:p>
        </w:tc>
      </w:tr>
      <w:tr>
        <w:trPr>
          <w:cantSplit/>
        </w:trPr>
        <w:tc>
          <w:tcPr>
            <w:tcW w:type="dxa" w:w="2304"/>
            <w:vAlign w:val="top"/>
          </w:tcPr>
          <w:p>
            <w:pPr>
              <w:spacing w:after="40" w:before="0" w:line="259" w:lineRule="auto"/>
            </w:pPr>
            <w:r>
              <w:rPr>
                <w:rFonts w:ascii="Calibri" w:hAnsi="Calibri"/>
                <w:b/>
                <w:i w:val="0"/>
                <w:color w:val="212121"/>
                <w:sz w:val="19"/>
              </w:rPr>
              <w:t>Urinary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compelling desire to void from detrusor overactivity secondary to obstruction.</w:t>
            </w:r>
          </w:p>
        </w:tc>
      </w:tr>
      <w:tr>
        <w:trPr>
          <w:cantSplit/>
        </w:trPr>
        <w:tc>
          <w:tcPr>
            <w:tcW w:type="dxa" w:w="2304"/>
            <w:vAlign w:val="top"/>
          </w:tcPr>
          <w:p>
            <w:pPr>
              <w:spacing w:after="40" w:before="0" w:line="259" w:lineRule="auto"/>
            </w:pPr>
            <w:r>
              <w:rPr>
                <w:rFonts w:ascii="Calibri" w:hAnsi="Calibri"/>
                <w:b/>
                <w:i w:val="0"/>
                <w:color w:val="212121"/>
                <w:sz w:val="19"/>
              </w:rPr>
              <w:t>Post-void dribbling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Leakage of retained urethral urine shortly after voiding.</w:t>
            </w:r>
          </w:p>
        </w:tc>
      </w:tr>
      <w:tr>
        <w:trPr>
          <w:cantSplit/>
        </w:trPr>
        <w:tc>
          <w:tcPr>
            <w:tcW w:type="dxa" w:w="2304"/>
            <w:vAlign w:val="top"/>
          </w:tcPr>
          <w:p>
            <w:pPr>
              <w:spacing w:after="40" w:before="0" w:line="259" w:lineRule="auto"/>
            </w:pPr>
            <w:r>
              <w:rPr>
                <w:rFonts w:ascii="Calibri" w:hAnsi="Calibri"/>
                <w:b/>
                <w:i w:val="0"/>
                <w:color w:val="212121"/>
                <w:sz w:val="19"/>
              </w:rPr>
              <w:t>Urge urinary incontinence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Leakage preceded by urgency when overactivity outstrips control.</w:t>
            </w:r>
          </w:p>
        </w:tc>
      </w:tr>
      <w:tr>
        <w:trPr>
          <w:cantSplit/>
        </w:trPr>
        <w:tc>
          <w:tcPr>
            <w:tcW w:type="dxa" w:w="2304"/>
            <w:vAlign w:val="top"/>
          </w:tcPr>
          <w:p>
            <w:pPr>
              <w:spacing w:after="40" w:before="0" w:line="259" w:lineRule="auto"/>
            </w:pPr>
            <w:r>
              <w:rPr>
                <w:rFonts w:ascii="Calibri" w:hAnsi="Calibri"/>
                <w:b/>
                <w:i w:val="0"/>
                <w:color w:val="212121"/>
                <w:sz w:val="19"/>
              </w:rPr>
              <w:t>Acute urinary retention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painful inability to pass urine; a urological emergency, often precipitated by drugs, alcohol or cold.</w:t>
            </w:r>
          </w:p>
        </w:tc>
      </w:tr>
      <w:tr>
        <w:trPr>
          <w:cantSplit/>
        </w:trPr>
        <w:tc>
          <w:tcPr>
            <w:tcW w:type="dxa" w:w="2304"/>
            <w:vAlign w:val="top"/>
          </w:tcPr>
          <w:p>
            <w:pPr>
              <w:spacing w:after="40" w:before="0" w:line="259" w:lineRule="auto"/>
            </w:pPr>
            <w:r>
              <w:rPr>
                <w:rFonts w:ascii="Calibri" w:hAnsi="Calibri"/>
                <w:b/>
                <w:i w:val="0"/>
                <w:color w:val="212121"/>
                <w:sz w:val="19"/>
              </w:rPr>
              <w:t>Visible haematuria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Bleeding from fragile enlarged prostatic vessels; must exclude tumour and stones.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Smoothly enlarged, firm-rubbery, non-tender prostate with obliterated median sulcus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classic physical sign of benign enlargement; symmetrical and without hard nodules.</w:t>
            </w:r>
          </w:p>
        </w:tc>
      </w:tr>
      <w:tr>
        <w:trPr>
          <w:cantSplit/>
        </w:trPr>
        <w:tc>
          <w:tcPr>
            <w:tcW w:type="dxa" w:w="3456"/>
            <w:vAlign w:val="top"/>
          </w:tcPr>
          <w:p>
            <w:pPr>
              <w:spacing w:after="40" w:before="0" w:line="259" w:lineRule="auto"/>
            </w:pPr>
            <w:r>
              <w:rPr>
                <w:rFonts w:ascii="Calibri" w:hAnsi="Calibri"/>
                <w:b/>
                <w:i w:val="0"/>
                <w:color w:val="212121"/>
                <w:sz w:val="19"/>
              </w:rPr>
              <w:t>Elevated post-void residual urine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incomplete emptying and retention risk.</w:t>
            </w:r>
          </w:p>
        </w:tc>
      </w:tr>
      <w:tr>
        <w:trPr>
          <w:cantSplit/>
        </w:trPr>
        <w:tc>
          <w:tcPr>
            <w:tcW w:type="dxa" w:w="3456"/>
            <w:vAlign w:val="top"/>
          </w:tcPr>
          <w:p>
            <w:pPr>
              <w:spacing w:after="40" w:before="0" w:line="259" w:lineRule="auto"/>
            </w:pPr>
            <w:r>
              <w:rPr>
                <w:rFonts w:ascii="Calibri" w:hAnsi="Calibri"/>
                <w:b/>
                <w:i w:val="0"/>
                <w:color w:val="212121"/>
                <w:sz w:val="19"/>
              </w:rPr>
              <w:t>Reduced / prolonged urinary stream on observed voiding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weak, hesitant flow corresponding to a low Qmax on uroflowmetry.</w:t>
            </w:r>
          </w:p>
        </w:tc>
      </w:tr>
      <w:tr>
        <w:trPr>
          <w:cantSplit/>
        </w:trPr>
        <w:tc>
          <w:tcPr>
            <w:tcW w:type="dxa" w:w="3456"/>
            <w:vAlign w:val="top"/>
          </w:tcPr>
          <w:p>
            <w:pPr>
              <w:spacing w:after="40" w:before="0" w:line="259" w:lineRule="auto"/>
            </w:pPr>
            <w:r>
              <w:rPr>
                <w:rFonts w:ascii="Calibri" w:hAnsi="Calibri"/>
                <w:b/>
                <w:i w:val="0"/>
                <w:color w:val="212121"/>
                <w:sz w:val="19"/>
              </w:rPr>
              <w:t>Palpably distended bladder (suprapubic fullness)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acute or chronic urinary retention.</w:t>
            </w:r>
          </w:p>
        </w:tc>
      </w:tr>
      <w:tr>
        <w:trPr>
          <w:cantSplit/>
        </w:trPr>
        <w:tc>
          <w:tcPr>
            <w:tcW w:type="dxa" w:w="3456"/>
            <w:vAlign w:val="top"/>
          </w:tcPr>
          <w:p>
            <w:pPr>
              <w:spacing w:after="40" w:before="0" w:line="259" w:lineRule="auto"/>
            </w:pPr>
            <w:r>
              <w:rPr>
                <w:rFonts w:ascii="Calibri" w:hAnsi="Calibri"/>
                <w:b/>
                <w:i w:val="0"/>
                <w:color w:val="212121"/>
                <w:sz w:val="19"/>
              </w:rPr>
              <w:t>Suprapubic dullness to percussion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Confirms a full, distended bladder above the pubic symphysis.</w:t>
            </w:r>
          </w:p>
        </w:tc>
      </w:tr>
      <w:tr>
        <w:trPr>
          <w:cantSplit/>
        </w:trPr>
        <w:tc>
          <w:tcPr>
            <w:tcW w:type="dxa" w:w="3456"/>
            <w:vAlign w:val="top"/>
          </w:tcPr>
          <w:p>
            <w:pPr>
              <w:spacing w:after="40" w:before="0" w:line="259" w:lineRule="auto"/>
            </w:pPr>
            <w:r>
              <w:rPr>
                <w:rFonts w:ascii="Calibri" w:hAnsi="Calibri"/>
                <w:b/>
                <w:i w:val="0"/>
                <w:color w:val="212121"/>
                <w:sz w:val="19"/>
              </w:rPr>
              <w:t>Overflow incontinence / continuous dribbling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high-pressure retention overflows past the obstruction.</w:t>
            </w:r>
          </w:p>
        </w:tc>
      </w:tr>
      <w:tr>
        <w:trPr>
          <w:cantSplit/>
        </w:trPr>
        <w:tc>
          <w:tcPr>
            <w:tcW w:type="dxa" w:w="3456"/>
            <w:vAlign w:val="top"/>
          </w:tcPr>
          <w:p>
            <w:pPr>
              <w:spacing w:after="40" w:before="0" w:line="259" w:lineRule="auto"/>
            </w:pPr>
            <w:r>
              <w:rPr>
                <w:rFonts w:ascii="Calibri" w:hAnsi="Calibri"/>
                <w:b/>
                <w:i w:val="0"/>
                <w:color w:val="212121"/>
                <w:sz w:val="19"/>
              </w:rPr>
              <w:t>Visible (gross) haematuria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engorged prostatic vessels; requires evaluation to exclude malignancy and stones.</w:t>
            </w:r>
          </w:p>
        </w:tc>
      </w:tr>
      <w:tr>
        <w:trPr>
          <w:cantSplit/>
        </w:trPr>
        <w:tc>
          <w:tcPr>
            <w:tcW w:type="dxa" w:w="3456"/>
            <w:vAlign w:val="top"/>
          </w:tcPr>
          <w:p>
            <w:pPr>
              <w:spacing w:after="40" w:before="0" w:line="259" w:lineRule="auto"/>
            </w:pPr>
            <w:r>
              <w:rPr>
                <w:rFonts w:ascii="Calibri" w:hAnsi="Calibri"/>
                <w:b/>
                <w:i w:val="0"/>
                <w:color w:val="212121"/>
                <w:sz w:val="19"/>
              </w:rPr>
              <w:t>Hard nodule or asymmetry of the prostate on DRE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red-flag sign that points to prostate cancer rather than benign hyperplasia and mandates work-up.</w:t>
            </w:r>
          </w:p>
        </w:tc>
      </w:tr>
      <w:tr>
        <w:trPr>
          <w:cantSplit/>
        </w:trPr>
        <w:tc>
          <w:tcPr>
            <w:tcW w:type="dxa" w:w="3456"/>
            <w:vAlign w:val="top"/>
          </w:tcPr>
          <w:p>
            <w:pPr>
              <w:spacing w:after="40" w:before="0" w:line="259" w:lineRule="auto"/>
            </w:pPr>
            <w:r>
              <w:rPr>
                <w:rFonts w:ascii="Calibri" w:hAnsi="Calibri"/>
                <w:b/>
                <w:i w:val="0"/>
                <w:color w:val="212121"/>
                <w:sz w:val="19"/>
              </w:rPr>
              <w:t>Features of chronic kidney disease (pallor, oedema, raised BP) in advanced obstruction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Reflects long-standing bilateral back-pressure and obstructive uropathy.</w:t>
            </w:r>
          </w:p>
        </w:tc>
      </w:tr>
      <w:tr>
        <w:trPr>
          <w:cantSplit/>
        </w:trPr>
        <w:tc>
          <w:tcPr>
            <w:tcW w:type="dxa" w:w="3456"/>
            <w:vAlign w:val="top"/>
          </w:tcPr>
          <w:p>
            <w:pPr>
              <w:spacing w:after="40" w:before="0" w:line="259" w:lineRule="auto"/>
            </w:pPr>
            <w:r>
              <w:rPr>
                <w:rFonts w:ascii="Calibri" w:hAnsi="Calibri"/>
                <w:b/>
                <w:i w:val="0"/>
                <w:color w:val="212121"/>
                <w:sz w:val="19"/>
              </w:rPr>
              <w:t>Recurrent urinary infection / palpable bladder stone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Stasis from high residual predisposes to infection and vesical calculi.</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urinary retention (sudden, painful inability to void) — a urological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Gross haematuria from fragile enlarged prostatic vessels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 from stasis and high residual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Bladder (vesical) calculi due to chronic incomplete emptying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urinary retention with a grossly distended bladder</w:t>
            </w:r>
          </w:p>
        </w:tc>
        <w:tc>
          <w:tcPr>
            <w:tcW w:type="dxa" w:w="2980"/>
            <w:vAlign w:val="top"/>
          </w:tcPr>
          <w:p>
            <w:pPr>
              <w:spacing w:after="40" w:before="0" w:line="259" w:lineRule="auto"/>
            </w:pPr>
            <w:r>
              <w:rPr>
                <w:rFonts w:ascii="Calibri" w:hAnsi="Calibri"/>
                <w:b w:val="0"/>
                <w:i w:val="0"/>
                <w:color w:val="212121"/>
                <w:sz w:val="19"/>
              </w:rPr>
              <w:t>Direct acute consequences of bladder outlet obstruction and urinary stasis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Detrusor overactivity with bladder-wall trabeculation and diverticula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urinary retention with persistently high post-void residual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Overflow (high-pressure chronic retention)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hydroureter and hydronephrosis from back-pressure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Post-renal (obstructive) acute kidney injury</w:t>
            </w:r>
          </w:p>
        </w:tc>
        <w:tc>
          <w:tcPr>
            <w:tcW w:type="dxa" w:w="2980"/>
            <w:vAlign w:val="top"/>
          </w:tcPr>
          <w:p>
            <w:pPr>
              <w:spacing w:after="40" w:before="0" w:line="259" w:lineRule="auto"/>
            </w:pPr>
            <w:r>
              <w:rPr>
                <w:rFonts w:ascii="Calibri" w:hAnsi="Calibri"/>
                <w:b w:val="0"/>
                <w:i w:val="0"/>
                <w:color w:val="212121"/>
                <w:sz w:val="19"/>
              </w:rPr>
              <w:t>Result from sustained high-pressure obstruction transmitted to the bladder and upper tracts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end-stage renal disease from long-standing obstructive 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 and life-threatening infection on a background of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detrusor decompensation requiring long-term or permanent catheterisation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morbidity (post-TURP bleeding, retrograde ejaculation, incontinence, rarely TUR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persistent loss of quality of life, sleep and independence in the elderly</w:t>
            </w:r>
          </w:p>
        </w:tc>
        <w:tc>
          <w:tcPr>
            <w:tcW w:type="dxa" w:w="2980"/>
            <w:vAlign w:val="top"/>
          </w:tcPr>
          <w:p>
            <w:pPr>
              <w:spacing w:after="40" w:before="0" w:line="259" w:lineRule="auto"/>
            </w:pPr>
            <w:r>
              <w:rPr>
                <w:rFonts w:ascii="Calibri" w:hAnsi="Calibri"/>
                <w:b w:val="0"/>
                <w:i w:val="0"/>
                <w:color w:val="212121"/>
                <w:sz w:val="19"/>
              </w:rPr>
              <w:t>Irreversible, disabling outcomes of longstanding or neglected obstruction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Erectile / sexual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LUTS and erectile dysfunction strongly co-occur through shared pelvic ischaemia, reduced nitric-oxide signalling and Rho-kinase overactivity; 5-alpha-reductase inhibitors can reduce libido/erection and alpha-blockers can cause ejaculatory dysfunction.</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Central obesity, hypertension, dysglycaemia and dyslipidaemia drive hyperinsulinaemia, sympathetic overactivity and inflammation that enlarge the prostate; BPH is increasingly framed as a metabolic disease of the ageing male.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Hyperinsulinaemia acts as a prostatic growth factor and diabetic autonomic neuropathy impairs bladder emptying; independently associated with LUTS in Indian men (adjusted prevalence ratio ~2.6).</w:t>
            </w:r>
          </w:p>
        </w:tc>
      </w:tr>
      <w:tr>
        <w:trPr>
          <w:cantSplit/>
        </w:trPr>
        <w:tc>
          <w:tcPr>
            <w:tcW w:type="dxa" w:w="2232"/>
            <w:vAlign w:val="top"/>
          </w:tcPr>
          <w:p>
            <w:pPr>
              <w:spacing w:after="40" w:before="0" w:line="259" w:lineRule="auto"/>
            </w:pPr>
            <w:r>
              <w:rPr>
                <w:rFonts w:ascii="Calibri" w:hAnsi="Calibri"/>
                <w:b/>
                <w:i w:val="0"/>
                <w:color w:val="212121"/>
                <w:sz w:val="19"/>
              </w:rPr>
              <w:t>Hypertension / 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Shares metabolic, sympathetic and endothelial pathways with BPH; cardiac disease was strongly associated with LUTS in Indian men (adjusted prevalence ratio ~3.3), and alpha-blocker therapy affects blood pressure.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Visceral adiposity raises insulin, estrogen and inflammatory cytokines, increasing prostate volume and the risk of clinical progression and surgery.</w:t>
            </w:r>
          </w:p>
        </w:tc>
      </w:tr>
      <w:tr>
        <w:trPr>
          <w:cantSplit/>
        </w:trPr>
        <w:tc>
          <w:tcPr>
            <w:tcW w:type="dxa" w:w="2232"/>
            <w:vAlign w:val="top"/>
          </w:tcPr>
          <w:p>
            <w:pPr>
              <w:spacing w:after="40" w:before="0" w:line="259" w:lineRule="auto"/>
            </w:pPr>
            <w:r>
              <w:rPr>
                <w:rFonts w:ascii="Calibri" w:hAnsi="Calibri"/>
                <w:b/>
                <w:i w:val="0"/>
                <w:color w:val="212121"/>
                <w:sz w:val="19"/>
              </w:rPr>
              <w:t>Overactive bladder (storage LUTS)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obstruction induces detrusor overactivity, so frequency, urgency and nocturia often persist or coexist; management may combine alpha-blockers with anticholinergics/beta-3 agonists under supervision.</w:t>
            </w:r>
          </w:p>
        </w:tc>
      </w:tr>
      <w:tr>
        <w:trPr>
          <w:cantSplit/>
        </w:trPr>
        <w:tc>
          <w:tcPr>
            <w:tcW w:type="dxa" w:w="2232"/>
            <w:vAlign w:val="top"/>
          </w:tcPr>
          <w:p>
            <w:pPr>
              <w:spacing w:after="40" w:before="0" w:line="259" w:lineRule="auto"/>
            </w:pPr>
            <w:r>
              <w:rPr>
                <w:rFonts w:ascii="Calibri" w:hAnsi="Calibri"/>
                <w:b/>
                <w:i w:val="0"/>
                <w:color w:val="212121"/>
                <w:sz w:val="19"/>
              </w:rPr>
              <w:t>Acute urinary retention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Progressive outlet obstruction, often precipitated by anticholinergic/decongestant drugs, alcohol or cold, culminates in sudden painful inability to void needing catheterisation.</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Incomplete emptying and high residual urine promote bacterial colonisation and recurrent infection, which in turn worsens storage symptoms and complicates surgery.</w:t>
            </w:r>
          </w:p>
        </w:tc>
      </w:tr>
      <w:tr>
        <w:trPr>
          <w:cantSplit/>
        </w:trPr>
        <w:tc>
          <w:tcPr>
            <w:tcW w:type="dxa" w:w="2232"/>
            <w:vAlign w:val="top"/>
          </w:tcPr>
          <w:p>
            <w:pPr>
              <w:spacing w:after="40" w:before="0" w:line="259" w:lineRule="auto"/>
            </w:pPr>
            <w:r>
              <w:rPr>
                <w:rFonts w:ascii="Calibri" w:hAnsi="Calibri"/>
                <w:b/>
                <w:i w:val="0"/>
                <w:color w:val="212121"/>
                <w:sz w:val="19"/>
              </w:rPr>
              <w:t>Chronic kidney disease / obstructive uropathy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Sustained high-pressure retention causes bilateral hydronephrosis and back-pressure nephropathy; renal impairment is a key indication for intervention.</w:t>
            </w:r>
          </w:p>
        </w:tc>
      </w:tr>
      <w:tr>
        <w:trPr>
          <w:cantSplit/>
        </w:trPr>
        <w:tc>
          <w:tcPr>
            <w:tcW w:type="dxa" w:w="2232"/>
            <w:vAlign w:val="top"/>
          </w:tcPr>
          <w:p>
            <w:pPr>
              <w:spacing w:after="40" w:before="0" w:line="259" w:lineRule="auto"/>
            </w:pPr>
            <w:r>
              <w:rPr>
                <w:rFonts w:ascii="Calibri" w:hAnsi="Calibri"/>
                <w:b/>
                <w:i w:val="0"/>
                <w:color w:val="212121"/>
                <w:sz w:val="19"/>
              </w:rPr>
              <w:t>Prostatitis / chronic pelvic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Outlet obstruction, high-pressure voiding and intraprostatic reflux promote inflammation and infection; prostatitis and BPH coexist and share overlapping lower-urinary-tract symptoms.</w:t>
            </w:r>
          </w:p>
        </w:tc>
      </w:tr>
      <w:tr>
        <w:trPr>
          <w:cantSplit/>
        </w:trPr>
        <w:tc>
          <w:tcPr>
            <w:tcW w:type="dxa" w:w="2232"/>
            <w:vAlign w:val="top"/>
          </w:tcPr>
          <w:p>
            <w:pPr>
              <w:spacing w:after="40" w:before="0" w:line="259" w:lineRule="auto"/>
            </w:pPr>
            <w:r>
              <w:rPr>
                <w:rFonts w:ascii="Calibri" w:hAnsi="Calibri"/>
                <w:b/>
                <w:i w:val="0"/>
                <w:color w:val="212121"/>
                <w:sz w:val="19"/>
              </w:rPr>
              <w:t>Prostate cancer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BPH does not cause cancer, but the two frequently coexist in the ageing prostate; enlargement and BPH-related PSA rise complicate PSA/DRE interpretation and mandate careful cancer screening.</w:t>
            </w:r>
          </w:p>
        </w:tc>
      </w:tr>
      <w:tr>
        <w:trPr>
          <w:cantSplit/>
        </w:trPr>
        <w:tc>
          <w:tcPr>
            <w:tcW w:type="dxa" w:w="2232"/>
            <w:vAlign w:val="top"/>
          </w:tcPr>
          <w:p>
            <w:pPr>
              <w:spacing w:after="40" w:before="0" w:line="259" w:lineRule="auto"/>
            </w:pPr>
            <w:r>
              <w:rPr>
                <w:rFonts w:ascii="Calibri" w:hAnsi="Calibri"/>
                <w:b/>
                <w:i w:val="0"/>
                <w:color w:val="212121"/>
                <w:sz w:val="19"/>
              </w:rPr>
              <w:t>Depression, anxiety &amp; sleep disturbance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Bothersome nocturia and LUTS impair sleep and quality of life, promoting low mood and anxiety, while stress heightens sympathetic tone and worsens symptoms.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BPH is a benign, age-related enlargement of the prostate — it is NOT cancer, but the two can coexist, so seek evaluation rather than assuming symptoms are 'just old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needing urgent care: complete inability to pass urine (acute retention), blood in the urine, fever with painful urination, or a persistently distended lower abdomen.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Indian men often have smaller prostates but very bothersome symptoms, especially nocturia — symptom severity, not gland size, drives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drugs that can precipitate retention without medical advice — decongestants (pseudoephedrine), antihistamines/anticholinergics and some cough/cold and anti-spasmodic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timely screening after 50 (earlier with a family history): symptom (IPSS) assessment, DRE and PSA to distinguish BPH from prostate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coexisting diabetes, blood pressure and weight well controlled, as metabolic disease worsens both the prostate and the bladder.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 over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 family history of BPH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underserved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multiple medications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 physical activity independently lowers LUTS severity and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and reduced waist circumference in overweight men, targeting central (visceral)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pelvic-floor and bladder-training exercises to help urgency, frequency and post-void dribbling.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or driving with regular movement, which reduces pelvic congestion and sympathetic tone.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resistance/strength work twice weekly to improve insulin sensitivity and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symptomatic BPH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 and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predominantly plant-based diet rich in vegetables, legumes, fruit and whole grains (millets, brown rice, oats), which is associated with lower BPH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red and processed meat, fried and high-fat foods and refined carbohydrate/sugary items that promote obesity and prostate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healthy fats (nuts, seeds, cold-pressed oils, fish) and lycopene-rich tomatoes and other antioxidant-rich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salt moderate and maintain good glycaemic control to protect the bladder and kidneys.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constipation with adequate fibre, as a loaded rectum can worsen voiding and precipitate retention.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at risk of BPH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 /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red-meat / low-vegetable eaters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caffeine (tea, coffee, colas) and carbonated/spicy bladder irritants, which worsen urgency, frequency and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fluids evenly through the day and restrict fluids for 2-3 hours before bedtime to reduce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total daily fluid (about 1.5-2 L) to avoid concentrated urine, infection and stones — do not over-restrict.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acts as a diuretic and can precipitate acute retention, especially in cold weather.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troublesome nocturia/urgency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storage LUTS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caffeine or alcohol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nocturia actively (evening fluid/caffeine/alcohol restriction, timed voiding, elevating legs in the evening) to protect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completely just before bed and use 'double voiding' (void, wait, void again) to lower residual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and good sleep hygiene, as fragmented sleep worsens daytime symptoms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evening leg-oedema conditions that increase night-time urine production.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 with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poor sleep /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heart failure or oedema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lower sympathetic tone, oxidative stress and cardiovascular/bladder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quit-lines and pharmacotherapy (nicotine replacement, bupropion, varenicline)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bladder irritants.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weight and blood-pressure control for the greatest reduction in LUTS-related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LUTS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preparing for prostate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alcohol to within safe limits or abstain, as it causes diuresis, worsens nocturia and can precipitate acute urinary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particularly in cold weather or alongside decongestant/anticholinergic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drink alcohol close to bedtime to reduce night-time urine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also worsens sleep, mood and metabolic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binge drinkers with LUTS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recurrent acute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poor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treat the anxiety, low mood and embarrassment that troublesome LUTS and nocturia commonly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breathing, yoga, mindfulness) that also lower sympathetic-driven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or psychiatric support and screen for depression when quality of life or sleep is significantly affected.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associated sexual dysfunction openly, as it strongly affects mood and treatment satisfaction.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set realistic expectations, since symptoms fluctuate and usually respond to a stepwise, combined approach.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bothersome LUTS/nocturia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coexisting 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men with reduced independence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dk.nih.gov/health-information/urologic-diseases/prostate-problems/prostate-enlargement-benign-prostatic-hyperplasia" TargetMode="External"/><Relationship Id="rId10" Type="http://schemas.openxmlformats.org/officeDocument/2006/relationships/hyperlink" Target="https://www.ncbi.nlm.nih.gov/books/NBK558920/" TargetMode="External"/><Relationship Id="rId11" Type="http://schemas.openxmlformats.org/officeDocument/2006/relationships/hyperlink" Target="https://pubmed.ncbi.nlm.nih.gov/15291862/" TargetMode="External"/><Relationship Id="rId12" Type="http://schemas.openxmlformats.org/officeDocument/2006/relationships/hyperlink" Target="https://pubmed.ncbi.nlm.nih.gov/41840745/" TargetMode="External"/><Relationship Id="rId13" Type="http://schemas.openxmlformats.org/officeDocument/2006/relationships/hyperlink" Target="https://pubmed.ncbi.nlm.nih.gov/24744516/" TargetMode="External"/><Relationship Id="rId14" Type="http://schemas.openxmlformats.org/officeDocument/2006/relationships/hyperlink" Target="https://pubmed.ncbi.nlm.nih.gov/19846130/" TargetMode="External"/><Relationship Id="rId15" Type="http://schemas.openxmlformats.org/officeDocument/2006/relationships/hyperlink" Target="https://pubmed.ncbi.nlm.nih.gov/24688539/" TargetMode="External"/><Relationship Id="rId16" Type="http://schemas.openxmlformats.org/officeDocument/2006/relationships/hyperlink" Target="https://pubmed.ncbi.nlm.nih.gov/25677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