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Kidney Disease</w:t>
      </w:r>
    </w:p>
    <w:p>
      <w:pPr>
        <w:spacing w:before="0" w:after="160"/>
      </w:pPr>
      <w:r>
        <w:rPr>
          <w:rFonts w:ascii="Calibri" w:hAnsi="Calibri"/>
          <w:b/>
          <w:i w:val="0"/>
          <w:color w:val="212121"/>
          <w:sz w:val="22"/>
        </w:rPr>
        <w:t xml:space="preserve">AKA </w:t>
      </w:r>
      <w:r>
        <w:rPr>
          <w:rFonts w:ascii="Calibri" w:hAnsi="Calibri"/>
          <w:b w:val="0"/>
          <w:i w:val="0"/>
          <w:color w:val="212121"/>
          <w:sz w:val="22"/>
        </w:rPr>
        <w:t>i.e., Chronic Renal Failure (CRF), Chronic Renal Disease, CKD, Chronic Kidney Failure, Chronic Renal Insufficiency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kidney disease (CKD) is defined as abnormalities of kidney structure or function, present for at least three months, with implications for health. It is characterised by a sustained fall in the glomerular filtration rate (eGFR below 60 mL/min/1.73 m²) and/or persistent markers of kidney damage such as albuminuria, haematuria or structural change. CKD is usually slow, silent and progressive, advancing through five stages to end-stage kidney disease that requires dialysis or transplantation. In India, diabetes and hypertension are the leading causes, with a large additional burden from CKD of undetermined cause.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the landmark SEEK-India community screening study, the overall prevalence of chronic kidney disease was 17.2% — roughly 17 out of every 100 adults screened had some degree of kidney damage or reduced filtration — and about 6% already had CKD stage 3 or worse. Diabetic nephropathy (~31%) and hypertensive nephrosclerosis (~13%) are the commonest causes in the Indian CKD Registry, while CKD of undetermined aetiology (~16%, including the Uddanam agricultural nephropathy belt of coastal Andhra Pradesh) contributes a further large share.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CKD is diagnosed (per KDIGO criteria) when markers of kidney damage or a reduced filtration rate persist for at least three months, confirmed on repeat testing to distinguish it from acute kidney injury. Any one of the following, sustained ≥ 3 months, establishes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estimated glomerular filtration rate (eGFR) &lt; 60 mL/min/1.73 m² (calculated from serum creatinine, e.g. CKD-EPI/MDRD), with or without other markers of kidney damage;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albuminuria — urine albumin-to-creatinine ratio (ACR) ≥ 30 mg/g (≥ 3 mg/mmol), or persistent proteinuria on dipstick/24-hour collection;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persistent urinary sediment abnormalities (haematuria, red-cell casts) or renal tubular disorders (e.g. renal tubular acidosis, electrolyte wasting);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structural abnormalities on imaging — small, shrunken echogenic kidneys, polycystic kidneys, cortical scarring, reflux nephropathy or obstruction on ultrasound/CT;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histological evidence of kidney damage on biopsy, or a history of kidney transplantation.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CKD is classified by KDIGO using the CGA framework — Cause, GFR category (G1–G5) and Albuminuria category (A1–A3). The GFR categories are:</w:t>
      </w:r>
    </w:p>
    <w:p>
      <w:pPr>
        <w:spacing w:before="0" w:after="80"/>
      </w:pPr>
      <w:r>
        <w:rPr>
          <w:rFonts w:ascii="Calibri" w:hAnsi="Calibri"/>
          <w:b w:val="0"/>
          <w:i w:val="0"/>
          <w:color w:val="212121"/>
          <w:sz w:val="21"/>
        </w:rPr>
        <w:t>(1) G1 — eGFR ≥ 90 mL/min/1.73 m² with evidence of kidney damage (e.g. albuminuria, structural change): normal or high filtration but demonstrable damage;</w:t>
      </w:r>
    </w:p>
    <w:p>
      <w:pPr>
        <w:spacing w:before="0" w:after="80"/>
      </w:pPr>
      <w:r>
        <w:rPr>
          <w:rFonts w:ascii="Calibri" w:hAnsi="Calibri"/>
          <w:b w:val="0"/>
          <w:i w:val="0"/>
          <w:color w:val="212121"/>
          <w:sz w:val="21"/>
        </w:rPr>
        <w:t>(2) G2 — eGFR 60–89: mildly decreased filtration (again only classified as CKD if damage markers are also present);</w:t>
      </w:r>
    </w:p>
    <w:p>
      <w:pPr>
        <w:spacing w:before="0" w:after="80"/>
      </w:pPr>
      <w:r>
        <w:rPr>
          <w:rFonts w:ascii="Calibri" w:hAnsi="Calibri"/>
          <w:b w:val="0"/>
          <w:i w:val="0"/>
          <w:color w:val="212121"/>
          <w:sz w:val="21"/>
        </w:rPr>
        <w:t>(3) G3a — eGFR 45–59, and G3b — eGFR 30–44: mild-to-moderate and moderate-to-severe reduction, the stage at which complications such as anaemia and mineral-bone disease begin to appear;</w:t>
      </w:r>
    </w:p>
    <w:p>
      <w:pPr>
        <w:spacing w:before="0" w:after="80"/>
      </w:pPr>
      <w:r>
        <w:rPr>
          <w:rFonts w:ascii="Calibri" w:hAnsi="Calibri"/>
          <w:b w:val="0"/>
          <w:i w:val="0"/>
          <w:color w:val="212121"/>
          <w:sz w:val="21"/>
        </w:rPr>
        <w:t>(4) G4 — eGFR 15–29: severely decreased filtration, requiring preparation for renal replacement therapy (dialysis access, transplant work-up);</w:t>
      </w:r>
    </w:p>
    <w:p>
      <w:pPr>
        <w:spacing w:before="0" w:after="80"/>
      </w:pPr>
      <w:r>
        <w:rPr>
          <w:rFonts w:ascii="Calibri" w:hAnsi="Calibri"/>
          <w:b w:val="0"/>
          <w:i w:val="0"/>
          <w:color w:val="212121"/>
          <w:sz w:val="21"/>
        </w:rPr>
        <w:t>(5) G5 — eGFR &lt; 15: kidney failure / end-stage kidney disease (ESKD), needing dialysis or transplantation to sustain life.</w:t>
      </w:r>
    </w:p>
    <w:p>
      <w:pPr>
        <w:spacing w:before="0" w:after="80"/>
      </w:pPr>
      <w:r>
        <w:rPr>
          <w:rFonts w:ascii="Calibri" w:hAnsi="Calibri"/>
          <w:b w:val="0"/>
          <w:i w:val="0"/>
          <w:color w:val="212121"/>
          <w:sz w:val="21"/>
        </w:rPr>
        <w:t>Each GFR stage is cross-classified by albuminuria — A1 (ACR &lt; 30 mg/g), A2 (30–300 mg/g) and A3 (&gt; 300 mg/g) — which independently sharpens the prognosis for progression, cardiovascular events and mortality.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Diabetes mellitus (diabetic nephropathy): The single leading cause in India (~31% of registry CKD); chronic hyperglycaemia causes glomerular hyperfiltration, mesangial expansion and damage to the filtration barrier, producing progressive albuminuria and GFR loss.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Hypertension (hypertensive nephrosclerosis): Sustained high blood pressure damages the renal microvasculature and glomeruli, causing arteriolar sclerosis and ischaemic nephron loss; it is both a cause and a consequence of CKD.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Chronic glomerulonephritis / IgA nephropathy: Immune-mediated glomerular injury (~14% of Indian registry CKD) is relatively common in South Asian populations and often presents late.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CKD of undetermined aetiology (CKDu): Clusters in agricultural communities (Uddanam belt of coastal Andhra Pradesh, parts of Odisha) linked to recurrent heat stress, dehydration, agrochemical exposure and possibly water contaminants.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Obstructive and reflux uropathy / chronic infection: Benign prostatic hyperplasia, recurrent kidney stones, vesico-ureteric reflux and chronic pyelonephritis cause post-renal and tubulo-interstitial damage.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Nephrotoxins: Long-term NSAID/analgesic use, unregulated herbal, Ayurvedic and heavy-metal-contaminated remedies, and aminoglycoside/contrast exposure accelerate kidney injury.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and structural disease: Autosomal-dominant polycystic kidney disease, Alport syndrome and congenital anomalies of the kidney and urinary tract.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Nephron number and filtration reserve fall with cumulative exposure to diabetes, hypertension and nephrotoxins, so CKD prevalence climbs steadily through adult life. In India the disease is detected roughly a decade earlier than in Western cohorts.</w:t>
            </w:r>
          </w:p>
          <w:p>
            <w:pPr>
              <w:spacing w:after="40" w:before="60" w:line="259" w:lineRule="auto"/>
            </w:pPr>
            <w:r>
              <w:rPr>
                <w:rFonts w:ascii="Calibri" w:hAnsi="Calibri"/>
                <w:b w:val="0"/>
                <w:i w:val="0"/>
                <w:color w:val="212121"/>
                <w:sz w:val="19"/>
              </w:rPr>
              <w:t>In the SEEK-India screening study the mean age of participants was 45.2 years and overall CKD prevalence was 17.2%.</w:t>
            </w:r>
          </w:p>
          <w:p>
            <w:pPr>
              <w:spacing w:after="40" w:line="252" w:lineRule="auto"/>
            </w:pPr>
            <w:hyperlink r:id="rId9">
              <w:r>
                <w:rPr>
                  <w:rFonts w:ascii="Calibri" w:hAnsi="Calibri" w:cs="Calibri"/>
                  <w:sz w:val="18"/>
                  <w:color w:val="1155CC"/>
                  <w:u w:val="single"/>
                </w:rPr>
                <w:t xml:space="preserve">bmcnephrol.biomedcentral.com — SEEK-India study</w:t>
              </w:r>
            </w:hyperlink>
          </w:p>
          <w:p>
            <w:pPr>
              <w:spacing w:before="60" w:after="40"/>
            </w:pPr>
            <w:r>
              <w:rPr>
                <w:rFonts w:ascii="Calibri" w:hAnsi="Calibri"/>
                <w:b w:val="0"/>
                <w:i w:val="0"/>
                <w:color w:val="5A5A5A"/>
                <w:sz w:val="18"/>
              </w:rPr>
              <w:t>#ckd  #agingkidney  #nephronloss  #earlyonset  #screening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Age-related decline in GFR compounds with hypertension, diabetes, atherosclerosis and polypharmacy, making the elderly the highest-prevalence group and the most vulnerable to acute-on-chronic decline and drug-induced injury.</w:t>
            </w:r>
          </w:p>
          <w:p>
            <w:pPr>
              <w:spacing w:after="40" w:before="60" w:line="259" w:lineRule="auto"/>
            </w:pPr>
            <w:r>
              <w:rPr>
                <w:rFonts w:ascii="Calibri" w:hAnsi="Calibri"/>
                <w:b w:val="0"/>
                <w:i w:val="0"/>
                <w:color w:val="212121"/>
                <w:sz w:val="19"/>
              </w:rPr>
              <w:t>CKD prevalence rises from about 6% in adults aged 18–44 years to roughly 34% in those aged 65 and older.</w:t>
            </w:r>
          </w:p>
          <w:p>
            <w:pPr>
              <w:spacing w:after="40" w:line="252" w:lineRule="auto"/>
            </w:pPr>
            <w:hyperlink r:id="rId10">
              <w:r>
                <w:rPr>
                  <w:rFonts w:ascii="Calibri" w:hAnsi="Calibri" w:cs="Calibri"/>
                  <w:sz w:val="18"/>
                  <w:color w:val="1155CC"/>
                  <w:u w:val="single"/>
                </w:rPr>
                <w:t xml:space="preserve">cdc.gov — CKD data &amp; statistics</w:t>
              </w:r>
            </w:hyperlink>
          </w:p>
          <w:p>
            <w:pPr>
              <w:spacing w:before="60" w:after="40"/>
            </w:pPr>
            <w:r>
              <w:rPr>
                <w:rFonts w:ascii="Calibri" w:hAnsi="Calibri"/>
                <w:b w:val="0"/>
                <w:i w:val="0"/>
                <w:color w:val="5A5A5A"/>
                <w:sz w:val="18"/>
              </w:rPr>
              <w:t>#elderly  #polypharmacy  #gfrdecline  #frailty  #acuteonchronic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present for advanced CKD and dialysis in far greater numbers, reflecting faster progression, higher hypertension/smoking burden, obstructive uropathy and, in India, differential health-seeking that disadvantages women in referral.</w:t>
            </w:r>
          </w:p>
          <w:p>
            <w:pPr>
              <w:spacing w:after="40" w:before="60" w:line="259" w:lineRule="auto"/>
            </w:pPr>
            <w:r>
              <w:rPr>
                <w:rFonts w:ascii="Calibri" w:hAnsi="Calibri"/>
                <w:b w:val="0"/>
                <w:i w:val="0"/>
                <w:color w:val="212121"/>
                <w:sz w:val="19"/>
              </w:rPr>
              <w:t>The first Indian CKD Registry (52,273 patients) reported a male-to-female ratio of about 70:30 among patients reaching nephrology care.</w:t>
            </w:r>
          </w:p>
          <w:p>
            <w:pPr>
              <w:spacing w:after="40" w:line="252" w:lineRule="auto"/>
            </w:pPr>
            <w:hyperlink r:id="rId11">
              <w:r>
                <w:rPr>
                  <w:rFonts w:ascii="Calibri" w:hAnsi="Calibri" w:cs="Calibri"/>
                  <w:sz w:val="18"/>
                  <w:color w:val="1155CC"/>
                  <w:u w:val="single"/>
                </w:rPr>
                <w:t xml:space="preserve">bmcnephrol.biomedcentral.com — Indian CKD Registry</w:t>
              </w:r>
            </w:hyperlink>
          </w:p>
          <w:p>
            <w:pPr>
              <w:spacing w:before="60" w:after="40"/>
            </w:pPr>
            <w:r>
              <w:rPr>
                <w:rFonts w:ascii="Calibri" w:hAnsi="Calibri"/>
                <w:b w:val="0"/>
                <w:i w:val="0"/>
                <w:color w:val="5A5A5A"/>
                <w:sz w:val="18"/>
              </w:rPr>
              <w:t>#male  #dialysisgap  #accessbias  #obstructiveuropathy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populations</w:t>
            </w:r>
          </w:p>
        </w:tc>
        <w:tc>
          <w:tcPr>
            <w:tcW w:type="dxa" w:w="4276"/>
            <w:vAlign w:val="top"/>
          </w:tcPr>
          <w:p>
            <w:pPr>
              <w:spacing w:after="60" w:line="259" w:lineRule="auto"/>
            </w:pPr>
            <w:r>
              <w:rPr>
                <w:rFonts w:ascii="Calibri" w:hAnsi="Calibri"/>
                <w:b w:val="0"/>
                <w:i w:val="0"/>
                <w:color w:val="212121"/>
                <w:sz w:val="19"/>
              </w:rPr>
              <w:t>Late presentation, limited screening, and the very high out-of-pocket cost of dialysis and transplantation mean poorer and rural Indians are diagnosed later, progress faster and are far less likely to receive or sustain renal replacement therapy.</w:t>
            </w:r>
          </w:p>
          <w:p>
            <w:pPr>
              <w:spacing w:after="40" w:before="60" w:line="259" w:lineRule="auto"/>
            </w:pPr>
            <w:r>
              <w:rPr>
                <w:rFonts w:ascii="Calibri" w:hAnsi="Calibri"/>
                <w:b w:val="0"/>
                <w:i w:val="0"/>
                <w:color w:val="212121"/>
                <w:sz w:val="19"/>
              </w:rPr>
              <w:t>Diabetic nephropathy is the commonest recorded cause of CKD across all geographic zones of the Indian CKD Registry, yet most patients present only at advanced stages.</w:t>
            </w:r>
          </w:p>
          <w:p>
            <w:pPr>
              <w:spacing w:after="40" w:line="252" w:lineRule="auto"/>
            </w:pPr>
            <w:hyperlink r:id="rId11">
              <w:r>
                <w:rPr>
                  <w:rFonts w:ascii="Calibri" w:hAnsi="Calibri" w:cs="Calibri"/>
                  <w:sz w:val="18"/>
                  <w:color w:val="1155CC"/>
                  <w:u w:val="single"/>
                </w:rPr>
                <w:t xml:space="preserve">bmcnephrol.biomedcentral.com — Indian CKD Registry</w:t>
              </w:r>
            </w:hyperlink>
          </w:p>
          <w:p>
            <w:pPr>
              <w:spacing w:before="60" w:after="40"/>
            </w:pPr>
            <w:r>
              <w:rPr>
                <w:rFonts w:ascii="Calibri" w:hAnsi="Calibri"/>
                <w:b w:val="0"/>
                <w:i w:val="0"/>
                <w:color w:val="5A5A5A"/>
                <w:sz w:val="18"/>
              </w:rPr>
              <w:t>#healthaccess  #outofpocket  #latepresentation  #ruralhealth  #dialysiscost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occupational cluster</w:t>
            </w:r>
          </w:p>
        </w:tc>
        <w:tc>
          <w:tcPr>
            <w:tcW w:type="dxa" w:w="2160"/>
            <w:vAlign w:val="top"/>
          </w:tcPr>
          <w:p>
            <w:pPr>
              <w:spacing w:after="40" w:before="0" w:line="259" w:lineRule="auto"/>
            </w:pPr>
            <w:r>
              <w:rPr>
                <w:rFonts w:ascii="Calibri" w:hAnsi="Calibri"/>
                <w:b w:val="0"/>
                <w:i w:val="0"/>
                <w:color w:val="212121"/>
                <w:sz w:val="19"/>
              </w:rPr>
              <w:t>Uddanam belt (coastal Andhra Pradesh), agricultural Odisha</w:t>
            </w:r>
          </w:p>
        </w:tc>
        <w:tc>
          <w:tcPr>
            <w:tcW w:type="dxa" w:w="4276"/>
            <w:vAlign w:val="top"/>
          </w:tcPr>
          <w:p>
            <w:pPr>
              <w:spacing w:after="60" w:line="259" w:lineRule="auto"/>
            </w:pPr>
            <w:r>
              <w:rPr>
                <w:rFonts w:ascii="Calibri" w:hAnsi="Calibri"/>
                <w:b w:val="0"/>
                <w:i w:val="0"/>
                <w:color w:val="212121"/>
                <w:sz w:val="19"/>
              </w:rPr>
              <w:t>Farming communities in the hot, humid Uddanam region show endemic CKD of undetermined aetiology, attributed to chronic recurrent dehydration and heat stress, agrochemical exposure and possible water contaminants rather than diabetes or hypertension.</w:t>
            </w:r>
          </w:p>
          <w:p>
            <w:pPr>
              <w:spacing w:after="40" w:before="60" w:line="259" w:lineRule="auto"/>
            </w:pPr>
            <w:r>
              <w:rPr>
                <w:rFonts w:ascii="Calibri" w:hAnsi="Calibri"/>
                <w:b w:val="0"/>
                <w:i w:val="0"/>
                <w:color w:val="212121"/>
                <w:sz w:val="19"/>
              </w:rPr>
              <w:t>CKD of undetermined aetiology accounted for about 16% of all CKD in the Indian CKD Registry — one of the largest single categories after diabetic nephropathy.</w:t>
            </w:r>
          </w:p>
          <w:p>
            <w:pPr>
              <w:spacing w:after="40" w:line="252" w:lineRule="auto"/>
            </w:pPr>
            <w:hyperlink r:id="rId11">
              <w:r>
                <w:rPr>
                  <w:rFonts w:ascii="Calibri" w:hAnsi="Calibri" w:cs="Calibri"/>
                  <w:sz w:val="18"/>
                  <w:color w:val="1155CC"/>
                  <w:u w:val="single"/>
                </w:rPr>
                <w:t xml:space="preserve">bmcnephrol.biomedcentral.com — Indian CKD Registry</w:t>
              </w:r>
            </w:hyperlink>
          </w:p>
          <w:p>
            <w:pPr>
              <w:spacing w:before="60" w:after="40"/>
            </w:pPr>
            <w:r>
              <w:rPr>
                <w:rFonts w:ascii="Calibri" w:hAnsi="Calibri"/>
                <w:b w:val="0"/>
                <w:i w:val="0"/>
                <w:color w:val="5A5A5A"/>
                <w:sz w:val="18"/>
              </w:rPr>
              <w:t>#ckdu  #uddanam  #heatstress  #agriculture  #dehydration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w:t>
            </w:r>
          </w:p>
        </w:tc>
        <w:tc>
          <w:tcPr>
            <w:tcW w:type="dxa" w:w="4276"/>
            <w:vAlign w:val="top"/>
          </w:tcPr>
          <w:p>
            <w:pPr>
              <w:spacing w:after="60" w:line="259" w:lineRule="auto"/>
            </w:pPr>
            <w:r>
              <w:rPr>
                <w:rFonts w:ascii="Calibri" w:hAnsi="Calibri"/>
                <w:b w:val="0"/>
                <w:i w:val="0"/>
                <w:color w:val="212121"/>
                <w:sz w:val="19"/>
              </w:rPr>
              <w:t>South Asians develop diabetes and hypertension earlier and at lower BMI, carry a high burden of low-birth-weight-related reduced nephron endowment, and tend to progress to kidney failure at a younger age than Western populations.</w:t>
            </w:r>
          </w:p>
          <w:p>
            <w:pPr>
              <w:spacing w:after="40" w:before="60" w:line="259" w:lineRule="auto"/>
            </w:pPr>
            <w:r>
              <w:rPr>
                <w:rFonts w:ascii="Calibri" w:hAnsi="Calibri"/>
                <w:b w:val="0"/>
                <w:i w:val="0"/>
                <w:color w:val="212121"/>
                <w:sz w:val="19"/>
              </w:rPr>
              <w:t>Diabetes and hypertension together drive the majority of CKD in India, with diabetic nephropathy the leading registry cause (~31%).</w:t>
            </w:r>
          </w:p>
          <w:p>
            <w:pPr>
              <w:spacing w:after="40" w:line="252" w:lineRule="auto"/>
            </w:pPr>
            <w:hyperlink r:id="rId11">
              <w:r>
                <w:rPr>
                  <w:rFonts w:ascii="Calibri" w:hAnsi="Calibri" w:cs="Calibri"/>
                  <w:sz w:val="18"/>
                  <w:color w:val="1155CC"/>
                  <w:u w:val="single"/>
                </w:rPr>
                <w:t xml:space="preserve">bmcnephrol.biomedcentral.com — Indian CKD Registry</w:t>
              </w:r>
            </w:hyperlink>
          </w:p>
          <w:p>
            <w:pPr>
              <w:spacing w:before="60" w:after="40"/>
            </w:pPr>
            <w:r>
              <w:rPr>
                <w:rFonts w:ascii="Calibri" w:hAnsi="Calibri"/>
                <w:b w:val="0"/>
                <w:i w:val="0"/>
                <w:color w:val="5A5A5A"/>
                <w:sz w:val="18"/>
              </w:rPr>
              <w:t>#southasian  #lownephron  #earlyeskd  #thriftyphenotype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Obese</w:t>
            </w:r>
          </w:p>
        </w:tc>
        <w:tc>
          <w:tcPr>
            <w:tcW w:type="dxa" w:w="2160"/>
            <w:vAlign w:val="top"/>
          </w:tcPr>
          <w:p>
            <w:pPr>
              <w:spacing w:after="40" w:before="0" w:line="259" w:lineRule="auto"/>
            </w:pPr>
            <w:r>
              <w:rPr>
                <w:rFonts w:ascii="Calibri" w:hAnsi="Calibri"/>
                <w:b w:val="0"/>
                <w:i w:val="0"/>
                <w:color w:val="212121"/>
                <w:sz w:val="19"/>
              </w:rPr>
              <w:t>Overweight &amp; obese, sedentary office workers</w:t>
            </w:r>
          </w:p>
        </w:tc>
        <w:tc>
          <w:tcPr>
            <w:tcW w:type="dxa" w:w="4276"/>
            <w:vAlign w:val="top"/>
          </w:tcPr>
          <w:p>
            <w:pPr>
              <w:spacing w:after="60" w:line="259" w:lineRule="auto"/>
            </w:pPr>
            <w:r>
              <w:rPr>
                <w:rFonts w:ascii="Calibri" w:hAnsi="Calibri"/>
                <w:b w:val="0"/>
                <w:i w:val="0"/>
                <w:color w:val="212121"/>
                <w:sz w:val="19"/>
              </w:rPr>
              <w:t>Excess weight and inactivity drive hypertension, type 2 diabetes and glomerular hyperfiltration; obesity also causes a distinct obesity-related glomerulopathy with proteinuria, independent of diabetes.</w:t>
            </w:r>
          </w:p>
          <w:p>
            <w:pPr>
              <w:spacing w:after="40" w:before="60" w:line="259" w:lineRule="auto"/>
            </w:pPr>
            <w:r>
              <w:rPr>
                <w:rFonts w:ascii="Calibri" w:hAnsi="Calibri"/>
                <w:b w:val="0"/>
                <w:i w:val="0"/>
                <w:color w:val="212121"/>
                <w:sz w:val="19"/>
              </w:rPr>
              <w:t>Excess weight raises the risk of high blood pressure and diabetes, the two conditions that cause most CKD; severe obesity is itself listed as a direct cause of kidney damage.</w:t>
            </w:r>
          </w:p>
          <w:p>
            <w:pPr>
              <w:spacing w:after="40" w:line="252" w:lineRule="auto"/>
            </w:pPr>
            <w:hyperlink r:id="rId12">
              <w:r>
                <w:rPr>
                  <w:rFonts w:ascii="Calibri" w:hAnsi="Calibri" w:cs="Calibri"/>
                  <w:sz w:val="18"/>
                  <w:color w:val="1155CC"/>
                  <w:u w:val="single"/>
                </w:rPr>
                <w:t xml:space="preserve">niddk.nih.gov — Causes of CKD</w:t>
              </w:r>
            </w:hyperlink>
          </w:p>
          <w:p>
            <w:pPr>
              <w:spacing w:before="60" w:after="40"/>
            </w:pPr>
            <w:r>
              <w:rPr>
                <w:rFonts w:ascii="Calibri" w:hAnsi="Calibri"/>
                <w:b w:val="0"/>
                <w:i w:val="0"/>
                <w:color w:val="5A5A5A"/>
                <w:sz w:val="18"/>
              </w:rPr>
              <w:t>#obesity  #hyperfiltration  #sedentary  #metabolicsyndrome  #proteinuria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long-term smokers</w:t>
            </w:r>
          </w:p>
        </w:tc>
        <w:tc>
          <w:tcPr>
            <w:tcW w:type="dxa" w:w="4276"/>
            <w:vAlign w:val="top"/>
          </w:tcPr>
          <w:p>
            <w:pPr>
              <w:spacing w:after="60" w:line="259" w:lineRule="auto"/>
            </w:pPr>
            <w:r>
              <w:rPr>
                <w:rFonts w:ascii="Calibri" w:hAnsi="Calibri"/>
                <w:b w:val="0"/>
                <w:i w:val="0"/>
                <w:color w:val="212121"/>
                <w:sz w:val="19"/>
              </w:rPr>
              <w:t>Tobacco causes endothelial dysfunction, raises blood pressure and increases albuminuria, accelerating the rate of GFR decline and the progression to end-stage disease in people who already have CKD or diabetes.</w:t>
            </w:r>
          </w:p>
          <w:p>
            <w:pPr>
              <w:spacing w:after="40" w:before="60" w:line="259" w:lineRule="auto"/>
            </w:pPr>
            <w:r>
              <w:rPr>
                <w:rFonts w:ascii="Calibri" w:hAnsi="Calibri"/>
                <w:b w:val="0"/>
                <w:i w:val="0"/>
                <w:color w:val="212121"/>
                <w:sz w:val="19"/>
              </w:rPr>
              <w:t>Smoking/tobacco use is recognised as a modifiable risk factor and driver of faster CKD progression alongside diabetes, hypertension and obesity.</w:t>
            </w:r>
          </w:p>
          <w:p>
            <w:pPr>
              <w:spacing w:after="40" w:line="252" w:lineRule="auto"/>
            </w:pPr>
            <w:hyperlink r:id="rId13">
              <w:r>
                <w:rPr>
                  <w:rFonts w:ascii="Calibri" w:hAnsi="Calibri" w:cs="Calibri"/>
                  <w:sz w:val="18"/>
                  <w:color w:val="1155CC"/>
                  <w:u w:val="single"/>
                </w:rPr>
                <w:t xml:space="preserve">kidney.org — Chronic kidney disease</w:t>
              </w:r>
            </w:hyperlink>
          </w:p>
          <w:p>
            <w:pPr>
              <w:spacing w:before="60" w:after="40"/>
            </w:pPr>
            <w:r>
              <w:rPr>
                <w:rFonts w:ascii="Calibri" w:hAnsi="Calibri"/>
                <w:b w:val="0"/>
                <w:i w:val="0"/>
                <w:color w:val="5A5A5A"/>
                <w:sz w:val="18"/>
              </w:rPr>
              <w:t>#smoking  #albuminuria  #endothelialdysfunction  #progression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&amp; chronic drinkers</w:t>
            </w:r>
          </w:p>
        </w:tc>
        <w:tc>
          <w:tcPr>
            <w:tcW w:type="dxa" w:w="4276"/>
            <w:vAlign w:val="top"/>
          </w:tcPr>
          <w:p>
            <w:pPr>
              <w:spacing w:after="60" w:line="259" w:lineRule="auto"/>
            </w:pPr>
            <w:r>
              <w:rPr>
                <w:rFonts w:ascii="Calibri" w:hAnsi="Calibri"/>
                <w:b w:val="0"/>
                <w:i w:val="0"/>
                <w:color w:val="212121"/>
                <w:sz w:val="19"/>
              </w:rPr>
              <w:t>Heavy alcohol intake raises blood pressure, worsens glycaemic and lipid control and can cause volume/electrolyte disturbance, indirectly accelerating hypertensive and diabetic kidney damage.</w:t>
            </w:r>
          </w:p>
          <w:p>
            <w:pPr>
              <w:spacing w:after="40" w:before="60" w:line="259" w:lineRule="auto"/>
            </w:pPr>
            <w:r>
              <w:rPr>
                <w:rFonts w:ascii="Calibri" w:hAnsi="Calibri"/>
                <w:b w:val="0"/>
                <w:i w:val="0"/>
                <w:color w:val="212121"/>
                <w:sz w:val="19"/>
              </w:rPr>
              <w:t>Hypertension — strongly aggravated by heavy alcohol use — was present in 64.5% of the CKD group in the SEEK-India study.</w:t>
            </w:r>
          </w:p>
          <w:p>
            <w:pPr>
              <w:spacing w:after="40" w:line="252" w:lineRule="auto"/>
            </w:pPr>
            <w:hyperlink r:id="rId9">
              <w:r>
                <w:rPr>
                  <w:rFonts w:ascii="Calibri" w:hAnsi="Calibri" w:cs="Calibri"/>
                  <w:sz w:val="18"/>
                  <w:color w:val="1155CC"/>
                  <w:u w:val="single"/>
                </w:rPr>
                <w:t xml:space="preserve">bmcnephrol.biomedcentral.com — SEEK-India study</w:t>
              </w:r>
            </w:hyperlink>
          </w:p>
          <w:p>
            <w:pPr>
              <w:spacing w:before="60" w:after="40"/>
            </w:pPr>
            <w:r>
              <w:rPr>
                <w:rFonts w:ascii="Calibri" w:hAnsi="Calibri"/>
                <w:b w:val="0"/>
                <w:i w:val="0"/>
                <w:color w:val="5A5A5A"/>
                <w:sz w:val="18"/>
              </w:rPr>
              <w:t>#alcohol  #hypertension  #bloodpressure  #electrolytes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Analgesic / herbal nephrotoxin use</w:t>
            </w:r>
          </w:p>
        </w:tc>
        <w:tc>
          <w:tcPr>
            <w:tcW w:type="dxa" w:w="2160"/>
            <w:vAlign w:val="top"/>
          </w:tcPr>
          <w:p>
            <w:pPr>
              <w:spacing w:after="40" w:before="0" w:line="259" w:lineRule="auto"/>
            </w:pPr>
            <w:r>
              <w:rPr>
                <w:rFonts w:ascii="Calibri" w:hAnsi="Calibri"/>
                <w:b w:val="0"/>
                <w:i w:val="0"/>
                <w:color w:val="212121"/>
                <w:sz w:val="19"/>
              </w:rPr>
              <w:t>Long-term NSAID users, indigenous-remedy users</w:t>
            </w:r>
          </w:p>
        </w:tc>
        <w:tc>
          <w:tcPr>
            <w:tcW w:type="dxa" w:w="4276"/>
            <w:vAlign w:val="top"/>
          </w:tcPr>
          <w:p>
            <w:pPr>
              <w:spacing w:after="60" w:line="259" w:lineRule="auto"/>
            </w:pPr>
            <w:r>
              <w:rPr>
                <w:rFonts w:ascii="Calibri" w:hAnsi="Calibri"/>
                <w:b w:val="0"/>
                <w:i w:val="0"/>
                <w:color w:val="212121"/>
                <w:sz w:val="19"/>
              </w:rPr>
              <w:t>Habitual over-the-counter NSAID and analgesic use, and unregulated herbal, Ayurvedic or heavy-metal-contaminated remedies widely used in India, cause tubulo-interstitial injury and papillary necrosis that accumulate into CKD.</w:t>
            </w:r>
          </w:p>
          <w:p>
            <w:pPr>
              <w:spacing w:after="40" w:before="60" w:line="259" w:lineRule="auto"/>
            </w:pPr>
            <w:r>
              <w:rPr>
                <w:rFonts w:ascii="Calibri" w:hAnsi="Calibri"/>
                <w:b w:val="0"/>
                <w:i w:val="0"/>
                <w:color w:val="212121"/>
                <w:sz w:val="19"/>
              </w:rPr>
              <w:t>Kidney-toxic medicines and analgesic overuse are listed among the direct, avoidable causes of chronic kidney damage.</w:t>
            </w:r>
          </w:p>
          <w:p>
            <w:pPr>
              <w:spacing w:after="40" w:line="252" w:lineRule="auto"/>
            </w:pPr>
            <w:hyperlink r:id="rId12">
              <w:r>
                <w:rPr>
                  <w:rFonts w:ascii="Calibri" w:hAnsi="Calibri" w:cs="Calibri"/>
                  <w:sz w:val="18"/>
                  <w:color w:val="1155CC"/>
                  <w:u w:val="single"/>
                </w:rPr>
                <w:t xml:space="preserve">niddk.nih.gov — Causes of CKD</w:t>
              </w:r>
            </w:hyperlink>
          </w:p>
          <w:p>
            <w:pPr>
              <w:spacing w:before="60" w:after="40"/>
            </w:pPr>
            <w:r>
              <w:rPr>
                <w:rFonts w:ascii="Calibri" w:hAnsi="Calibri"/>
                <w:b w:val="0"/>
                <w:i w:val="0"/>
                <w:color w:val="5A5A5A"/>
                <w:sz w:val="18"/>
              </w:rPr>
              <w:t>#nsaids  #analgesicnephropathy  #herbaltoxicity  #selfmedication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salt &amp; high protein diet</w:t>
            </w:r>
          </w:p>
        </w:tc>
        <w:tc>
          <w:tcPr>
            <w:tcW w:type="dxa" w:w="2160"/>
            <w:vAlign w:val="top"/>
          </w:tcPr>
          <w:p>
            <w:pPr>
              <w:spacing w:after="40" w:before="0" w:line="259" w:lineRule="auto"/>
            </w:pPr>
            <w:r>
              <w:rPr>
                <w:rFonts w:ascii="Calibri" w:hAnsi="Calibri"/>
                <w:b w:val="0"/>
                <w:i w:val="0"/>
                <w:color w:val="212121"/>
                <w:sz w:val="19"/>
              </w:rPr>
              <w:t>High-sodium, high-animal-protein consumers</w:t>
            </w:r>
          </w:p>
        </w:tc>
        <w:tc>
          <w:tcPr>
            <w:tcW w:type="dxa" w:w="4276"/>
            <w:vAlign w:val="top"/>
          </w:tcPr>
          <w:p>
            <w:pPr>
              <w:spacing w:after="60" w:line="259" w:lineRule="auto"/>
            </w:pPr>
            <w:r>
              <w:rPr>
                <w:rFonts w:ascii="Calibri" w:hAnsi="Calibri"/>
                <w:b w:val="0"/>
                <w:i w:val="0"/>
                <w:color w:val="212121"/>
                <w:sz w:val="19"/>
              </w:rPr>
              <w:t>High dietary salt raises blood pressure and glomerular pressure, while excess protein increases the filtration workload; both accelerate proteinuria and nephron loss, and are common in urbanising Indian diets rich in salt, pickles and processed food.</w:t>
            </w:r>
          </w:p>
          <w:p>
            <w:pPr>
              <w:spacing w:after="40" w:before="60" w:line="259" w:lineRule="auto"/>
            </w:pPr>
            <w:r>
              <w:rPr>
                <w:rFonts w:ascii="Calibri" w:hAnsi="Calibri"/>
                <w:b w:val="0"/>
                <w:i w:val="0"/>
                <w:color w:val="212121"/>
                <w:sz w:val="19"/>
              </w:rPr>
              <w:t>Eating foods lower in salt is a core prevention measure to protect the kidneys and control blood pressure.</w:t>
            </w:r>
          </w:p>
          <w:p>
            <w:pPr>
              <w:spacing w:after="40" w:line="252" w:lineRule="auto"/>
            </w:pPr>
            <w:hyperlink r:id="rId14">
              <w:r>
                <w:rPr>
                  <w:rFonts w:ascii="Calibri" w:hAnsi="Calibri" w:cs="Calibri"/>
                  <w:sz w:val="18"/>
                  <w:color w:val="1155CC"/>
                  <w:u w:val="single"/>
                </w:rPr>
                <w:t xml:space="preserve">cdc.gov — Preventing CKD</w:t>
              </w:r>
            </w:hyperlink>
          </w:p>
          <w:p>
            <w:pPr>
              <w:spacing w:before="60" w:after="40"/>
            </w:pPr>
            <w:r>
              <w:rPr>
                <w:rFonts w:ascii="Calibri" w:hAnsi="Calibri"/>
                <w:b w:val="0"/>
                <w:i w:val="0"/>
                <w:color w:val="5A5A5A"/>
                <w:sz w:val="18"/>
              </w:rPr>
              <w:t>#saltintake  #sodium  #proteinload  #processedfood  #bloodpressure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CKD / PKD patients</w:t>
            </w:r>
          </w:p>
        </w:tc>
        <w:tc>
          <w:tcPr>
            <w:tcW w:type="dxa" w:w="4276"/>
            <w:vAlign w:val="top"/>
          </w:tcPr>
          <w:p>
            <w:pPr>
              <w:spacing w:after="60" w:line="259" w:lineRule="auto"/>
            </w:pPr>
            <w:r>
              <w:rPr>
                <w:rFonts w:ascii="Calibri" w:hAnsi="Calibri"/>
                <w:b w:val="0"/>
                <w:i w:val="0"/>
                <w:color w:val="212121"/>
                <w:sz w:val="19"/>
              </w:rPr>
              <w:t>Inherited kidney disease (autosomal-dominant polycystic kidney disease, Alport syndrome) and a strong familial clustering of diabetes and hypertension markedly raise individual CKD risk.</w:t>
            </w:r>
          </w:p>
          <w:p>
            <w:pPr>
              <w:spacing w:after="40" w:before="60" w:line="259" w:lineRule="auto"/>
            </w:pPr>
            <w:r>
              <w:rPr>
                <w:rFonts w:ascii="Calibri" w:hAnsi="Calibri"/>
                <w:b w:val="0"/>
                <w:i w:val="0"/>
                <w:color w:val="212121"/>
                <w:sz w:val="19"/>
              </w:rPr>
              <w:t>CKD runs in families — having a close relative with kidney disease is an established risk factor for developing CKD.</w:t>
            </w:r>
          </w:p>
          <w:p>
            <w:pPr>
              <w:spacing w:after="40" w:line="252" w:lineRule="auto"/>
            </w:pPr>
            <w:hyperlink r:id="rId15">
              <w:r>
                <w:rPr>
                  <w:rFonts w:ascii="Calibri" w:hAnsi="Calibri" w:cs="Calibri"/>
                  <w:sz w:val="18"/>
                  <w:color w:val="1155CC"/>
                  <w:u w:val="single"/>
                </w:rPr>
                <w:t xml:space="preserve">cdc.gov — CKD risk factors</w:t>
              </w:r>
            </w:hyperlink>
          </w:p>
          <w:p>
            <w:pPr>
              <w:spacing w:before="60" w:after="40"/>
            </w:pPr>
            <w:r>
              <w:rPr>
                <w:rFonts w:ascii="Calibri" w:hAnsi="Calibri"/>
                <w:b w:val="0"/>
                <w:i w:val="0"/>
                <w:color w:val="5A5A5A"/>
                <w:sz w:val="18"/>
              </w:rPr>
              <w:t>#familyhistory  #pkd  #alport  #geneticrisk  #inherited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1 or type 2 diabetes</w:t>
            </w:r>
          </w:p>
        </w:tc>
        <w:tc>
          <w:tcPr>
            <w:tcW w:type="dxa" w:w="4276"/>
            <w:vAlign w:val="top"/>
          </w:tcPr>
          <w:p>
            <w:pPr>
              <w:spacing w:after="60" w:line="259" w:lineRule="auto"/>
            </w:pPr>
            <w:r>
              <w:rPr>
                <w:rFonts w:ascii="Calibri" w:hAnsi="Calibri"/>
                <w:b w:val="0"/>
                <w:i w:val="0"/>
                <w:color w:val="212121"/>
                <w:sz w:val="19"/>
              </w:rPr>
              <w:t>Diabetic nephropathy is the leading cause of CKD and ESKD; sustained hyperglycaemia damages the glomerular filtration barrier, and every year of poorly controlled diabetes adds to nephron loss.</w:t>
            </w:r>
          </w:p>
          <w:p>
            <w:pPr>
              <w:spacing w:after="40" w:before="60" w:line="259" w:lineRule="auto"/>
            </w:pPr>
            <w:r>
              <w:rPr>
                <w:rFonts w:ascii="Calibri" w:hAnsi="Calibri"/>
                <w:b w:val="0"/>
                <w:i w:val="0"/>
                <w:color w:val="212121"/>
                <w:sz w:val="19"/>
              </w:rPr>
              <w:t>About 4 in 10 (38%) adults with diabetes have CKD; the figure is ~49% in type 1 and ~41% in type 2 diabetes.</w:t>
            </w:r>
          </w:p>
          <w:p>
            <w:pPr>
              <w:spacing w:after="40" w:line="252" w:lineRule="auto"/>
            </w:pPr>
            <w:hyperlink r:id="rId10">
              <w:r>
                <w:rPr>
                  <w:rFonts w:ascii="Calibri" w:hAnsi="Calibri" w:cs="Calibri"/>
                  <w:sz w:val="18"/>
                  <w:color w:val="1155CC"/>
                  <w:u w:val="single"/>
                </w:rPr>
                <w:t xml:space="preserve">cdc.gov — CKD data &amp; statistics</w:t>
              </w:r>
            </w:hyperlink>
          </w:p>
          <w:p>
            <w:pPr>
              <w:spacing w:before="60" w:after="40"/>
            </w:pPr>
            <w:r>
              <w:rPr>
                <w:rFonts w:ascii="Calibri" w:hAnsi="Calibri"/>
                <w:b w:val="0"/>
                <w:i w:val="0"/>
                <w:color w:val="5A5A5A"/>
                <w:sz w:val="18"/>
              </w:rPr>
              <w:t>#diabetes  #diabeticnephropathy  #hyperglycemia  #leadingcause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chronic hypertension</w:t>
            </w:r>
          </w:p>
        </w:tc>
        <w:tc>
          <w:tcPr>
            <w:tcW w:type="dxa" w:w="4276"/>
            <w:vAlign w:val="top"/>
          </w:tcPr>
          <w:p>
            <w:pPr>
              <w:spacing w:after="60" w:line="259" w:lineRule="auto"/>
            </w:pPr>
            <w:r>
              <w:rPr>
                <w:rFonts w:ascii="Calibri" w:hAnsi="Calibri"/>
                <w:b w:val="0"/>
                <w:i w:val="0"/>
                <w:color w:val="212121"/>
                <w:sz w:val="19"/>
              </w:rPr>
              <w:t>High blood pressure damages renal arterioles and glomeruli and, in turn, failing kidneys retain salt and water and drive blood pressure higher — a self-reinforcing cycle that is the second commonest cause of CKD.</w:t>
            </w:r>
          </w:p>
          <w:p>
            <w:pPr>
              <w:spacing w:after="40" w:before="60" w:line="259" w:lineRule="auto"/>
            </w:pPr>
            <w:r>
              <w:rPr>
                <w:rFonts w:ascii="Calibri" w:hAnsi="Calibri"/>
                <w:b w:val="0"/>
                <w:i w:val="0"/>
                <w:color w:val="212121"/>
                <w:sz w:val="19"/>
              </w:rPr>
              <w:t>About 1 in 5 (21%) adults with high blood pressure have CKD; hypertension was present in 64.5% of the CKD group in SEEK-India.</w:t>
            </w:r>
          </w:p>
          <w:p>
            <w:pPr>
              <w:spacing w:after="40" w:line="252" w:lineRule="auto"/>
            </w:pPr>
            <w:hyperlink r:id="rId10">
              <w:r>
                <w:rPr>
                  <w:rFonts w:ascii="Calibri" w:hAnsi="Calibri" w:cs="Calibri"/>
                  <w:sz w:val="18"/>
                  <w:color w:val="1155CC"/>
                  <w:u w:val="single"/>
                </w:rPr>
                <w:t xml:space="preserve">cdc.gov — CKD data &amp; statistics</w:t>
              </w:r>
            </w:hyperlink>
          </w:p>
          <w:p>
            <w:pPr>
              <w:spacing w:before="60" w:after="40"/>
            </w:pPr>
            <w:r>
              <w:rPr>
                <w:rFonts w:ascii="Calibri" w:hAnsi="Calibri"/>
                <w:b w:val="0"/>
                <w:i w:val="0"/>
                <w:color w:val="5A5A5A"/>
                <w:sz w:val="18"/>
              </w:rPr>
              <w:t>#hypertension  #nephrosclerosis  #viciouscycle  #bloodpressure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Patients with heart failure / coronary disease</w:t>
            </w:r>
          </w:p>
        </w:tc>
        <w:tc>
          <w:tcPr>
            <w:tcW w:type="dxa" w:w="4276"/>
            <w:vAlign w:val="top"/>
          </w:tcPr>
          <w:p>
            <w:pPr>
              <w:spacing w:after="60" w:line="259" w:lineRule="auto"/>
            </w:pPr>
            <w:r>
              <w:rPr>
                <w:rFonts w:ascii="Calibri" w:hAnsi="Calibri"/>
                <w:b w:val="0"/>
                <w:i w:val="0"/>
                <w:color w:val="212121"/>
                <w:sz w:val="19"/>
              </w:rPr>
              <w:t>CKD and cardiovascular disease share risk factors and mechanisms; reduced cardiac output lowers renal perfusion (cardiorenal syndrome), while CKD accelerates atherosclerosis, so most CKD patients die of cardiovascular causes before reaching dialysis.</w:t>
            </w:r>
          </w:p>
          <w:p>
            <w:pPr>
              <w:spacing w:after="40" w:before="60" w:line="259" w:lineRule="auto"/>
            </w:pPr>
            <w:r>
              <w:rPr>
                <w:rFonts w:ascii="Calibri" w:hAnsi="Calibri"/>
                <w:b w:val="0"/>
                <w:i w:val="0"/>
                <w:color w:val="212121"/>
                <w:sz w:val="19"/>
              </w:rPr>
              <w:t>Cardiovascular disease is the leading complication and cause of death in CKD, driven by hypertension, fluid overload, anaemia and vascular calcification.</w:t>
            </w:r>
          </w:p>
          <w:p>
            <w:pPr>
              <w:spacing w:after="40" w:line="252" w:lineRule="auto"/>
            </w:pPr>
            <w:hyperlink r:id="rId16">
              <w:r>
                <w:rPr>
                  <w:rFonts w:ascii="Calibri" w:hAnsi="Calibri" w:cs="Calibri"/>
                  <w:sz w:val="18"/>
                  <w:color w:val="1155CC"/>
                  <w:u w:val="single"/>
                </w:rPr>
                <w:t xml:space="preserve">ncbi.nlm.nih.gov — StatPearls: CKD</w:t>
              </w:r>
            </w:hyperlink>
          </w:p>
          <w:p>
            <w:pPr>
              <w:spacing w:before="60" w:after="40"/>
            </w:pPr>
            <w:r>
              <w:rPr>
                <w:rFonts w:ascii="Calibri" w:hAnsi="Calibri"/>
                <w:b w:val="0"/>
                <w:i w:val="0"/>
                <w:color w:val="5A5A5A"/>
                <w:sz w:val="18"/>
              </w:rPr>
              <w:t>#cardiorenal  #cvd  #atherosclerosis  #vascularcalcification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AKI / kidney stones / obstruction</w:t>
            </w:r>
          </w:p>
        </w:tc>
        <w:tc>
          <w:tcPr>
            <w:tcW w:type="dxa" w:w="2160"/>
            <w:vAlign w:val="top"/>
          </w:tcPr>
          <w:p>
            <w:pPr>
              <w:spacing w:after="40" w:before="0" w:line="259" w:lineRule="auto"/>
            </w:pPr>
            <w:r>
              <w:rPr>
                <w:rFonts w:ascii="Calibri" w:hAnsi="Calibri"/>
                <w:b w:val="0"/>
                <w:i w:val="0"/>
                <w:color w:val="212121"/>
                <w:sz w:val="19"/>
              </w:rPr>
              <w:t>Repeated acute kidney injury, stone-formers, BPH</w:t>
            </w:r>
          </w:p>
        </w:tc>
        <w:tc>
          <w:tcPr>
            <w:tcW w:type="dxa" w:w="4276"/>
            <w:vAlign w:val="top"/>
          </w:tcPr>
          <w:p>
            <w:pPr>
              <w:spacing w:after="60" w:line="259" w:lineRule="auto"/>
            </w:pPr>
            <w:r>
              <w:rPr>
                <w:rFonts w:ascii="Calibri" w:hAnsi="Calibri"/>
                <w:b w:val="0"/>
                <w:i w:val="0"/>
                <w:color w:val="212121"/>
                <w:sz w:val="19"/>
              </w:rPr>
              <w:t>Each episode of acute kidney injury leaves residual nephron loss, and chronic obstruction from stones or prostatic enlargement produces back-pressure damage; recurrent insults are a major, often reversible pathway into CKD.</w:t>
            </w:r>
          </w:p>
          <w:p>
            <w:pPr>
              <w:spacing w:after="40" w:before="60" w:line="259" w:lineRule="auto"/>
            </w:pPr>
            <w:r>
              <w:rPr>
                <w:rFonts w:ascii="Calibri" w:hAnsi="Calibri"/>
                <w:b w:val="0"/>
                <w:i w:val="0"/>
                <w:color w:val="212121"/>
                <w:sz w:val="19"/>
              </w:rPr>
              <w:t>Acute kidney injury, kidney stones with complications and obstructive uropathy are recognised direct causes of chronic kidney disease.</w:t>
            </w:r>
          </w:p>
          <w:p>
            <w:pPr>
              <w:spacing w:after="40" w:line="252" w:lineRule="auto"/>
            </w:pPr>
            <w:hyperlink r:id="rId12">
              <w:r>
                <w:rPr>
                  <w:rFonts w:ascii="Calibri" w:hAnsi="Calibri" w:cs="Calibri"/>
                  <w:sz w:val="18"/>
                  <w:color w:val="1155CC"/>
                  <w:u w:val="single"/>
                </w:rPr>
                <w:t xml:space="preserve">niddk.nih.gov — Causes of CKD</w:t>
              </w:r>
            </w:hyperlink>
          </w:p>
          <w:p>
            <w:pPr>
              <w:spacing w:before="60" w:after="40"/>
            </w:pPr>
            <w:r>
              <w:rPr>
                <w:rFonts w:ascii="Calibri" w:hAnsi="Calibri"/>
                <w:b w:val="0"/>
                <w:i w:val="0"/>
                <w:color w:val="5A5A5A"/>
                <w:sz w:val="18"/>
              </w:rPr>
              <w:t>#aki  #kidneystones  #obstruction  #bph  #refluxnephropathy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Obesity and physical inactivity drive hypertension, type 2 diabetes and obesity-related glomerulopathy — the dominant pathways to CKD. Regular activity improves blood-pressure and glycaemic control and is a core prevention measure; sedentary weight gain accelerates proteinuria and GFR decline.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High-salt, high-animal-protein and ultra-processed diets raise blood pressure and glomerular filtration pressure and worsen proteinuria; lowering sodium and eating more fruit and vegetables are established measures to protect the kidneys.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sleep, poor sleep quality and obstructive sleep apnoea are associated with hypertension, albuminuria and faster GFR decline; sleep disturbance is also a common uraemic symptom in advanced CKD.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causes endothelial dysfunction, raises blood pressure and albuminuria and accelerates progression to kidney failure; cessation slows decline, and stopping smoking is a standard CKD-prevention recommendation.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raises blood pressure and worsens glycaemic and lipid control, indirectly accelerating hypertensive and diabetic kidney damage; very high intake can also cause acute volume and electrolyte disturbance.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chronic stress are common in CKD (bidirectional), reduce adherence to medication, diet and dialysis, and are linked to faster progression, more hospitalisation and higher mortality.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recurrent dehydration and heat stress are central to CKD of undetermined aetiology in Indian agricultural belts (Uddanam); adequate but not excessive hydration also reduces recurrence in stone-formers. In advanced CKD, however, fluid must be restricted to match reduced excretory capacity.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caffeine/coffee intake has not been convincingly linked to CKD onset or progression; effects on blood pressure are small and transient, and evidence for a meaningful independent role is weak.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personal and environmental hygiene increases recurrent urinary and skin infections, which can contribute to obstructive/reflux and infection-related kidney damage; direct impact on most CKD is modest.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Nephrotoxic exposures — NSAIDs, aminoglycosides, iodinated contrast, and unregulated herbal/heavy-metal remedies — plus dehydration, sepsis and obstruction precipitate acute-on-chronic decline and are major avoidable triggers of progression in established CKD.</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(Asian-Indian cut-offs)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Excess weight drives hypertension, diabetes and obesity-related glomerulopathy</w:t>
            </w:r>
          </w:p>
          <w:p>
            <w:pPr>
              <w:spacing w:after="40" w:line="252" w:lineRule="auto"/>
            </w:pPr>
            <w:hyperlink r:id="rId15">
              <w:r>
                <w:rPr>
                  <w:rFonts w:ascii="Calibri" w:hAnsi="Calibri" w:cs="Calibri"/>
                  <w:sz w:val="18"/>
                  <w:color w:val="1155CC"/>
                  <w:u w:val="single"/>
                </w:rPr>
                <w:t xml:space="preserve">https://www.cdc.gov/kidney-disease/risk-factors/index.html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Central adiposity marks metabolic syndrome and renal risk</w:t>
            </w:r>
          </w:p>
          <w:p>
            <w:pPr>
              <w:spacing w:after="40" w:line="252" w:lineRule="auto"/>
            </w:pPr>
            <w:hyperlink r:id="rId12">
              <w:r>
                <w:rPr>
                  <w:rFonts w:ascii="Calibri" w:hAnsi="Calibri" w:cs="Calibri"/>
                  <w:sz w:val="18"/>
                  <w:color w:val="1155CC"/>
                  <w:u w:val="single"/>
                </w:rPr>
                <w:t xml:space="preserve">https://www.niddk.nih.gov/health-information/kidney-disease/chronic-kidney-disease-ckd/causes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sedentary workers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Activity improves blood-pressure and glycaemic control</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Adults, CKD, diabetics</w:t>
            </w:r>
          </w:p>
        </w:tc>
        <w:tc>
          <w:tcPr>
            <w:tcW w:type="dxa" w:w="1512"/>
            <w:vAlign w:val="top"/>
          </w:tcPr>
          <w:p>
            <w:pPr>
              <w:spacing w:after="40" w:before="0" w:line="259" w:lineRule="auto"/>
            </w:pPr>
            <w:r>
              <w:rPr>
                <w:rFonts w:ascii="Calibri" w:hAnsi="Calibri"/>
                <w:b w:val="0"/>
                <w:i w:val="0"/>
                <w:color w:val="212121"/>
                <w:sz w:val="19"/>
              </w:rPr>
              <w:t>&lt; 130/80 mmHg</w:t>
            </w:r>
          </w:p>
        </w:tc>
        <w:tc>
          <w:tcPr>
            <w:tcW w:type="dxa" w:w="1512"/>
            <w:vAlign w:val="top"/>
          </w:tcPr>
          <w:p>
            <w:pPr>
              <w:spacing w:after="40" w:before="0" w:line="259" w:lineRule="auto"/>
            </w:pPr>
            <w:r>
              <w:rPr>
                <w:rFonts w:ascii="Calibri" w:hAnsi="Calibri"/>
                <w:b w:val="0"/>
                <w:i w:val="0"/>
                <w:color w:val="212121"/>
                <w:sz w:val="19"/>
              </w:rPr>
              <w:t>≥ 140/90 mmHg (or ≥ 130/80 with albuminuria)</w:t>
            </w:r>
          </w:p>
        </w:tc>
        <w:tc>
          <w:tcPr>
            <w:tcW w:type="dxa" w:w="1468"/>
            <w:vAlign w:val="top"/>
          </w:tcPr>
          <w:p>
            <w:pPr>
              <w:spacing w:after="60" w:line="259" w:lineRule="auto"/>
            </w:pPr>
            <w:r>
              <w:rPr>
                <w:rFonts w:ascii="Calibri" w:hAnsi="Calibri"/>
                <w:b w:val="0"/>
                <w:i w:val="0"/>
                <w:color w:val="212121"/>
                <w:sz w:val="19"/>
              </w:rPr>
              <w:t>BP control is the single most important measure to slow CKD</w:t>
            </w:r>
          </w:p>
          <w:p>
            <w:pPr>
              <w:spacing w:after="40" w:line="252" w:lineRule="auto"/>
            </w:pPr>
            <w:hyperlink r:id="rId14">
              <w:r>
                <w:rPr>
                  <w:rFonts w:ascii="Calibri" w:hAnsi="Calibri" w:cs="Calibri"/>
                  <w:sz w:val="18"/>
                  <w:color w:val="1155CC"/>
                  <w:u w:val="single"/>
                </w:rPr>
                <w:t xml:space="preserve">https://www.cdc.gov/kidney-disease/prevention/index.html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salt / sodium (per day)</w:t>
            </w:r>
          </w:p>
        </w:tc>
        <w:tc>
          <w:tcPr>
            <w:tcW w:type="dxa" w:w="1655"/>
            <w:vAlign w:val="top"/>
          </w:tcPr>
          <w:p>
            <w:pPr>
              <w:spacing w:after="40" w:before="0" w:line="259" w:lineRule="auto"/>
            </w:pPr>
            <w:r>
              <w:rPr>
                <w:rFonts w:ascii="Calibri" w:hAnsi="Calibri"/>
                <w:b w:val="0"/>
                <w:i w:val="0"/>
                <w:color w:val="212121"/>
                <w:sz w:val="19"/>
              </w:rPr>
              <w:t>Adults, hypertensives, CKD</w:t>
            </w:r>
          </w:p>
        </w:tc>
        <w:tc>
          <w:tcPr>
            <w:tcW w:type="dxa" w:w="1512"/>
            <w:vAlign w:val="top"/>
          </w:tcPr>
          <w:p>
            <w:pPr>
              <w:spacing w:after="40" w:before="0" w:line="259" w:lineRule="auto"/>
            </w:pPr>
            <w:r>
              <w:rPr>
                <w:rFonts w:ascii="Calibri" w:hAnsi="Calibri"/>
                <w:b w:val="0"/>
                <w:i w:val="0"/>
                <w:color w:val="212121"/>
                <w:sz w:val="19"/>
              </w:rPr>
              <w:t>&lt; 5 g salt (&lt; 2 g sodium)/day</w:t>
            </w:r>
          </w:p>
        </w:tc>
        <w:tc>
          <w:tcPr>
            <w:tcW w:type="dxa" w:w="1512"/>
            <w:vAlign w:val="top"/>
          </w:tcPr>
          <w:p>
            <w:pPr>
              <w:spacing w:after="40" w:before="0" w:line="259" w:lineRule="auto"/>
            </w:pPr>
            <w:r>
              <w:rPr>
                <w:rFonts w:ascii="Calibri" w:hAnsi="Calibri"/>
                <w:b w:val="0"/>
                <w:i w:val="0"/>
                <w:color w:val="212121"/>
                <w:sz w:val="19"/>
              </w:rPr>
              <w:t>&gt; 5 g salt/day</w:t>
            </w:r>
          </w:p>
        </w:tc>
        <w:tc>
          <w:tcPr>
            <w:tcW w:type="dxa" w:w="1468"/>
            <w:vAlign w:val="top"/>
          </w:tcPr>
          <w:p>
            <w:pPr>
              <w:spacing w:after="60" w:line="259" w:lineRule="auto"/>
            </w:pPr>
            <w:r>
              <w:rPr>
                <w:rFonts w:ascii="Calibri" w:hAnsi="Calibri"/>
                <w:b w:val="0"/>
                <w:i w:val="0"/>
                <w:color w:val="212121"/>
                <w:sz w:val="19"/>
              </w:rPr>
              <w:t>High salt raises BP and proteinuria</w:t>
            </w:r>
          </w:p>
          <w:p>
            <w:pPr>
              <w:spacing w:after="40" w:line="252" w:lineRule="auto"/>
            </w:pPr>
            <w:hyperlink r:id="rId14">
              <w:r>
                <w:rPr>
                  <w:rFonts w:ascii="Calibri" w:hAnsi="Calibri" w:cs="Calibri"/>
                  <w:sz w:val="18"/>
                  <w:color w:val="1155CC"/>
                  <w:u w:val="single"/>
                </w:rPr>
                <w:t xml:space="preserve">https://www.cdc.gov/kidney-disease/prevention/index.html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(g/kg/day)</w:t>
            </w:r>
          </w:p>
        </w:tc>
        <w:tc>
          <w:tcPr>
            <w:tcW w:type="dxa" w:w="1655"/>
            <w:vAlign w:val="top"/>
          </w:tcPr>
          <w:p>
            <w:pPr>
              <w:spacing w:after="40" w:before="0" w:line="259" w:lineRule="auto"/>
            </w:pPr>
            <w:r>
              <w:rPr>
                <w:rFonts w:ascii="Calibri" w:hAnsi="Calibri"/>
                <w:b w:val="0"/>
                <w:i w:val="0"/>
                <w:color w:val="212121"/>
                <w:sz w:val="19"/>
              </w:rPr>
              <w:t>Non-dialysis CKD adults</w:t>
            </w:r>
          </w:p>
        </w:tc>
        <w:tc>
          <w:tcPr>
            <w:tcW w:type="dxa" w:w="1512"/>
            <w:vAlign w:val="top"/>
          </w:tcPr>
          <w:p>
            <w:pPr>
              <w:spacing w:after="40" w:before="0" w:line="259" w:lineRule="auto"/>
            </w:pPr>
            <w:r>
              <w:rPr>
                <w:rFonts w:ascii="Calibri" w:hAnsi="Calibri"/>
                <w:b w:val="0"/>
                <w:i w:val="0"/>
                <w:color w:val="212121"/>
                <w:sz w:val="19"/>
              </w:rPr>
              <w:t>~0.8 g/kg/day</w:t>
            </w:r>
          </w:p>
        </w:tc>
        <w:tc>
          <w:tcPr>
            <w:tcW w:type="dxa" w:w="1512"/>
            <w:vAlign w:val="top"/>
          </w:tcPr>
          <w:p>
            <w:pPr>
              <w:spacing w:after="40" w:before="0" w:line="259" w:lineRule="auto"/>
            </w:pPr>
            <w:r>
              <w:rPr>
                <w:rFonts w:ascii="Calibri" w:hAnsi="Calibri"/>
                <w:b w:val="0"/>
                <w:i w:val="0"/>
                <w:color w:val="212121"/>
                <w:sz w:val="19"/>
              </w:rPr>
              <w:t>&gt; 1.3 g/kg/day (habitual high protein)</w:t>
            </w:r>
          </w:p>
        </w:tc>
        <w:tc>
          <w:tcPr>
            <w:tcW w:type="dxa" w:w="1468"/>
            <w:vAlign w:val="top"/>
          </w:tcPr>
          <w:p>
            <w:pPr>
              <w:spacing w:after="40" w:before="0" w:line="259" w:lineRule="auto"/>
            </w:pPr>
            <w:r>
              <w:rPr>
                <w:rFonts w:ascii="Calibri" w:hAnsi="Calibri"/>
                <w:b w:val="0"/>
                <w:i w:val="0"/>
                <w:color w:val="212121"/>
                <w:sz w:val="19"/>
              </w:rPr>
              <w:t>Excess protein increases glomerular workload; individualise, avoid malnutrition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Diabetics at renal risk</w:t>
            </w:r>
          </w:p>
        </w:tc>
        <w:tc>
          <w:tcPr>
            <w:tcW w:type="dxa" w:w="1512"/>
            <w:vAlign w:val="top"/>
          </w:tcPr>
          <w:p>
            <w:pPr>
              <w:spacing w:after="40" w:before="0" w:line="259" w:lineRule="auto"/>
            </w:pPr>
            <w:r>
              <w:rPr>
                <w:rFonts w:ascii="Calibri" w:hAnsi="Calibri"/>
                <w:b w:val="0"/>
                <w:i w:val="0"/>
                <w:color w:val="212121"/>
                <w:sz w:val="19"/>
              </w:rPr>
              <w:t>&lt; 7.0 %</w:t>
            </w:r>
          </w:p>
        </w:tc>
        <w:tc>
          <w:tcPr>
            <w:tcW w:type="dxa" w:w="1512"/>
            <w:vAlign w:val="top"/>
          </w:tcPr>
          <w:p>
            <w:pPr>
              <w:spacing w:after="40" w:before="0" w:line="259" w:lineRule="auto"/>
            </w:pPr>
            <w:r>
              <w:rPr>
                <w:rFonts w:ascii="Calibri" w:hAnsi="Calibri"/>
                <w:b w:val="0"/>
                <w:i w:val="0"/>
                <w:color w:val="212121"/>
                <w:sz w:val="19"/>
              </w:rPr>
              <w:t>≥ 7.0 % (individualise in advanced CKD)</w:t>
            </w:r>
          </w:p>
        </w:tc>
        <w:tc>
          <w:tcPr>
            <w:tcW w:type="dxa" w:w="1468"/>
            <w:vAlign w:val="top"/>
          </w:tcPr>
          <w:p>
            <w:pPr>
              <w:spacing w:after="60" w:line="259" w:lineRule="auto"/>
            </w:pPr>
            <w:r>
              <w:rPr>
                <w:rFonts w:ascii="Calibri" w:hAnsi="Calibri"/>
                <w:b w:val="0"/>
                <w:i w:val="0"/>
                <w:color w:val="212121"/>
                <w:sz w:val="19"/>
              </w:rPr>
              <w:t>Glycaemic control slows diabetic nephropathy</w:t>
            </w:r>
          </w:p>
          <w:p>
            <w:pPr>
              <w:spacing w:after="40" w:line="252" w:lineRule="auto"/>
            </w:pPr>
            <w:hyperlink r:id="rId17">
              <w:r>
                <w:rPr>
                  <w:rFonts w:ascii="Calibri" w:hAnsi="Calibri" w:cs="Calibri"/>
                  <w:sz w:val="18"/>
                  <w:color w:val="1155CC"/>
                  <w:u w:val="single"/>
                </w:rPr>
                <w:t xml:space="preserve">https://www.who.int/news-room/fact-sheets/detail/diabetes</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 or fragmented sleep / untreated OSA</w:t>
            </w:r>
          </w:p>
        </w:tc>
        <w:tc>
          <w:tcPr>
            <w:tcW w:type="dxa" w:w="1468"/>
            <w:vAlign w:val="top"/>
          </w:tcPr>
          <w:p>
            <w:pPr>
              <w:spacing w:after="40" w:before="0" w:line="259" w:lineRule="auto"/>
            </w:pPr>
            <w:r>
              <w:rPr>
                <w:rFonts w:ascii="Calibri" w:hAnsi="Calibri"/>
                <w:b w:val="0"/>
                <w:i w:val="0"/>
                <w:color w:val="212121"/>
                <w:sz w:val="19"/>
              </w:rPr>
              <w:t>Poor sleep and OSA raise BP and albuminuria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Adults, diabetics, CKD</w:t>
            </w:r>
          </w:p>
        </w:tc>
        <w:tc>
          <w:tcPr>
            <w:tcW w:type="dxa" w:w="1512"/>
            <w:vAlign w:val="top"/>
          </w:tcPr>
          <w:p>
            <w:pPr>
              <w:spacing w:after="40" w:before="0" w:line="259" w:lineRule="auto"/>
            </w:pPr>
            <w:r>
              <w:rPr>
                <w:rFonts w:ascii="Calibri" w:hAnsi="Calibri"/>
                <w:b w:val="0"/>
                <w:i w:val="0"/>
                <w:color w:val="212121"/>
                <w:sz w:val="19"/>
              </w:rPr>
              <w:t>0 (non-user)</w:t>
            </w:r>
          </w:p>
        </w:tc>
        <w:tc>
          <w:tcPr>
            <w:tcW w:type="dxa" w:w="1512"/>
            <w:vAlign w:val="top"/>
          </w:tcPr>
          <w:p>
            <w:pPr>
              <w:spacing w:after="40" w:before="0" w:line="259" w:lineRule="auto"/>
            </w:pPr>
            <w:r>
              <w:rPr>
                <w:rFonts w:ascii="Calibri" w:hAnsi="Calibri"/>
                <w:b w:val="0"/>
                <w:i w:val="0"/>
                <w:color w:val="212121"/>
                <w:sz w:val="19"/>
              </w:rPr>
              <w:t>≥ 1 cigarette/day or any smokeless tobacco</w:t>
            </w:r>
          </w:p>
        </w:tc>
        <w:tc>
          <w:tcPr>
            <w:tcW w:type="dxa" w:w="1468"/>
            <w:vAlign w:val="top"/>
          </w:tcPr>
          <w:p>
            <w:pPr>
              <w:spacing w:after="60" w:line="259" w:lineRule="auto"/>
            </w:pPr>
            <w:r>
              <w:rPr>
                <w:rFonts w:ascii="Calibri" w:hAnsi="Calibri"/>
                <w:b w:val="0"/>
                <w:i w:val="0"/>
                <w:color w:val="212121"/>
                <w:sz w:val="19"/>
              </w:rPr>
              <w:t>Any tobacco accelerates albuminuria and GFR decline</w:t>
            </w:r>
          </w:p>
          <w:p>
            <w:pPr>
              <w:spacing w:after="40" w:line="252" w:lineRule="auto"/>
            </w:pPr>
            <w:hyperlink r:id="rId13">
              <w:r>
                <w:rPr>
                  <w:rFonts w:ascii="Calibri" w:hAnsi="Calibri" w:cs="Calibri"/>
                  <w:sz w:val="18"/>
                  <w:color w:val="1155CC"/>
                  <w:u w:val="single"/>
                </w:rPr>
                <w:t xml:space="preserve">https://www.kidney.org/kidney-topics/chronic-kidney-disease-ckd</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14 drinks/week (less is better)</w:t>
            </w:r>
          </w:p>
        </w:tc>
        <w:tc>
          <w:tcPr>
            <w:tcW w:type="dxa" w:w="1512"/>
            <w:vAlign w:val="top"/>
          </w:tcPr>
          <w:p>
            <w:pPr>
              <w:spacing w:after="40" w:before="0" w:line="259" w:lineRule="auto"/>
            </w:pPr>
            <w:r>
              <w:rPr>
                <w:rFonts w:ascii="Calibri" w:hAnsi="Calibri"/>
                <w:b w:val="0"/>
                <w:i w:val="0"/>
                <w:color w:val="212121"/>
                <w:sz w:val="19"/>
              </w:rPr>
              <w:t>&gt; 14 drinks/week / binge drinking</w:t>
            </w:r>
          </w:p>
        </w:tc>
        <w:tc>
          <w:tcPr>
            <w:tcW w:type="dxa" w:w="1468"/>
            <w:vAlign w:val="top"/>
          </w:tcPr>
          <w:p>
            <w:pPr>
              <w:spacing w:after="40" w:before="0" w:line="259" w:lineRule="auto"/>
            </w:pPr>
            <w:r>
              <w:rPr>
                <w:rFonts w:ascii="Calibri" w:hAnsi="Calibri"/>
                <w:b w:val="0"/>
                <w:i w:val="0"/>
                <w:color w:val="212121"/>
                <w:sz w:val="19"/>
              </w:rPr>
              <w:t>Heavy intake raises BP and worsens metabolic control</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Early CKD, stone-formers, outdoor/heat workers</w:t>
            </w:r>
          </w:p>
        </w:tc>
        <w:tc>
          <w:tcPr>
            <w:tcW w:type="dxa" w:w="1512"/>
            <w:vAlign w:val="top"/>
          </w:tcPr>
          <w:p>
            <w:pPr>
              <w:spacing w:after="40" w:before="0" w:line="259" w:lineRule="auto"/>
            </w:pPr>
            <w:r>
              <w:rPr>
                <w:rFonts w:ascii="Calibri" w:hAnsi="Calibri"/>
                <w:b w:val="0"/>
                <w:i w:val="0"/>
                <w:color w:val="212121"/>
                <w:sz w:val="19"/>
              </w:rPr>
              <w:t>~2–2.5 L/day (unless restricted)</w:t>
            </w:r>
          </w:p>
        </w:tc>
        <w:tc>
          <w:tcPr>
            <w:tcW w:type="dxa" w:w="1512"/>
            <w:vAlign w:val="top"/>
          </w:tcPr>
          <w:p>
            <w:pPr>
              <w:spacing w:after="40" w:before="0" w:line="259" w:lineRule="auto"/>
            </w:pPr>
            <w:r>
              <w:rPr>
                <w:rFonts w:ascii="Calibri" w:hAnsi="Calibri"/>
                <w:b w:val="0"/>
                <w:i w:val="0"/>
                <w:color w:val="212121"/>
                <w:sz w:val="19"/>
              </w:rPr>
              <w:t>Chronic under-hydration in heat; or overload in advanced CKD</w:t>
            </w:r>
          </w:p>
        </w:tc>
        <w:tc>
          <w:tcPr>
            <w:tcW w:type="dxa" w:w="1468"/>
            <w:vAlign w:val="top"/>
          </w:tcPr>
          <w:p>
            <w:pPr>
              <w:spacing w:after="40" w:before="0" w:line="259" w:lineRule="auto"/>
            </w:pPr>
            <w:r>
              <w:rPr>
                <w:rFonts w:ascii="Calibri" w:hAnsi="Calibri"/>
                <w:b w:val="0"/>
                <w:i w:val="0"/>
                <w:color w:val="212121"/>
                <w:sz w:val="19"/>
              </w:rPr>
              <w:t>Avoid dehydration in CKDu-risk work; restrict fluid in oliguric CKD</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eGFR (mL/min/1.73 m²)</w:t>
            </w:r>
          </w:p>
        </w:tc>
        <w:tc>
          <w:tcPr>
            <w:tcW w:type="dxa" w:w="1655"/>
            <w:vAlign w:val="top"/>
          </w:tcPr>
          <w:p>
            <w:pPr>
              <w:spacing w:after="40" w:before="0" w:line="259" w:lineRule="auto"/>
            </w:pPr>
            <w:r>
              <w:rPr>
                <w:rFonts w:ascii="Calibri" w:hAnsi="Calibri"/>
                <w:b w:val="0"/>
                <w:i w:val="0"/>
                <w:color w:val="212121"/>
                <w:sz w:val="19"/>
              </w:rPr>
              <w:t>At-risk &amp; known CKD adults</w:t>
            </w:r>
          </w:p>
        </w:tc>
        <w:tc>
          <w:tcPr>
            <w:tcW w:type="dxa" w:w="1512"/>
            <w:vAlign w:val="top"/>
          </w:tcPr>
          <w:p>
            <w:pPr>
              <w:spacing w:after="40" w:before="0" w:line="259" w:lineRule="auto"/>
            </w:pPr>
            <w:r>
              <w:rPr>
                <w:rFonts w:ascii="Calibri" w:hAnsi="Calibri"/>
                <w:b w:val="0"/>
                <w:i w:val="0"/>
                <w:color w:val="212121"/>
                <w:sz w:val="19"/>
              </w:rPr>
              <w:t>≥ 90 (with no damage markers)</w:t>
            </w:r>
          </w:p>
        </w:tc>
        <w:tc>
          <w:tcPr>
            <w:tcW w:type="dxa" w:w="1512"/>
            <w:vAlign w:val="top"/>
          </w:tcPr>
          <w:p>
            <w:pPr>
              <w:spacing w:after="40" w:before="0" w:line="259" w:lineRule="auto"/>
            </w:pPr>
            <w:r>
              <w:rPr>
                <w:rFonts w:ascii="Calibri" w:hAnsi="Calibri"/>
                <w:b w:val="0"/>
                <w:i w:val="0"/>
                <w:color w:val="212121"/>
                <w:sz w:val="19"/>
              </w:rPr>
              <w:t>&lt; 60 sustained ≥ 3 months</w:t>
            </w:r>
          </w:p>
        </w:tc>
        <w:tc>
          <w:tcPr>
            <w:tcW w:type="dxa" w:w="1468"/>
            <w:vAlign w:val="top"/>
          </w:tcPr>
          <w:p>
            <w:pPr>
              <w:spacing w:after="60" w:line="259" w:lineRule="auto"/>
            </w:pPr>
            <w:r>
              <w:rPr>
                <w:rFonts w:ascii="Calibri" w:hAnsi="Calibri"/>
                <w:b w:val="0"/>
                <w:i w:val="0"/>
                <w:color w:val="212121"/>
                <w:sz w:val="19"/>
              </w:rPr>
              <w:t>Core diagnostic and staging parameter for CKD</w:t>
            </w:r>
          </w:p>
          <w:p>
            <w:pPr>
              <w:spacing w:after="40" w:line="252" w:lineRule="auto"/>
            </w:pPr>
            <w:hyperlink r:id="rId18">
              <w:r>
                <w:rPr>
                  <w:rFonts w:ascii="Calibri" w:hAnsi="Calibri" w:cs="Calibri"/>
                  <w:sz w:val="18"/>
                  <w:color w:val="1155CC"/>
                  <w:u w:val="single"/>
                </w:rPr>
                <w:t xml:space="preserve">https://www.kidney.org/atoz/content/gfr</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estimated 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eGFR ≥ 90 mL/min/1.73 m²</w:t>
            </w:r>
          </w:p>
        </w:tc>
        <w:tc>
          <w:tcPr>
            <w:tcW w:type="dxa" w:w="950"/>
            <w:vAlign w:val="top"/>
          </w:tcPr>
          <w:p>
            <w:pPr>
              <w:spacing w:after="40" w:before="0" w:line="259" w:lineRule="auto"/>
            </w:pPr>
            <w:r>
              <w:rPr>
                <w:rFonts w:ascii="Calibri" w:hAnsi="Calibri"/>
                <w:b w:val="0"/>
                <w:i w:val="0"/>
                <w:color w:val="212121"/>
                <w:sz w:val="16"/>
              </w:rPr>
              <w:t>eGFR &lt; 60 mL/min/1.73 m² for ≥ 3 months</w:t>
            </w:r>
          </w:p>
        </w:tc>
        <w:tc>
          <w:tcPr>
            <w:tcW w:type="dxa" w:w="1036"/>
            <w:vAlign w:val="top"/>
          </w:tcPr>
          <w:p>
            <w:pPr>
              <w:spacing w:after="40" w:before="0" w:line="259" w:lineRule="auto"/>
            </w:pPr>
            <w:r>
              <w:rPr>
                <w:rFonts w:ascii="Calibri" w:hAnsi="Calibri"/>
                <w:b w:val="0"/>
                <w:i w:val="0"/>
                <w:color w:val="212121"/>
                <w:sz w:val="16"/>
              </w:rPr>
              <w:t>Defines and stages CKD (G1–G5); confirm on repeat to exclude AKI</w:t>
            </w:r>
          </w:p>
        </w:tc>
        <w:tc>
          <w:tcPr>
            <w:tcW w:type="dxa" w:w="1036"/>
            <w:vAlign w:val="top"/>
          </w:tcPr>
          <w:p>
            <w:pPr>
              <w:spacing w:after="40" w:before="0" w:line="259" w:lineRule="auto"/>
            </w:pPr>
            <w:r>
              <w:rPr>
                <w:rFonts w:ascii="Calibri" w:hAnsi="Calibri"/>
                <w:b w:val="0"/>
                <w:i w:val="0"/>
                <w:color w:val="212121"/>
                <w:sz w:val="16"/>
              </w:rPr>
              <w:t>All at-risk adults, diabetics, hypertensives, elderly</w:t>
            </w:r>
          </w:p>
        </w:tc>
        <w:tc>
          <w:tcPr>
            <w:tcW w:type="dxa" w:w="720"/>
            <w:vAlign w:val="top"/>
          </w:tcPr>
          <w:p>
            <w:pPr>
              <w:spacing w:after="40" w:before="0" w:line="259" w:lineRule="auto"/>
            </w:pPr>
            <w:r>
              <w:rPr>
                <w:rFonts w:ascii="Calibri" w:hAnsi="Calibri"/>
                <w:b w:val="0"/>
                <w:i w:val="0"/>
                <w:color w:val="212121"/>
                <w:sz w:val="16"/>
              </w:rPr>
              <w:t>Food; Physical activity;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Use CKD-EPI/MDRD; interpret with clinical context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Urine</w:t>
            </w:r>
          </w:p>
        </w:tc>
        <w:tc>
          <w:tcPr>
            <w:tcW w:type="dxa" w:w="1036"/>
            <w:vAlign w:val="top"/>
          </w:tcPr>
          <w:p>
            <w:pPr>
              <w:spacing w:after="40" w:before="0" w:line="259" w:lineRule="auto"/>
            </w:pPr>
            <w:r>
              <w:rPr>
                <w:rFonts w:ascii="Calibri" w:hAnsi="Calibri"/>
                <w:b w:val="0"/>
                <w:i w:val="0"/>
                <w:color w:val="212121"/>
                <w:sz w:val="16"/>
              </w:rPr>
              <w:t>Urine albumin-to-creatinine ratio (ACR)</w:t>
            </w:r>
          </w:p>
        </w:tc>
        <w:tc>
          <w:tcPr>
            <w:tcW w:type="dxa" w:w="892"/>
            <w:vAlign w:val="top"/>
          </w:tcPr>
          <w:p>
            <w:pPr>
              <w:spacing w:after="40" w:before="0" w:line="259" w:lineRule="auto"/>
            </w:pPr>
            <w:r>
              <w:rPr>
                <w:rFonts w:ascii="Calibri" w:hAnsi="Calibri"/>
                <w:b w:val="0"/>
                <w:i w:val="0"/>
                <w:color w:val="212121"/>
                <w:sz w:val="16"/>
              </w:rPr>
              <w:t>Urine Test</w:t>
            </w:r>
          </w:p>
        </w:tc>
        <w:tc>
          <w:tcPr>
            <w:tcW w:type="dxa" w:w="950"/>
            <w:vAlign w:val="top"/>
          </w:tcPr>
          <w:p>
            <w:pPr>
              <w:spacing w:after="40" w:before="0" w:line="259" w:lineRule="auto"/>
            </w:pPr>
            <w:r>
              <w:rPr>
                <w:rFonts w:ascii="Calibri" w:hAnsi="Calibri"/>
                <w:b w:val="0"/>
                <w:i w:val="0"/>
                <w:color w:val="212121"/>
                <w:sz w:val="16"/>
              </w:rPr>
              <w:t>&lt; 30 mg/g (A1)</w:t>
            </w:r>
          </w:p>
        </w:tc>
        <w:tc>
          <w:tcPr>
            <w:tcW w:type="dxa" w:w="950"/>
            <w:vAlign w:val="top"/>
          </w:tcPr>
          <w:p>
            <w:pPr>
              <w:spacing w:after="40" w:before="0" w:line="259" w:lineRule="auto"/>
            </w:pPr>
            <w:r>
              <w:rPr>
                <w:rFonts w:ascii="Calibri" w:hAnsi="Calibri"/>
                <w:b w:val="0"/>
                <w:i w:val="0"/>
                <w:color w:val="212121"/>
                <w:sz w:val="16"/>
              </w:rPr>
              <w:t>30–300 mg/g (A2); &gt; 300 mg/g (A3)</w:t>
            </w:r>
          </w:p>
        </w:tc>
        <w:tc>
          <w:tcPr>
            <w:tcW w:type="dxa" w:w="1036"/>
            <w:vAlign w:val="top"/>
          </w:tcPr>
          <w:p>
            <w:pPr>
              <w:spacing w:after="40" w:before="0" w:line="259" w:lineRule="auto"/>
            </w:pPr>
            <w:r>
              <w:rPr>
                <w:rFonts w:ascii="Calibri" w:hAnsi="Calibri"/>
                <w:b w:val="0"/>
                <w:i w:val="0"/>
                <w:color w:val="212121"/>
                <w:sz w:val="16"/>
              </w:rPr>
              <w:t>Earliest marker of kidney damage; grades albuminuria and prognosis</w:t>
            </w:r>
          </w:p>
        </w:tc>
        <w:tc>
          <w:tcPr>
            <w:tcW w:type="dxa" w:w="1036"/>
            <w:vAlign w:val="top"/>
          </w:tcPr>
          <w:p>
            <w:pPr>
              <w:spacing w:after="40" w:before="0" w:line="259" w:lineRule="auto"/>
            </w:pPr>
            <w:r>
              <w:rPr>
                <w:rFonts w:ascii="Calibri" w:hAnsi="Calibri"/>
                <w:b w:val="0"/>
                <w:i w:val="0"/>
                <w:color w:val="212121"/>
                <w:sz w:val="16"/>
              </w:rPr>
              <w:t>Diabetics, hypertensives, CKD</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Early-morning spot sample preferred; confirm persistence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urea / BUN</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Urea 15–40 mg/dL</w:t>
            </w:r>
          </w:p>
        </w:tc>
        <w:tc>
          <w:tcPr>
            <w:tcW w:type="dxa" w:w="950"/>
            <w:vAlign w:val="top"/>
          </w:tcPr>
          <w:p>
            <w:pPr>
              <w:spacing w:after="40" w:before="0" w:line="259" w:lineRule="auto"/>
            </w:pPr>
            <w:r>
              <w:rPr>
                <w:rFonts w:ascii="Calibri" w:hAnsi="Calibri"/>
                <w:b w:val="0"/>
                <w:i w:val="0"/>
                <w:color w:val="212121"/>
                <w:sz w:val="16"/>
              </w:rPr>
              <w:t>Rising / persistently elevated</w:t>
            </w:r>
          </w:p>
        </w:tc>
        <w:tc>
          <w:tcPr>
            <w:tcW w:type="dxa" w:w="1036"/>
            <w:vAlign w:val="top"/>
          </w:tcPr>
          <w:p>
            <w:pPr>
              <w:spacing w:after="40" w:before="0" w:line="259" w:lineRule="auto"/>
            </w:pPr>
            <w:r>
              <w:rPr>
                <w:rFonts w:ascii="Calibri" w:hAnsi="Calibri"/>
                <w:b w:val="0"/>
                <w:i w:val="0"/>
                <w:color w:val="212121"/>
                <w:sz w:val="16"/>
              </w:rPr>
              <w:t>Reflects nitrogenous-waste retention; rises as GFR falls</w:t>
            </w:r>
          </w:p>
        </w:tc>
        <w:tc>
          <w:tcPr>
            <w:tcW w:type="dxa" w:w="1036"/>
            <w:vAlign w:val="top"/>
          </w:tcPr>
          <w:p>
            <w:pPr>
              <w:spacing w:after="40" w:before="0" w:line="259" w:lineRule="auto"/>
            </w:pPr>
            <w:r>
              <w:rPr>
                <w:rFonts w:ascii="Calibri" w:hAnsi="Calibri"/>
                <w:b w:val="0"/>
                <w:i w:val="0"/>
                <w:color w:val="212121"/>
                <w:sz w:val="16"/>
              </w:rPr>
              <w:t>CKD, elderly, dehydrated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Influenced by diet, hydration and catabolism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potassium &amp; bicarbonate</w:t>
            </w:r>
          </w:p>
        </w:tc>
        <w:tc>
          <w:tcPr>
            <w:tcW w:type="dxa" w:w="892"/>
            <w:vAlign w:val="top"/>
          </w:tcPr>
          <w:p>
            <w:pPr>
              <w:spacing w:after="40" w:before="0" w:line="259" w:lineRule="auto"/>
            </w:pPr>
            <w:r>
              <w:rPr>
                <w:rFonts w:ascii="Calibri" w:hAnsi="Calibri"/>
                <w:b w:val="0"/>
                <w:i w:val="0"/>
                <w:color w:val="212121"/>
                <w:sz w:val="16"/>
              </w:rPr>
              <w:t>Electrolytes / ABG</w:t>
            </w:r>
          </w:p>
        </w:tc>
        <w:tc>
          <w:tcPr>
            <w:tcW w:type="dxa" w:w="950"/>
            <w:vAlign w:val="top"/>
          </w:tcPr>
          <w:p>
            <w:pPr>
              <w:spacing w:after="40" w:before="0" w:line="259" w:lineRule="auto"/>
            </w:pPr>
            <w:r>
              <w:rPr>
                <w:rFonts w:ascii="Calibri" w:hAnsi="Calibri"/>
                <w:b w:val="0"/>
                <w:i w:val="0"/>
                <w:color w:val="212121"/>
                <w:sz w:val="16"/>
              </w:rPr>
              <w:t>K⁺ 3.5–5.0 mmol/L; HCO₃⁻ 22–26 mmol/L</w:t>
            </w:r>
          </w:p>
        </w:tc>
        <w:tc>
          <w:tcPr>
            <w:tcW w:type="dxa" w:w="950"/>
            <w:vAlign w:val="top"/>
          </w:tcPr>
          <w:p>
            <w:pPr>
              <w:spacing w:after="40" w:before="0" w:line="259" w:lineRule="auto"/>
            </w:pPr>
            <w:r>
              <w:rPr>
                <w:rFonts w:ascii="Calibri" w:hAnsi="Calibri"/>
                <w:b w:val="0"/>
                <w:i w:val="0"/>
                <w:color w:val="212121"/>
                <w:sz w:val="16"/>
              </w:rPr>
              <w:t>K⁺ &gt; 5.5 (hyperkalaemia); HCO₃⁻ &lt; 22 (acidosis)</w:t>
            </w:r>
          </w:p>
        </w:tc>
        <w:tc>
          <w:tcPr>
            <w:tcW w:type="dxa" w:w="1036"/>
            <w:vAlign w:val="top"/>
          </w:tcPr>
          <w:p>
            <w:pPr>
              <w:spacing w:after="40" w:before="0" w:line="259" w:lineRule="auto"/>
            </w:pPr>
            <w:r>
              <w:rPr>
                <w:rFonts w:ascii="Calibri" w:hAnsi="Calibri"/>
                <w:b w:val="0"/>
                <w:i w:val="0"/>
                <w:color w:val="212121"/>
                <w:sz w:val="16"/>
              </w:rPr>
              <w:t>Detects life-threatening hyperkalaemia and metabolic acidosis of CKD</w:t>
            </w:r>
          </w:p>
        </w:tc>
        <w:tc>
          <w:tcPr>
            <w:tcW w:type="dxa" w:w="1036"/>
            <w:vAlign w:val="top"/>
          </w:tcPr>
          <w:p>
            <w:pPr>
              <w:spacing w:after="40" w:before="0" w:line="259" w:lineRule="auto"/>
            </w:pPr>
            <w:r>
              <w:rPr>
                <w:rFonts w:ascii="Calibri" w:hAnsi="Calibri"/>
                <w:b w:val="0"/>
                <w:i w:val="0"/>
                <w:color w:val="212121"/>
                <w:sz w:val="16"/>
              </w:rPr>
              <w:t>Advanced CKD, oliguric patients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Hyperkalaemia can be fatal; guides urgent treatment/dialysis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 13–17; F 12–15 g/dL</w:t>
            </w:r>
          </w:p>
        </w:tc>
        <w:tc>
          <w:tcPr>
            <w:tcW w:type="dxa" w:w="950"/>
            <w:vAlign w:val="top"/>
          </w:tcPr>
          <w:p>
            <w:pPr>
              <w:spacing w:after="40" w:before="0" w:line="259" w:lineRule="auto"/>
            </w:pPr>
            <w:r>
              <w:rPr>
                <w:rFonts w:ascii="Calibri" w:hAnsi="Calibri"/>
                <w:b w:val="0"/>
                <w:i w:val="0"/>
                <w:color w:val="212121"/>
                <w:sz w:val="16"/>
              </w:rPr>
              <w:t>&lt; 13 (M) / &lt; 12 (F); often &lt; 10 in advanced CKD</w:t>
            </w:r>
          </w:p>
        </w:tc>
        <w:tc>
          <w:tcPr>
            <w:tcW w:type="dxa" w:w="1036"/>
            <w:vAlign w:val="top"/>
          </w:tcPr>
          <w:p>
            <w:pPr>
              <w:spacing w:after="40" w:before="0" w:line="259" w:lineRule="auto"/>
            </w:pPr>
            <w:r>
              <w:rPr>
                <w:rFonts w:ascii="Calibri" w:hAnsi="Calibri"/>
                <w:b w:val="0"/>
                <w:i w:val="0"/>
                <w:color w:val="212121"/>
                <w:sz w:val="16"/>
              </w:rPr>
              <w:t>Anaemia of CKD from erythropoietin deficiency and iron deficiency</w:t>
            </w:r>
          </w:p>
        </w:tc>
        <w:tc>
          <w:tcPr>
            <w:tcW w:type="dxa" w:w="1036"/>
            <w:vAlign w:val="top"/>
          </w:tcPr>
          <w:p>
            <w:pPr>
              <w:spacing w:after="40" w:before="0" w:line="259" w:lineRule="auto"/>
            </w:pPr>
            <w:r>
              <w:rPr>
                <w:rFonts w:ascii="Calibri" w:hAnsi="Calibri"/>
                <w:b w:val="0"/>
                <w:i w:val="0"/>
                <w:color w:val="212121"/>
                <w:sz w:val="16"/>
              </w:rPr>
              <w:t>CKD stage 3–5, dialysis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Routine monitoring</w:t>
            </w:r>
          </w:p>
        </w:tc>
        <w:tc>
          <w:tcPr>
            <w:tcW w:type="dxa" w:w="720"/>
            <w:vAlign w:val="top"/>
          </w:tcPr>
          <w:p>
            <w:pPr>
              <w:spacing w:after="40" w:before="0" w:line="259" w:lineRule="auto"/>
            </w:pPr>
            <w:r>
              <w:rPr>
                <w:rFonts w:ascii="Calibri" w:hAnsi="Calibri"/>
                <w:b w:val="0"/>
                <w:i w:val="0"/>
                <w:color w:val="212121"/>
                <w:sz w:val="16"/>
              </w:rPr>
              <w:t>Anaemia was present in ~40.7% of the SEEK-India CKD group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Calcium, phosphate &amp; intact PTH</w:t>
            </w:r>
          </w:p>
        </w:tc>
        <w:tc>
          <w:tcPr>
            <w:tcW w:type="dxa" w:w="892"/>
            <w:vAlign w:val="top"/>
          </w:tcPr>
          <w:p>
            <w:pPr>
              <w:spacing w:after="40" w:before="0" w:line="259" w:lineRule="auto"/>
            </w:pPr>
            <w:r>
              <w:rPr>
                <w:rFonts w:ascii="Calibri" w:hAnsi="Calibri"/>
                <w:b w:val="0"/>
                <w:i w:val="0"/>
                <w:color w:val="212121"/>
                <w:sz w:val="16"/>
              </w:rPr>
              <w:t>Mineral-Bone Panel</w:t>
            </w:r>
          </w:p>
        </w:tc>
        <w:tc>
          <w:tcPr>
            <w:tcW w:type="dxa" w:w="950"/>
            <w:vAlign w:val="top"/>
          </w:tcPr>
          <w:p>
            <w:pPr>
              <w:spacing w:after="40" w:before="0" w:line="259" w:lineRule="auto"/>
            </w:pPr>
            <w:r>
              <w:rPr>
                <w:rFonts w:ascii="Calibri" w:hAnsi="Calibri"/>
                <w:b w:val="0"/>
                <w:i w:val="0"/>
                <w:color w:val="212121"/>
                <w:sz w:val="16"/>
              </w:rPr>
              <w:t>Ca 8.5–10.2; PO₄ 2.5–4.5 mg/dL; PTH 15–65 pg/mL</w:t>
            </w:r>
          </w:p>
        </w:tc>
        <w:tc>
          <w:tcPr>
            <w:tcW w:type="dxa" w:w="950"/>
            <w:vAlign w:val="top"/>
          </w:tcPr>
          <w:p>
            <w:pPr>
              <w:spacing w:after="40" w:before="0" w:line="259" w:lineRule="auto"/>
            </w:pPr>
            <w:r>
              <w:rPr>
                <w:rFonts w:ascii="Calibri" w:hAnsi="Calibri"/>
                <w:b w:val="0"/>
                <w:i w:val="0"/>
                <w:color w:val="212121"/>
                <w:sz w:val="16"/>
              </w:rPr>
              <w:t>Low Ca, high PO₄, high PTH</w:t>
            </w:r>
          </w:p>
        </w:tc>
        <w:tc>
          <w:tcPr>
            <w:tcW w:type="dxa" w:w="1036"/>
            <w:vAlign w:val="top"/>
          </w:tcPr>
          <w:p>
            <w:pPr>
              <w:spacing w:after="40" w:before="0" w:line="259" w:lineRule="auto"/>
            </w:pPr>
            <w:r>
              <w:rPr>
                <w:rFonts w:ascii="Calibri" w:hAnsi="Calibri"/>
                <w:b w:val="0"/>
                <w:i w:val="0"/>
                <w:color w:val="212121"/>
                <w:sz w:val="16"/>
              </w:rPr>
              <w:t>Detects CKD–mineral and bone disorder / secondary hyperparathyroidism</w:t>
            </w:r>
          </w:p>
        </w:tc>
        <w:tc>
          <w:tcPr>
            <w:tcW w:type="dxa" w:w="1036"/>
            <w:vAlign w:val="top"/>
          </w:tcPr>
          <w:p>
            <w:pPr>
              <w:spacing w:after="40" w:before="0" w:line="259" w:lineRule="auto"/>
            </w:pPr>
            <w:r>
              <w:rPr>
                <w:rFonts w:ascii="Calibri" w:hAnsi="Calibri"/>
                <w:b w:val="0"/>
                <w:i w:val="0"/>
                <w:color w:val="212121"/>
                <w:sz w:val="16"/>
              </w:rPr>
              <w:t>CKD stage 3b–5</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Routine monitoring</w:t>
            </w:r>
          </w:p>
        </w:tc>
        <w:tc>
          <w:tcPr>
            <w:tcW w:type="dxa" w:w="720"/>
            <w:vAlign w:val="top"/>
          </w:tcPr>
          <w:p>
            <w:pPr>
              <w:spacing w:after="40" w:before="0" w:line="259" w:lineRule="auto"/>
            </w:pPr>
            <w:r>
              <w:rPr>
                <w:rFonts w:ascii="Calibri" w:hAnsi="Calibri"/>
                <w:b w:val="0"/>
                <w:i w:val="0"/>
                <w:color w:val="212121"/>
                <w:sz w:val="16"/>
              </w:rPr>
              <w:t>Guides phosphate binders, vitamin D and calcimimetics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 &amp; lipid profile</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HbA1c &lt; 5.7%; LDL per risk</w:t>
            </w:r>
          </w:p>
        </w:tc>
        <w:tc>
          <w:tcPr>
            <w:tcW w:type="dxa" w:w="950"/>
            <w:vAlign w:val="top"/>
          </w:tcPr>
          <w:p>
            <w:pPr>
              <w:spacing w:after="40" w:before="0" w:line="259" w:lineRule="auto"/>
            </w:pPr>
            <w:r>
              <w:rPr>
                <w:rFonts w:ascii="Calibri" w:hAnsi="Calibri"/>
                <w:b w:val="0"/>
                <w:i w:val="0"/>
                <w:color w:val="212121"/>
                <w:sz w:val="16"/>
              </w:rPr>
              <w:t>HbA1c ≥ 6.5%; dyslipidaemia</w:t>
            </w:r>
          </w:p>
        </w:tc>
        <w:tc>
          <w:tcPr>
            <w:tcW w:type="dxa" w:w="1036"/>
            <w:vAlign w:val="top"/>
          </w:tcPr>
          <w:p>
            <w:pPr>
              <w:spacing w:after="40" w:before="0" w:line="259" w:lineRule="auto"/>
            </w:pPr>
            <w:r>
              <w:rPr>
                <w:rFonts w:ascii="Calibri" w:hAnsi="Calibri"/>
                <w:b w:val="0"/>
                <w:i w:val="0"/>
                <w:color w:val="212121"/>
                <w:sz w:val="16"/>
              </w:rPr>
              <w:t>Identifies and monitors diabetes and dyslipidaemia — leading CKD drivers</w:t>
            </w:r>
          </w:p>
        </w:tc>
        <w:tc>
          <w:tcPr>
            <w:tcW w:type="dxa" w:w="1036"/>
            <w:vAlign w:val="top"/>
          </w:tcPr>
          <w:p>
            <w:pPr>
              <w:spacing w:after="40" w:before="0" w:line="259" w:lineRule="auto"/>
            </w:pPr>
            <w:r>
              <w:rPr>
                <w:rFonts w:ascii="Calibri" w:hAnsi="Calibri"/>
                <w:b w:val="0"/>
                <w:i w:val="0"/>
                <w:color w:val="212121"/>
                <w:sz w:val="16"/>
              </w:rPr>
              <w:t>Diabetics, metabolic syndrome, all CKD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Routine</w:t>
            </w:r>
          </w:p>
        </w:tc>
        <w:tc>
          <w:tcPr>
            <w:tcW w:type="dxa" w:w="720"/>
            <w:vAlign w:val="top"/>
          </w:tcPr>
          <w:p>
            <w:pPr>
              <w:spacing w:after="40" w:before="0" w:line="259" w:lineRule="auto"/>
            </w:pPr>
            <w:r>
              <w:rPr>
                <w:rFonts w:ascii="Calibri" w:hAnsi="Calibri"/>
                <w:b w:val="0"/>
                <w:i w:val="0"/>
                <w:color w:val="212121"/>
                <w:sz w:val="16"/>
              </w:rPr>
              <w:t>HbA1c less reliable in advanced CKD/anaemia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Renal ultrasound</w:t>
            </w:r>
          </w:p>
        </w:tc>
        <w:tc>
          <w:tcPr>
            <w:tcW w:type="dxa" w:w="892"/>
            <w:vAlign w:val="top"/>
          </w:tcPr>
          <w:p>
            <w:pPr>
              <w:spacing w:after="40" w:before="0" w:line="259" w:lineRule="auto"/>
            </w:pPr>
            <w:r>
              <w:rPr>
                <w:rFonts w:ascii="Calibri" w:hAnsi="Calibri"/>
                <w:b w:val="0"/>
                <w:i w:val="0"/>
                <w:color w:val="212121"/>
                <w:sz w:val="16"/>
              </w:rPr>
              <w:t>Ultrasonography</w:t>
            </w:r>
          </w:p>
        </w:tc>
        <w:tc>
          <w:tcPr>
            <w:tcW w:type="dxa" w:w="950"/>
            <w:vAlign w:val="top"/>
          </w:tcPr>
          <w:p>
            <w:pPr>
              <w:spacing w:after="40" w:before="0" w:line="259" w:lineRule="auto"/>
            </w:pPr>
            <w:r>
              <w:rPr>
                <w:rFonts w:ascii="Calibri" w:hAnsi="Calibri"/>
                <w:b w:val="0"/>
                <w:i w:val="0"/>
                <w:color w:val="212121"/>
                <w:sz w:val="16"/>
              </w:rPr>
              <w:t>Normal size (9–12 cm), normal cortex, no obstruction</w:t>
            </w:r>
          </w:p>
        </w:tc>
        <w:tc>
          <w:tcPr>
            <w:tcW w:type="dxa" w:w="950"/>
            <w:vAlign w:val="top"/>
          </w:tcPr>
          <w:p>
            <w:pPr>
              <w:spacing w:after="40" w:before="0" w:line="259" w:lineRule="auto"/>
            </w:pPr>
            <w:r>
              <w:rPr>
                <w:rFonts w:ascii="Calibri" w:hAnsi="Calibri"/>
                <w:b w:val="0"/>
                <w:i w:val="0"/>
                <w:color w:val="212121"/>
                <w:sz w:val="16"/>
              </w:rPr>
              <w:t>Small echogenic kidneys; asymmetry; cysts; hydronephrosis</w:t>
            </w:r>
          </w:p>
        </w:tc>
        <w:tc>
          <w:tcPr>
            <w:tcW w:type="dxa" w:w="1036"/>
            <w:vAlign w:val="top"/>
          </w:tcPr>
          <w:p>
            <w:pPr>
              <w:spacing w:after="40" w:before="0" w:line="259" w:lineRule="auto"/>
            </w:pPr>
            <w:r>
              <w:rPr>
                <w:rFonts w:ascii="Calibri" w:hAnsi="Calibri"/>
                <w:b w:val="0"/>
                <w:i w:val="0"/>
                <w:color w:val="212121"/>
                <w:sz w:val="16"/>
              </w:rPr>
              <w:t>Confirms chronicity, detects obstruction, cysts (PKD) and structural cause</w:t>
            </w:r>
          </w:p>
        </w:tc>
        <w:tc>
          <w:tcPr>
            <w:tcW w:type="dxa" w:w="1036"/>
            <w:vAlign w:val="top"/>
          </w:tcPr>
          <w:p>
            <w:pPr>
              <w:spacing w:after="40" w:before="0" w:line="259" w:lineRule="auto"/>
            </w:pPr>
            <w:r>
              <w:rPr>
                <w:rFonts w:ascii="Calibri" w:hAnsi="Calibri"/>
                <w:b w:val="0"/>
                <w:i w:val="0"/>
                <w:color w:val="212121"/>
                <w:sz w:val="16"/>
              </w:rPr>
              <w:t>New CKD, suspected obstruction/PKD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Small echogenic kidneys indicate irreversible chronic disease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Fatigue, nocturia, foamy urine, ankle swelling, poor appetite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Often silent early; symptoms appear late and are non-specific</w:t>
            </w:r>
          </w:p>
        </w:tc>
        <w:tc>
          <w:tcPr>
            <w:tcW w:type="dxa" w:w="1036"/>
            <w:vAlign w:val="top"/>
          </w:tcPr>
          <w:p>
            <w:pPr>
              <w:spacing w:after="40" w:before="0" w:line="259" w:lineRule="auto"/>
            </w:pPr>
            <w:r>
              <w:rPr>
                <w:rFonts w:ascii="Calibri" w:hAnsi="Calibri"/>
                <w:b w:val="0"/>
                <w:i w:val="0"/>
                <w:color w:val="212121"/>
                <w:sz w:val="16"/>
              </w:rPr>
              <w:t>At-risk adults, elderly, diabetics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Absence of symptoms does not exclude CKD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drug history</w:t>
            </w:r>
          </w:p>
        </w:tc>
        <w:tc>
          <w:tcPr>
            <w:tcW w:type="dxa" w:w="979"/>
            <w:vAlign w:val="top"/>
          </w:tcPr>
          <w:p>
            <w:pPr>
              <w:spacing w:after="40" w:before="0" w:line="259" w:lineRule="auto"/>
            </w:pPr>
            <w:r>
              <w:rPr>
                <w:rFonts w:ascii="Calibri" w:hAnsi="Calibri"/>
                <w:b w:val="0"/>
                <w:i w:val="0"/>
                <w:color w:val="212121"/>
                <w:sz w:val="16"/>
              </w:rPr>
              <w:t>Diabetes, hypertension, NSAID/herbal/analgesic use</w:t>
            </w:r>
          </w:p>
        </w:tc>
        <w:tc>
          <w:tcPr>
            <w:tcW w:type="dxa" w:w="950"/>
            <w:vAlign w:val="top"/>
          </w:tcPr>
          <w:p>
            <w:pPr>
              <w:spacing w:after="40" w:before="0" w:line="259" w:lineRule="auto"/>
            </w:pPr>
            <w:r>
              <w:rPr>
                <w:rFonts w:ascii="Calibri" w:hAnsi="Calibri"/>
                <w:b w:val="0"/>
                <w:i w:val="0"/>
                <w:color w:val="212121"/>
                <w:sz w:val="16"/>
              </w:rPr>
              <w:t>No risk drugs or comorbidity</w:t>
            </w:r>
          </w:p>
        </w:tc>
        <w:tc>
          <w:tcPr>
            <w:tcW w:type="dxa" w:w="950"/>
            <w:vAlign w:val="top"/>
          </w:tcPr>
          <w:p>
            <w:pPr>
              <w:spacing w:after="40" w:before="0" w:line="259" w:lineRule="auto"/>
            </w:pPr>
            <w:r>
              <w:rPr>
                <w:rFonts w:ascii="Calibri" w:hAnsi="Calibri"/>
                <w:b w:val="0"/>
                <w:i w:val="0"/>
                <w:color w:val="212121"/>
                <w:sz w:val="16"/>
              </w:rPr>
              <w:t>Diabetes/HTN present; chronic NSAID or herbal-remedy use</w:t>
            </w:r>
          </w:p>
        </w:tc>
        <w:tc>
          <w:tcPr>
            <w:tcW w:type="dxa" w:w="1036"/>
            <w:vAlign w:val="top"/>
          </w:tcPr>
          <w:p>
            <w:pPr>
              <w:spacing w:after="40" w:before="0" w:line="259" w:lineRule="auto"/>
            </w:pPr>
            <w:r>
              <w:rPr>
                <w:rFonts w:ascii="Calibri" w:hAnsi="Calibri"/>
                <w:b w:val="0"/>
                <w:i w:val="0"/>
                <w:color w:val="212121"/>
                <w:sz w:val="16"/>
              </w:rPr>
              <w:t>Identifies leading causes and avoidable nephrotoxins</w:t>
            </w:r>
          </w:p>
        </w:tc>
        <w:tc>
          <w:tcPr>
            <w:tcW w:type="dxa" w:w="1036"/>
            <w:vAlign w:val="top"/>
          </w:tcPr>
          <w:p>
            <w:pPr>
              <w:spacing w:after="40" w:before="0" w:line="259" w:lineRule="auto"/>
            </w:pPr>
            <w:r>
              <w:rPr>
                <w:rFonts w:ascii="Calibri" w:hAnsi="Calibri"/>
                <w:b w:val="0"/>
                <w:i w:val="0"/>
                <w:color w:val="212121"/>
                <w:sz w:val="16"/>
              </w:rPr>
              <w:t>Diabetics, hypertensives, self-medicating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specifically about indigenous/Ayurvedic remedies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occupational history</w:t>
            </w:r>
          </w:p>
        </w:tc>
        <w:tc>
          <w:tcPr>
            <w:tcW w:type="dxa" w:w="979"/>
            <w:vAlign w:val="top"/>
          </w:tcPr>
          <w:p>
            <w:pPr>
              <w:spacing w:after="40" w:before="0" w:line="259" w:lineRule="auto"/>
            </w:pPr>
            <w:r>
              <w:rPr>
                <w:rFonts w:ascii="Calibri" w:hAnsi="Calibri"/>
                <w:b w:val="0"/>
                <w:i w:val="0"/>
                <w:color w:val="212121"/>
                <w:sz w:val="16"/>
              </w:rPr>
              <w:t>PKD/CKD in relatives; farming, heat-exposed labour</w:t>
            </w:r>
          </w:p>
        </w:tc>
        <w:tc>
          <w:tcPr>
            <w:tcW w:type="dxa" w:w="950"/>
            <w:vAlign w:val="top"/>
          </w:tcPr>
          <w:p>
            <w:pPr>
              <w:spacing w:after="40" w:before="0" w:line="259" w:lineRule="auto"/>
            </w:pPr>
            <w:r>
              <w:rPr>
                <w:rFonts w:ascii="Calibri" w:hAnsi="Calibri"/>
                <w:b w:val="0"/>
                <w:i w:val="0"/>
                <w:color w:val="212121"/>
                <w:sz w:val="16"/>
              </w:rPr>
              <w:t>No family history; non–heat-exposed work</w:t>
            </w:r>
          </w:p>
        </w:tc>
        <w:tc>
          <w:tcPr>
            <w:tcW w:type="dxa" w:w="950"/>
            <w:vAlign w:val="top"/>
          </w:tcPr>
          <w:p>
            <w:pPr>
              <w:spacing w:after="40" w:before="0" w:line="259" w:lineRule="auto"/>
            </w:pPr>
            <w:r>
              <w:rPr>
                <w:rFonts w:ascii="Calibri" w:hAnsi="Calibri"/>
                <w:b w:val="0"/>
                <w:i w:val="0"/>
                <w:color w:val="212121"/>
                <w:sz w:val="16"/>
              </w:rPr>
              <w:t>First-degree CKD/PKD; agricultural/heat-stress occupation</w:t>
            </w:r>
          </w:p>
        </w:tc>
        <w:tc>
          <w:tcPr>
            <w:tcW w:type="dxa" w:w="1036"/>
            <w:vAlign w:val="top"/>
          </w:tcPr>
          <w:p>
            <w:pPr>
              <w:spacing w:after="40" w:before="0" w:line="259" w:lineRule="auto"/>
            </w:pPr>
            <w:r>
              <w:rPr>
                <w:rFonts w:ascii="Calibri" w:hAnsi="Calibri"/>
                <w:b w:val="0"/>
                <w:i w:val="0"/>
                <w:color w:val="212121"/>
                <w:sz w:val="16"/>
              </w:rPr>
              <w:t>Flags inherited disease and CKD of undetermined aetiology (Uddanam-type)</w:t>
            </w:r>
          </w:p>
        </w:tc>
        <w:tc>
          <w:tcPr>
            <w:tcW w:type="dxa" w:w="1036"/>
            <w:vAlign w:val="top"/>
          </w:tcPr>
          <w:p>
            <w:pPr>
              <w:spacing w:after="40" w:before="0" w:line="259" w:lineRule="auto"/>
            </w:pPr>
            <w:r>
              <w:rPr>
                <w:rFonts w:ascii="Calibri" w:hAnsi="Calibri"/>
                <w:b w:val="0"/>
                <w:i w:val="0"/>
                <w:color w:val="212121"/>
                <w:sz w:val="16"/>
              </w:rPr>
              <w:t>Relatives of CKD patients, farm/heat workers</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Occupational heat and dehydration relevant in endemic belts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Blood pressure &amp; volume status</w:t>
            </w:r>
          </w:p>
        </w:tc>
        <w:tc>
          <w:tcPr>
            <w:tcW w:type="dxa" w:w="979"/>
            <w:vAlign w:val="top"/>
          </w:tcPr>
          <w:p>
            <w:pPr>
              <w:spacing w:after="40" w:before="0" w:line="259" w:lineRule="auto"/>
            </w:pPr>
            <w:r>
              <w:rPr>
                <w:rFonts w:ascii="Calibri" w:hAnsi="Calibri"/>
                <w:b w:val="0"/>
                <w:i w:val="0"/>
                <w:color w:val="212121"/>
                <w:sz w:val="16"/>
              </w:rPr>
              <w:t>BP, oedema, jugular venous pressure</w:t>
            </w:r>
          </w:p>
        </w:tc>
        <w:tc>
          <w:tcPr>
            <w:tcW w:type="dxa" w:w="950"/>
            <w:vAlign w:val="top"/>
          </w:tcPr>
          <w:p>
            <w:pPr>
              <w:spacing w:after="40" w:before="0" w:line="259" w:lineRule="auto"/>
            </w:pPr>
            <w:r>
              <w:rPr>
                <w:rFonts w:ascii="Calibri" w:hAnsi="Calibri"/>
                <w:b w:val="0"/>
                <w:i w:val="0"/>
                <w:color w:val="212121"/>
                <w:sz w:val="16"/>
              </w:rPr>
              <w:t>BP &lt; 130/80; no oedema</w:t>
            </w:r>
          </w:p>
        </w:tc>
        <w:tc>
          <w:tcPr>
            <w:tcW w:type="dxa" w:w="950"/>
            <w:vAlign w:val="top"/>
          </w:tcPr>
          <w:p>
            <w:pPr>
              <w:spacing w:after="40" w:before="0" w:line="259" w:lineRule="auto"/>
            </w:pPr>
            <w:r>
              <w:rPr>
                <w:rFonts w:ascii="Calibri" w:hAnsi="Calibri"/>
                <w:b w:val="0"/>
                <w:i w:val="0"/>
                <w:color w:val="212121"/>
                <w:sz w:val="16"/>
              </w:rPr>
              <w:t>Hypertension; pedal/periorbital oedema; raised JVP</w:t>
            </w:r>
          </w:p>
        </w:tc>
        <w:tc>
          <w:tcPr>
            <w:tcW w:type="dxa" w:w="1036"/>
            <w:vAlign w:val="top"/>
          </w:tcPr>
          <w:p>
            <w:pPr>
              <w:spacing w:after="40" w:before="0" w:line="259" w:lineRule="auto"/>
            </w:pPr>
            <w:r>
              <w:rPr>
                <w:rFonts w:ascii="Calibri" w:hAnsi="Calibri"/>
                <w:b w:val="0"/>
                <w:i w:val="0"/>
                <w:color w:val="212121"/>
                <w:sz w:val="16"/>
              </w:rPr>
              <w:t>Assesses fluid overload and the hypertension that both causes and results from CKD</w:t>
            </w:r>
          </w:p>
        </w:tc>
        <w:tc>
          <w:tcPr>
            <w:tcW w:type="dxa" w:w="1036"/>
            <w:vAlign w:val="top"/>
          </w:tcPr>
          <w:p>
            <w:pPr>
              <w:spacing w:after="40" w:before="0" w:line="259" w:lineRule="auto"/>
            </w:pPr>
            <w:r>
              <w:rPr>
                <w:rFonts w:ascii="Calibri" w:hAnsi="Calibri"/>
                <w:b w:val="0"/>
                <w:i w:val="0"/>
                <w:color w:val="212121"/>
                <w:sz w:val="16"/>
              </w:rPr>
              <w:t>All CKD, hypertensives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Core exam</w:t>
            </w:r>
          </w:p>
        </w:tc>
        <w:tc>
          <w:tcPr>
            <w:tcW w:type="dxa" w:w="720"/>
            <w:vAlign w:val="top"/>
          </w:tcPr>
          <w:p>
            <w:pPr>
              <w:spacing w:after="40" w:before="0" w:line="259" w:lineRule="auto"/>
            </w:pPr>
            <w:r>
              <w:rPr>
                <w:rFonts w:ascii="Calibri" w:hAnsi="Calibri"/>
                <w:b w:val="0"/>
                <w:i w:val="0"/>
                <w:color w:val="212121"/>
                <w:sz w:val="16"/>
              </w:rPr>
              <w:t>Volume overload guides diuretic and dialysis decisions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Pallor &amp; skin signs</w:t>
            </w:r>
          </w:p>
        </w:tc>
        <w:tc>
          <w:tcPr>
            <w:tcW w:type="dxa" w:w="979"/>
            <w:vAlign w:val="top"/>
          </w:tcPr>
          <w:p>
            <w:pPr>
              <w:spacing w:after="40" w:before="0" w:line="259" w:lineRule="auto"/>
            </w:pPr>
            <w:r>
              <w:rPr>
                <w:rFonts w:ascii="Calibri" w:hAnsi="Calibri"/>
                <w:b w:val="0"/>
                <w:i w:val="0"/>
                <w:color w:val="212121"/>
                <w:sz w:val="16"/>
              </w:rPr>
              <w:t>Conjunctival pallor, skin pigmentation, excoriation</w:t>
            </w:r>
          </w:p>
        </w:tc>
        <w:tc>
          <w:tcPr>
            <w:tcW w:type="dxa" w:w="950"/>
            <w:vAlign w:val="top"/>
          </w:tcPr>
          <w:p>
            <w:pPr>
              <w:spacing w:after="40" w:before="0" w:line="259" w:lineRule="auto"/>
            </w:pPr>
            <w:r>
              <w:rPr>
                <w:rFonts w:ascii="Calibri" w:hAnsi="Calibri"/>
                <w:b w:val="0"/>
                <w:i w:val="0"/>
                <w:color w:val="212121"/>
                <w:sz w:val="16"/>
              </w:rPr>
              <w:t>Pink conjunctivae; no scratch marks</w:t>
            </w:r>
          </w:p>
        </w:tc>
        <w:tc>
          <w:tcPr>
            <w:tcW w:type="dxa" w:w="950"/>
            <w:vAlign w:val="top"/>
          </w:tcPr>
          <w:p>
            <w:pPr>
              <w:spacing w:after="40" w:before="0" w:line="259" w:lineRule="auto"/>
            </w:pPr>
            <w:r>
              <w:rPr>
                <w:rFonts w:ascii="Calibri" w:hAnsi="Calibri"/>
                <w:b w:val="0"/>
                <w:i w:val="0"/>
                <w:color w:val="212121"/>
                <w:sz w:val="16"/>
              </w:rPr>
              <w:t>Pallor (anaemia); sallow pigmentation; scratch marks/uraemic frost</w:t>
            </w:r>
          </w:p>
        </w:tc>
        <w:tc>
          <w:tcPr>
            <w:tcW w:type="dxa" w:w="1036"/>
            <w:vAlign w:val="top"/>
          </w:tcPr>
          <w:p>
            <w:pPr>
              <w:spacing w:after="40" w:before="0" w:line="259" w:lineRule="auto"/>
            </w:pPr>
            <w:r>
              <w:rPr>
                <w:rFonts w:ascii="Calibri" w:hAnsi="Calibri"/>
                <w:b w:val="0"/>
                <w:i w:val="0"/>
                <w:color w:val="212121"/>
                <w:sz w:val="16"/>
              </w:rPr>
              <w:t>Signals anaemia of CKD and uraemic skin involvement</w:t>
            </w:r>
          </w:p>
        </w:tc>
        <w:tc>
          <w:tcPr>
            <w:tcW w:type="dxa" w:w="1036"/>
            <w:vAlign w:val="top"/>
          </w:tcPr>
          <w:p>
            <w:pPr>
              <w:spacing w:after="40" w:before="0" w:line="259" w:lineRule="auto"/>
            </w:pPr>
            <w:r>
              <w:rPr>
                <w:rFonts w:ascii="Calibri" w:hAnsi="Calibri"/>
                <w:b w:val="0"/>
                <w:i w:val="0"/>
                <w:color w:val="212121"/>
                <w:sz w:val="16"/>
              </w:rPr>
              <w:t>CKD stage 3–5</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Uraemic frost is a late, advanced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Fundoscopy &amp; abdominal exam</w:t>
            </w:r>
          </w:p>
        </w:tc>
        <w:tc>
          <w:tcPr>
            <w:tcW w:type="dxa" w:w="979"/>
            <w:vAlign w:val="top"/>
          </w:tcPr>
          <w:p>
            <w:pPr>
              <w:spacing w:after="40" w:before="0" w:line="259" w:lineRule="auto"/>
            </w:pPr>
            <w:r>
              <w:rPr>
                <w:rFonts w:ascii="Calibri" w:hAnsi="Calibri"/>
                <w:b w:val="0"/>
                <w:i w:val="0"/>
                <w:color w:val="212121"/>
                <w:sz w:val="16"/>
              </w:rPr>
              <w:t>Retinal changes; ballotable/enlarged kidneys</w:t>
            </w:r>
          </w:p>
        </w:tc>
        <w:tc>
          <w:tcPr>
            <w:tcW w:type="dxa" w:w="950"/>
            <w:vAlign w:val="top"/>
          </w:tcPr>
          <w:p>
            <w:pPr>
              <w:spacing w:after="40" w:before="0" w:line="259" w:lineRule="auto"/>
            </w:pPr>
            <w:r>
              <w:rPr>
                <w:rFonts w:ascii="Calibri" w:hAnsi="Calibri"/>
                <w:b w:val="0"/>
                <w:i w:val="0"/>
                <w:color w:val="212121"/>
                <w:sz w:val="16"/>
              </w:rPr>
              <w:t>Normal fundus; non-palpable kidneys</w:t>
            </w:r>
          </w:p>
        </w:tc>
        <w:tc>
          <w:tcPr>
            <w:tcW w:type="dxa" w:w="950"/>
            <w:vAlign w:val="top"/>
          </w:tcPr>
          <w:p>
            <w:pPr>
              <w:spacing w:after="40" w:before="0" w:line="259" w:lineRule="auto"/>
            </w:pPr>
            <w:r>
              <w:rPr>
                <w:rFonts w:ascii="Calibri" w:hAnsi="Calibri"/>
                <w:b w:val="0"/>
                <w:i w:val="0"/>
                <w:color w:val="212121"/>
                <w:sz w:val="16"/>
              </w:rPr>
              <w:t>Hypertensive/diabetic retinopathy; palpable polycystic kidneys</w:t>
            </w:r>
          </w:p>
        </w:tc>
        <w:tc>
          <w:tcPr>
            <w:tcW w:type="dxa" w:w="1036"/>
            <w:vAlign w:val="top"/>
          </w:tcPr>
          <w:p>
            <w:pPr>
              <w:spacing w:after="40" w:before="0" w:line="259" w:lineRule="auto"/>
            </w:pPr>
            <w:r>
              <w:rPr>
                <w:rFonts w:ascii="Calibri" w:hAnsi="Calibri"/>
                <w:b w:val="0"/>
                <w:i w:val="0"/>
                <w:color w:val="212121"/>
                <w:sz w:val="16"/>
              </w:rPr>
              <w:t>Retinopathy confirms systemic microvascular damage; ballotable kidneys suggest PKD/obstruction</w:t>
            </w:r>
          </w:p>
        </w:tc>
        <w:tc>
          <w:tcPr>
            <w:tcW w:type="dxa" w:w="1036"/>
            <w:vAlign w:val="top"/>
          </w:tcPr>
          <w:p>
            <w:pPr>
              <w:spacing w:after="40" w:before="0" w:line="259" w:lineRule="auto"/>
            </w:pPr>
            <w:r>
              <w:rPr>
                <w:rFonts w:ascii="Calibri" w:hAnsi="Calibri"/>
                <w:b w:val="0"/>
                <w:i w:val="0"/>
                <w:color w:val="212121"/>
                <w:sz w:val="16"/>
              </w:rPr>
              <w:t>Diabetics, hypertensives, suspected PKD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Retinopathy severity tracks with nephropathy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anaemia, uraemic toxin accumulation and metabolic acidosis; often the earliest complaint.</w:t>
            </w:r>
          </w:p>
        </w:tc>
      </w:tr>
      <w:tr>
        <w:trPr>
          <w:cantSplit/>
        </w:trPr>
        <w:tc>
          <w:tcPr>
            <w:tcW w:type="dxa" w:w="2304"/>
            <w:vAlign w:val="top"/>
          </w:tcPr>
          <w:p>
            <w:pPr>
              <w:spacing w:after="40" w:before="0" w:line="259" w:lineRule="auto"/>
            </w:pPr>
            <w:r>
              <w:rPr>
                <w:rFonts w:ascii="Calibri" w:hAnsi="Calibri"/>
                <w:b/>
                <w:i w:val="0"/>
                <w:color w:val="212121"/>
                <w:sz w:val="19"/>
              </w:rPr>
              <w:t>Nocturia / change in urine output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concentrating ability causes nocturia early; oliguria develops in advanced disease.</w:t>
            </w:r>
          </w:p>
        </w:tc>
      </w:tr>
      <w:tr>
        <w:trPr>
          <w:cantSplit/>
        </w:trPr>
        <w:tc>
          <w:tcPr>
            <w:tcW w:type="dxa" w:w="2304"/>
            <w:vAlign w:val="top"/>
          </w:tcPr>
          <w:p>
            <w:pPr>
              <w:spacing w:after="40" w:before="0" w:line="259" w:lineRule="auto"/>
            </w:pPr>
            <w:r>
              <w:rPr>
                <w:rFonts w:ascii="Calibri" w:hAnsi="Calibri"/>
                <w:b/>
                <w:i w:val="0"/>
                <w:color w:val="212121"/>
                <w:sz w:val="19"/>
              </w:rPr>
              <w:t>Foamy / frothy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Indicates significant proteinuria — a key marker of glomerular damage.</w:t>
            </w:r>
          </w:p>
        </w:tc>
      </w:tr>
      <w:tr>
        <w:trPr>
          <w:cantSplit/>
        </w:trPr>
        <w:tc>
          <w:tcPr>
            <w:tcW w:type="dxa" w:w="2304"/>
            <w:vAlign w:val="top"/>
          </w:tcPr>
          <w:p>
            <w:pPr>
              <w:spacing w:after="40" w:before="0" w:line="259" w:lineRule="auto"/>
            </w:pPr>
            <w:r>
              <w:rPr>
                <w:rFonts w:ascii="Calibri" w:hAnsi="Calibri"/>
                <w:b/>
                <w:i w:val="0"/>
                <w:color w:val="212121"/>
                <w:sz w:val="19"/>
              </w:rPr>
              <w:t>Pedal / periorbital swelling (oedema)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Salt and water retention and/or heavy proteinuria (nephrotic-range) cause dependent and facial oedema.</w:t>
            </w:r>
          </w:p>
        </w:tc>
      </w:tr>
      <w:tr>
        <w:trPr>
          <w:cantSplit/>
        </w:trPr>
        <w:tc>
          <w:tcPr>
            <w:tcW w:type="dxa" w:w="2304"/>
            <w:vAlign w:val="top"/>
          </w:tcPr>
          <w:p>
            <w:pPr>
              <w:spacing w:after="40" w:before="0" w:line="259" w:lineRule="auto"/>
            </w:pPr>
            <w:r>
              <w:rPr>
                <w:rFonts w:ascii="Calibri" w:hAnsi="Calibri"/>
                <w:b/>
                <w:i w:val="0"/>
                <w:color w:val="212121"/>
                <w:sz w:val="19"/>
              </w:rPr>
              <w:t>Loss of appetite and 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Uraemia depresses appetite and causes nausea, contributing to malnutrition.</w:t>
            </w:r>
          </w:p>
        </w:tc>
      </w:tr>
      <w:tr>
        <w:trPr>
          <w:cantSplit/>
        </w:trPr>
        <w:tc>
          <w:tcPr>
            <w:tcW w:type="dxa" w:w="2304"/>
            <w:vAlign w:val="top"/>
          </w:tcPr>
          <w:p>
            <w:pPr>
              <w:spacing w:after="40" w:before="0" w:line="259" w:lineRule="auto"/>
            </w:pPr>
            <w:r>
              <w:rPr>
                <w:rFonts w:ascii="Calibri" w:hAnsi="Calibri"/>
                <w:b/>
                <w:i w:val="0"/>
                <w:color w:val="212121"/>
                <w:sz w:val="19"/>
              </w:rPr>
              <w:t>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Caused by uraemia, hyperphosphataemia and mineral-bone disorder; often intense in advanced CKD.</w:t>
            </w:r>
          </w:p>
        </w:tc>
      </w:tr>
      <w:tr>
        <w:trPr>
          <w:cantSplit/>
        </w:trPr>
        <w:tc>
          <w:tcPr>
            <w:tcW w:type="dxa" w:w="2304"/>
            <w:vAlign w:val="top"/>
          </w:tcPr>
          <w:p>
            <w:pPr>
              <w:spacing w:after="40" w:before="0" w:line="259" w:lineRule="auto"/>
            </w:pPr>
            <w:r>
              <w:rPr>
                <w:rFonts w:ascii="Calibri" w:hAnsi="Calibri"/>
                <w:b/>
                <w:i w:val="0"/>
                <w:color w:val="212121"/>
                <w:sz w:val="19"/>
              </w:rPr>
              <w:t>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fluid overload/pulmonary oedema, anaemia and metabolic acidosis.</w:t>
            </w:r>
          </w:p>
        </w:tc>
      </w:tr>
      <w:tr>
        <w:trPr>
          <w:cantSplit/>
        </w:trPr>
        <w:tc>
          <w:tcPr>
            <w:tcW w:type="dxa" w:w="2304"/>
            <w:vAlign w:val="top"/>
          </w:tcPr>
          <w:p>
            <w:pPr>
              <w:spacing w:after="40" w:before="0" w:line="259" w:lineRule="auto"/>
            </w:pPr>
            <w:r>
              <w:rPr>
                <w:rFonts w:ascii="Calibri" w:hAnsi="Calibri"/>
                <w:b/>
                <w:i w:val="0"/>
                <w:color w:val="212121"/>
                <w:sz w:val="19"/>
              </w:rPr>
              <w:t>Muscle cramps and restless legs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Electrolyte disturbance and uraemia cause nocturnal cramps and restless-leg symptoms.</w:t>
            </w:r>
          </w:p>
        </w:tc>
      </w:tr>
      <w:tr>
        <w:trPr>
          <w:cantSplit/>
        </w:trPr>
        <w:tc>
          <w:tcPr>
            <w:tcW w:type="dxa" w:w="2304"/>
            <w:vAlign w:val="top"/>
          </w:tcPr>
          <w:p>
            <w:pPr>
              <w:spacing w:after="40" w:before="0" w:line="259" w:lineRule="auto"/>
            </w:pPr>
            <w:r>
              <w:rPr>
                <w:rFonts w:ascii="Calibri" w:hAnsi="Calibri"/>
                <w:b/>
                <w:i w:val="0"/>
                <w:color w:val="212121"/>
                <w:sz w:val="19"/>
              </w:rPr>
              <w:t>Metallic taste and uraemic breath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Accumulated urea produces an ammoniacal taste and foetor, worsening anorexia.</w:t>
            </w:r>
          </w:p>
        </w:tc>
      </w:tr>
      <w:tr>
        <w:trPr>
          <w:cantSplit/>
        </w:trPr>
        <w:tc>
          <w:tcPr>
            <w:tcW w:type="dxa" w:w="2304"/>
            <w:vAlign w:val="top"/>
          </w:tcPr>
          <w:p>
            <w:pPr>
              <w:spacing w:after="40" w:before="0" w:line="259" w:lineRule="auto"/>
            </w:pPr>
            <w:r>
              <w:rPr>
                <w:rFonts w:ascii="Calibri" w:hAnsi="Calibri"/>
                <w:b/>
                <w:i w:val="0"/>
                <w:color w:val="212121"/>
                <w:sz w:val="19"/>
              </w:rPr>
              <w:t>Poor sleep and difficulty concentrating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Uraemia and disturbed sleep architecture impair cognition and sleep quality.</w:t>
            </w:r>
          </w:p>
        </w:tc>
      </w:tr>
      <w:tr>
        <w:trPr>
          <w:cantSplit/>
        </w:trPr>
        <w:tc>
          <w:tcPr>
            <w:tcW w:type="dxa" w:w="2304"/>
            <w:vAlign w:val="top"/>
          </w:tcPr>
          <w:p>
            <w:pPr>
              <w:spacing w:after="40" w:before="0" w:line="259" w:lineRule="auto"/>
            </w:pPr>
            <w:r>
              <w:rPr>
                <w:rFonts w:ascii="Calibri" w:hAnsi="Calibri"/>
                <w:b/>
                <w:i w:val="0"/>
                <w:color w:val="212121"/>
                <w:sz w:val="19"/>
              </w:rPr>
              <w:t>Nausea with vomiting and hiccups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Advanced uraemia; persistent hiccups are a classic late feature.</w:t>
            </w:r>
          </w:p>
        </w:tc>
      </w:tr>
      <w:tr>
        <w:trPr>
          <w:cantSplit/>
        </w:trPr>
        <w:tc>
          <w:tcPr>
            <w:tcW w:type="dxa" w:w="2304"/>
            <w:vAlign w:val="top"/>
          </w:tcPr>
          <w:p>
            <w:pPr>
              <w:spacing w:after="40" w:before="0" w:line="259" w:lineRule="auto"/>
            </w:pPr>
            <w:r>
              <w:rPr>
                <w:rFonts w:ascii="Calibri" w:hAnsi="Calibri"/>
                <w:b/>
                <w:i w:val="0"/>
                <w:color w:val="212121"/>
                <w:sz w:val="19"/>
              </w:rPr>
              <w:t>Confusion / drowsiness (uraemic encephalopathy)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uraemia causes altered sensorium, asterixis and, untreated, seizures or coma.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Hypertension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Both a cause and a consequence of CKD; present in the large majority of patients.</w:t>
            </w:r>
          </w:p>
        </w:tc>
      </w:tr>
      <w:tr>
        <w:trPr>
          <w:cantSplit/>
        </w:trPr>
        <w:tc>
          <w:tcPr>
            <w:tcW w:type="dxa" w:w="3456"/>
            <w:vAlign w:val="top"/>
          </w:tcPr>
          <w:p>
            <w:pPr>
              <w:spacing w:after="40" w:before="0" w:line="259" w:lineRule="auto"/>
            </w:pPr>
            <w:r>
              <w:rPr>
                <w:rFonts w:ascii="Calibri" w:hAnsi="Calibri"/>
                <w:b/>
                <w:i w:val="0"/>
                <w:color w:val="212121"/>
                <w:sz w:val="19"/>
              </w:rPr>
              <w:t>Peripheral / periorbital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salt-water retention and/or heavy proteinuria.</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Conjunctival and palmar pallor from erythropoietin-deficiency anaemia of CKD.</w:t>
            </w:r>
          </w:p>
        </w:tc>
      </w:tr>
      <w:tr>
        <w:trPr>
          <w:cantSplit/>
        </w:trPr>
        <w:tc>
          <w:tcPr>
            <w:tcW w:type="dxa" w:w="3456"/>
            <w:vAlign w:val="top"/>
          </w:tcPr>
          <w:p>
            <w:pPr>
              <w:spacing w:after="40" w:before="0" w:line="259" w:lineRule="auto"/>
            </w:pPr>
            <w:r>
              <w:rPr>
                <w:rFonts w:ascii="Calibri" w:hAnsi="Calibri"/>
                <w:b/>
                <w:i w:val="0"/>
                <w:color w:val="212121"/>
                <w:sz w:val="19"/>
              </w:rPr>
              <w:t>Skin changes — sallow pigmentation, excoriations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Uraemic pigmentation and scratch marks from chronic pruritus.</w:t>
            </w:r>
          </w:p>
        </w:tc>
      </w:tr>
      <w:tr>
        <w:trPr>
          <w:cantSplit/>
        </w:trPr>
        <w:tc>
          <w:tcPr>
            <w:tcW w:type="dxa" w:w="3456"/>
            <w:vAlign w:val="top"/>
          </w:tcPr>
          <w:p>
            <w:pPr>
              <w:spacing w:after="40" w:before="0" w:line="259" w:lineRule="auto"/>
            </w:pPr>
            <w:r>
              <w:rPr>
                <w:rFonts w:ascii="Calibri" w:hAnsi="Calibri"/>
                <w:b/>
                <w:i w:val="0"/>
                <w:color w:val="212121"/>
                <w:sz w:val="19"/>
              </w:rPr>
              <w:t>Raised jugular venous pressure / fluid overload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Volume overload with basal crepitations in advanced or oliguric CKD.</w:t>
            </w:r>
          </w:p>
        </w:tc>
      </w:tr>
      <w:tr>
        <w:trPr>
          <w:cantSplit/>
        </w:trPr>
        <w:tc>
          <w:tcPr>
            <w:tcW w:type="dxa" w:w="3456"/>
            <w:vAlign w:val="top"/>
          </w:tcPr>
          <w:p>
            <w:pPr>
              <w:spacing w:after="40" w:before="0" w:line="259" w:lineRule="auto"/>
            </w:pPr>
            <w:r>
              <w:rPr>
                <w:rFonts w:ascii="Calibri" w:hAnsi="Calibri"/>
                <w:b/>
                <w:i w:val="0"/>
                <w:color w:val="212121"/>
                <w:sz w:val="19"/>
              </w:rPr>
              <w:t>Kussmaul (deep, laboured) breathing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Respiratory compensation for metabolic acidosis in advanced CKD.</w:t>
            </w:r>
          </w:p>
        </w:tc>
      </w:tr>
      <w:tr>
        <w:trPr>
          <w:cantSplit/>
        </w:trPr>
        <w:tc>
          <w:tcPr>
            <w:tcW w:type="dxa" w:w="3456"/>
            <w:vAlign w:val="top"/>
          </w:tcPr>
          <w:p>
            <w:pPr>
              <w:spacing w:after="40" w:before="0" w:line="259" w:lineRule="auto"/>
            </w:pPr>
            <w:r>
              <w:rPr>
                <w:rFonts w:ascii="Calibri" w:hAnsi="Calibri"/>
                <w:b/>
                <w:i w:val="0"/>
                <w:color w:val="212121"/>
                <w:sz w:val="19"/>
              </w:rPr>
              <w:t>Ballotable / enlarged kidneys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bilateral masses suggest autosomal-dominant polycystic kidney disease.</w:t>
            </w:r>
          </w:p>
        </w:tc>
      </w:tr>
      <w:tr>
        <w:trPr>
          <w:cantSplit/>
        </w:trPr>
        <w:tc>
          <w:tcPr>
            <w:tcW w:type="dxa" w:w="3456"/>
            <w:vAlign w:val="top"/>
          </w:tcPr>
          <w:p>
            <w:pPr>
              <w:spacing w:after="40" w:before="0" w:line="259" w:lineRule="auto"/>
            </w:pPr>
            <w:r>
              <w:rPr>
                <w:rFonts w:ascii="Calibri" w:hAnsi="Calibri"/>
                <w:b/>
                <w:i w:val="0"/>
                <w:color w:val="212121"/>
                <w:sz w:val="19"/>
              </w:rPr>
              <w:t>Pericardial friction rub</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Uraemic pericarditis — an indication for urgent dialysis.</w:t>
            </w:r>
          </w:p>
        </w:tc>
      </w:tr>
      <w:tr>
        <w:trPr>
          <w:cantSplit/>
        </w:trPr>
        <w:tc>
          <w:tcPr>
            <w:tcW w:type="dxa" w:w="3456"/>
            <w:vAlign w:val="top"/>
          </w:tcPr>
          <w:p>
            <w:pPr>
              <w:spacing w:after="40" w:before="0" w:line="259" w:lineRule="auto"/>
            </w:pPr>
            <w:r>
              <w:rPr>
                <w:rFonts w:ascii="Calibri" w:hAnsi="Calibri"/>
                <w:b/>
                <w:i w:val="0"/>
                <w:color w:val="212121"/>
                <w:sz w:val="19"/>
              </w:rPr>
              <w:t>Asterixis (uraemic flap)</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Flapping tremor of advanced uraemic encephalopathy.</w:t>
            </w:r>
          </w:p>
        </w:tc>
      </w:tr>
      <w:tr>
        <w:trPr>
          <w:cantSplit/>
        </w:trPr>
        <w:tc>
          <w:tcPr>
            <w:tcW w:type="dxa" w:w="3456"/>
            <w:vAlign w:val="top"/>
          </w:tcPr>
          <w:p>
            <w:pPr>
              <w:spacing w:after="40" w:before="0" w:line="259" w:lineRule="auto"/>
            </w:pPr>
            <w:r>
              <w:rPr>
                <w:rFonts w:ascii="Calibri" w:hAnsi="Calibri"/>
                <w:b/>
                <w:i w:val="0"/>
                <w:color w:val="212121"/>
                <w:sz w:val="19"/>
              </w:rPr>
              <w:t>Uraemic frost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Fine white urea crystals on the skin in severe, untreated uraemia.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Fluid overload and hypertension (salt-water retention, pulmonary/peripheral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Hyperkalaemia (life-threatening, especially in oliguria)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acidosis (from reduced acid excretion)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Hyperphosphataemia and disordered calcium balance</w:t>
            </w:r>
          </w:p>
        </w:tc>
        <w:tc>
          <w:tcPr>
            <w:tcW w:type="dxa" w:w="2980"/>
            <w:vAlign w:val="top"/>
          </w:tcPr>
          <w:p>
            <w:pPr>
              <w:spacing w:after="40" w:before="0" w:line="259" w:lineRule="auto"/>
            </w:pPr>
            <w:r>
              <w:rPr>
                <w:rFonts w:ascii="Calibri" w:hAnsi="Calibri"/>
                <w:b w:val="0"/>
                <w:i w:val="0"/>
                <w:color w:val="212121"/>
                <w:sz w:val="19"/>
              </w:rPr>
              <w:t>Direct consequences of the kidneys' failing excretory and homeostatic functions.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of CKD (erythropoietin and iron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CKD–mineral and bone disorder / renal osteodystrophy with secondary hyperparathyroidism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cardiovascular disease, left-ventricular hypertrophy and vascular calcification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Malnutrition–inflammation, immune dysfunction and increased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Uraemic neuropathy, restless legs and sleep disturbance</w:t>
            </w:r>
          </w:p>
        </w:tc>
        <w:tc>
          <w:tcPr>
            <w:tcW w:type="dxa" w:w="2980"/>
            <w:vAlign w:val="top"/>
          </w:tcPr>
          <w:p>
            <w:pPr>
              <w:spacing w:after="40" w:before="0" w:line="259" w:lineRule="auto"/>
            </w:pPr>
            <w:r>
              <w:rPr>
                <w:rFonts w:ascii="Calibri" w:hAnsi="Calibri"/>
                <w:b w:val="0"/>
                <w:i w:val="0"/>
                <w:color w:val="212121"/>
                <w:sz w:val="19"/>
              </w:rPr>
              <w:t>Systemic disturbances arising from chronic loss of kidney endocrine and metabolic functions.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kidney disease requiring maintenance dialysis or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Uraemic pericarditis, encephalopathy, seizures and coma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Fatal cardiovascular events (the leading cause of death in CKD)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Fragility fractures and disabling bone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Catastrophic out-of-pocket cost, treatment withdrawal and premature death</w:t>
            </w:r>
          </w:p>
        </w:tc>
        <w:tc>
          <w:tcPr>
            <w:tcW w:type="dxa" w:w="2980"/>
            <w:vAlign w:val="top"/>
          </w:tcPr>
          <w:p>
            <w:pPr>
              <w:spacing w:after="40" w:before="0" w:line="259" w:lineRule="auto"/>
            </w:pPr>
            <w:r>
              <w:rPr>
                <w:rFonts w:ascii="Calibri" w:hAnsi="Calibri"/>
                <w:b w:val="0"/>
                <w:i w:val="0"/>
                <w:color w:val="212121"/>
                <w:sz w:val="19"/>
              </w:rPr>
              <w:t>Irreversible, disabling and life-threatening end-outcomes of untreated progressive CKD.</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Present in about two-thirds of Indian CKD patients; it both causes hypertensive nephrosclerosis and is worsened by salt-water retention as kidneys fail — a self-reinforcing cycle central to CKD management.</w:t>
            </w:r>
          </w:p>
          <w:p>
            <w:pPr>
              <w:spacing w:after="40" w:before="0" w:line="259" w:lineRule="auto"/>
            </w:pPr>
            <w:r>
              <w:rPr>
                <w:rFonts w:ascii="Calibri" w:hAnsi="Calibri"/>
                <w:b/>
                <w:i w:val="0"/>
                <w:color w:val="212121"/>
                <w:sz w:val="19"/>
              </w:rPr>
              <w:t>Up to 64.5%</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Erythropoietin and iron deficiency make anaemia a defining complication of CKD, worsening fatigue, cardiac strain and quality of life.</w:t>
            </w:r>
          </w:p>
          <w:p>
            <w:pPr>
              <w:spacing w:after="40" w:before="0" w:line="259" w:lineRule="auto"/>
            </w:pPr>
            <w:r>
              <w:rPr>
                <w:rFonts w:ascii="Calibri" w:hAnsi="Calibri"/>
                <w:b/>
                <w:i w:val="0"/>
                <w:color w:val="212121"/>
                <w:sz w:val="19"/>
              </w:rPr>
              <w:t>Up to 40.7%</w:t>
            </w:r>
          </w:p>
        </w:tc>
      </w:tr>
      <w:tr>
        <w:trPr>
          <w:cantSplit/>
        </w:trPr>
        <w:tc>
          <w:tcPr>
            <w:tcW w:type="dxa" w:w="2232"/>
            <w:vAlign w:val="top"/>
          </w:tcPr>
          <w:p>
            <w:pPr>
              <w:spacing w:after="40" w:before="0" w:line="259" w:lineRule="auto"/>
            </w:pPr>
            <w:r>
              <w:rPr>
                <w:rFonts w:ascii="Calibri" w:hAnsi="Calibri"/>
                <w:b/>
                <w:i w:val="0"/>
                <w:color w:val="212121"/>
                <w:sz w:val="19"/>
              </w:rPr>
              <w:t>Diabetes mellitus / diabetic nephropathy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leading cause of CKD in India; CKD in turn alters insulin clearance and glycaemic control and constrains drug choice, making the relationship bidirectional.</w:t>
            </w:r>
          </w:p>
          <w:p>
            <w:pPr>
              <w:spacing w:after="40" w:before="0" w:line="259" w:lineRule="auto"/>
            </w:pPr>
            <w:r>
              <w:rPr>
                <w:rFonts w:ascii="Calibri" w:hAnsi="Calibri"/>
                <w:b/>
                <w:i w:val="0"/>
                <w:color w:val="212121"/>
                <w:sz w:val="19"/>
              </w:rPr>
              <w:t>Up to 31.6%</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CKD and CVD share risk factors and mechanisms; cardiovascular events are the commonest cause of death in CKD, and heart failure lowers renal perfusion (cardiorenal syndrome).</w:t>
            </w:r>
          </w:p>
        </w:tc>
      </w:tr>
      <w:tr>
        <w:trPr>
          <w:cantSplit/>
        </w:trPr>
        <w:tc>
          <w:tcPr>
            <w:tcW w:type="dxa" w:w="2232"/>
            <w:vAlign w:val="top"/>
          </w:tcPr>
          <w:p>
            <w:pPr>
              <w:spacing w:after="40" w:before="0" w:line="259" w:lineRule="auto"/>
            </w:pPr>
            <w:r>
              <w:rPr>
                <w:rFonts w:ascii="Calibri" w:hAnsi="Calibri"/>
                <w:b/>
                <w:i w:val="0"/>
                <w:color w:val="212121"/>
                <w:sz w:val="19"/>
              </w:rPr>
              <w:t>CKD–mineral and bone disorder / secondary hyperparathyroidism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Failing phosphate excretion and vitamin-D activation raise PTH and cause renal osteodystrophy and vascular calcification.</w:t>
            </w:r>
          </w:p>
        </w:tc>
      </w:tr>
      <w:tr>
        <w:trPr>
          <w:cantSplit/>
        </w:trPr>
        <w:tc>
          <w:tcPr>
            <w:tcW w:type="dxa" w:w="2232"/>
            <w:vAlign w:val="top"/>
          </w:tcPr>
          <w:p>
            <w:pPr>
              <w:spacing w:after="40" w:before="0" w:line="259" w:lineRule="auto"/>
            </w:pPr>
            <w:r>
              <w:rPr>
                <w:rFonts w:ascii="Calibri" w:hAnsi="Calibri"/>
                <w:b/>
                <w:i w:val="0"/>
                <w:color w:val="212121"/>
                <w:sz w:val="19"/>
              </w:rPr>
              <w:t>Metabolic acidosis &amp; hyperkalaemia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acid and potassium excretion cause acidosis and hyperkalaemia that can be immediately life-threatening and dictate urgent treatment or dialysis.</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Abnormal lipids are common in CKD, share metabolic-syndrome pathophysiology and add to the already high cardiovascular risk.</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CKD; intermittent hypoxia and fluid shifts raise blood pressure and albuminuria, while fluid overload worsens apnoea.</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 in CKD (bidirectional); it reduces adherence to diet, medication and dialysis and is linked to faster progression and higher mortality.</w:t>
            </w:r>
          </w:p>
        </w:tc>
      </w:tr>
      <w:tr>
        <w:trPr>
          <w:cantSplit/>
        </w:trPr>
        <w:tc>
          <w:tcPr>
            <w:tcW w:type="dxa" w:w="2232"/>
            <w:vAlign w:val="top"/>
          </w:tcPr>
          <w:p>
            <w:pPr>
              <w:spacing w:after="40" w:before="0" w:line="259" w:lineRule="auto"/>
            </w:pPr>
            <w:r>
              <w:rPr>
                <w:rFonts w:ascii="Calibri" w:hAnsi="Calibri"/>
                <w:b/>
                <w:i w:val="0"/>
                <w:color w:val="212121"/>
                <w:sz w:val="19"/>
              </w:rPr>
              <w:t>Hyperuricaemia / gout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urate excretion raises serum uric acid; hyperuricaemia may in turn contribute to CKD progression and complicates drug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your risk: get eGFR and urine ACR checked yearly if you have diabetes, hypertension, heart disease, obesity, a family history of kidney disease, or are over 60.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early CKD is silent — normal energy and urine do not mean healthy kidneys; screening is the only way to detect it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over-the-counter painkillers (NSAIDs) taken regularly, and never use unregulated herbal, Ayurvedic or heavy-metal-containing remedies for the kidneys.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blood pressure and blood sugar at target and take medicines as prescribed; do not stop kidney-protective drugs (ACE inhibitors/ARBs) without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features — foamy urine, ankle swelling, persistent fatigue, poor appetite — and seek testing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well-hydrated during outdoor and heat-exposed work to prevent recurrent dehydration injury (relevant in agricultural/CKDu belts).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over 60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 of CKD/PKD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 and heat-exposed workers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(brisk walking, cycling) to lower blood pressure and improve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overweight/obese to reduce glomerular hyperfiltration and proteinuria.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light resistance training 2–3 days/week to preserve muscle mass, which is often lost in CKD.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Tailor intensity to stage and cardiovascular status; even reduced activity is better than a sedentary routine.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Early-stage CKD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salt to under 5 g/day — limit pickles, papads, processed and restaurant foods — to control blood pressure and proteinuria.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more fruit and vegetables and whole grains; prefer home-cooked, minimally processed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habitual very high animal-protein intake and protein supplements without medical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sugary drinks and refined carbohydrates to prevent diabetes and obesity.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High-salt-diet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Prediabetics/diabetics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an individualised renal diet with a dietitian: controlled protein (~0.8 g/kg/day in non-dialysis CKD), and restricted sodium, potassium and phosphate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high-potassium foods (coconut water, bananas, citrus, potatoes) if potassium is high; limit phosphate (colas, processed cheese, nuts) in advanced stages.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Match fluid intake to urine output and doctor's advice in advanced/oliguric CKD to avoid overload.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malnutrition — ensure adequate calories and supervised protein rather than indiscriminate restriction.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stage 3–5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Hyperkalaemic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Fluid-overloaded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help control blood pressure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(snoring, daytime sleepiness), which worsens hypertension and albuminuria.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restless legs and nocturnal cramps, common in CKD, with medical advice rather than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 timing and limit late-night screen and caffeine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 OSA-risk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all tobacco — smoking and smokeless tobacco both accelerate albuminuria and GFR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quit-lines) to improve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blood-pressure and glucose control for maximum kidney and cardiovascular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hypertensives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Cardiovascular-risk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to no more than 14 standard drinks/week and avoid binge drinking to protect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drinking worsens hypertension and glycaemic and lipid control, indirectly harming the kidneys.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combined with NSAIDs, which compounds nephrotoxic and gastrointestinal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dependence; abstinence is advisable in advanced CKD and on dialysis.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in CKD and reduce adherence to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counselling, structured support and, where needed, medication chosen for renal safety.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dialysis and transplant patients with psychosocial and peer support to sustain adherence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stress-management (yoga, breathing, mindfulness) as an adjunct to blood-pressure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 and transplant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adherence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mcnephrol.biomedcentral.com/articles/10.1186/1471-2369-14-114" TargetMode="External"/><Relationship Id="rId10" Type="http://schemas.openxmlformats.org/officeDocument/2006/relationships/hyperlink" Target="https://www.cdc.gov/kidney-disease/php/data-research/index.html" TargetMode="External"/><Relationship Id="rId11" Type="http://schemas.openxmlformats.org/officeDocument/2006/relationships/hyperlink" Target="https://bmcnephrol.biomedcentral.com/articles/10.1186/1471-2369-13-10" TargetMode="External"/><Relationship Id="rId12" Type="http://schemas.openxmlformats.org/officeDocument/2006/relationships/hyperlink" Target="https://www.niddk.nih.gov/health-information/kidney-disease/chronic-kidney-disease-ckd/causes" TargetMode="External"/><Relationship Id="rId13" Type="http://schemas.openxmlformats.org/officeDocument/2006/relationships/hyperlink" Target="https://www.kidney.org/kidney-topics/chronic-kidney-disease-ckd" TargetMode="External"/><Relationship Id="rId14" Type="http://schemas.openxmlformats.org/officeDocument/2006/relationships/hyperlink" Target="https://www.cdc.gov/kidney-disease/prevention/index.html" TargetMode="External"/><Relationship Id="rId15" Type="http://schemas.openxmlformats.org/officeDocument/2006/relationships/hyperlink" Target="https://www.cdc.gov/kidney-disease/risk-factors/index.html" TargetMode="External"/><Relationship Id="rId16" Type="http://schemas.openxmlformats.org/officeDocument/2006/relationships/hyperlink" Target="https://www.ncbi.nlm.nih.gov/books/NBK535404/" TargetMode="External"/><Relationship Id="rId17" Type="http://schemas.openxmlformats.org/officeDocument/2006/relationships/hyperlink" Target="https://www.who.int/news-room/fact-sheets/detail/diabetes" TargetMode="External"/><Relationship Id="rId18" Type="http://schemas.openxmlformats.org/officeDocument/2006/relationships/hyperlink" Target="https://www.kidney.org/atoz/content/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