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Acute Kidney Injury</w:t>
      </w:r>
    </w:p>
    <w:p>
      <w:pPr>
        <w:spacing w:before="0" w:after="160"/>
      </w:pPr>
      <w:r>
        <w:rPr>
          <w:rFonts w:ascii="Calibri" w:hAnsi="Calibri"/>
          <w:b/>
          <w:i w:val="0"/>
          <w:color w:val="212121"/>
          <w:sz w:val="22"/>
        </w:rPr>
        <w:t xml:space="preserve">AKA </w:t>
      </w:r>
      <w:r>
        <w:rPr>
          <w:rFonts w:ascii="Calibri" w:hAnsi="Calibri"/>
          <w:b w:val="0"/>
          <w:i w:val="0"/>
          <w:color w:val="212121"/>
          <w:sz w:val="22"/>
        </w:rPr>
        <w:t>i.e., Acute Renal Failure (ARF), Acute Kidney Failure, Acute Renal Insufficiency, Acute Tubular Necrosis (ATN, when tubular)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Acute kidney injury (AKI) is an abrupt (hours-to-days) decline in kidney function, defined by the KDIGO criteria as a rise in serum creatinine of ≥ 0.3 mg/dL within 48 hours, a rise to ≥ 1.5 times baseline within the prior 7 days, or urine output &lt; 0.5 mL/kg/h for at least 6 hours. It reflects a sudden failure to excrete nitrogenous wastes and to maintain fluid, electrolyte and acid-base balance. Unlike chronic kidney disease it is frequently reversible when the underlying cause is corrected early, but it carries high in-hospital mortality and markedly raises the long-term risk of chronic kidney disease. In India, community-acquired AKI from tropical infections, diarrhoeal volume depletion, obstetric complications, envenomation and nephrotoxins predominates, in contrast to the sepsis-, surgery- and contrast-related hospital AKI of high-income countries.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 International Society of Nephrology's 0by25 initiative estimates about 13.3 million cases of AKI worldwide each year — roughly 11.3 million of them in low- and middle-income countries — contributing to an estimated 1.4 million deaths annually, with around 85% of the global burden falling on developing nations. In India, community-acquired AKI is common and rising: hospital incidence increased from 1.95 to 4.19 per 1,000 admissions over successive decades in eastern India, while AKI complicates roughly 5.8% of intensive-care admissions in South Indian series and up to about 35% of some critical-care cohorts, with in-hospital mortality of 30-45% in severe or ICU-associated AKI.</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AKI is diagnosed and staged using the KDIGO 2012 criteria, based on a rise in serum creatinine and/or a fall in urine output, after identifying and correcting reversible pre-renal and post-renal factors: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increase in serum creatinine of ≥ 0.3 mg/dL (≥ 26.5 µmol/L) within 48 hours; 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increase in serum creatinine to ≥ 1.5 times the known or presumed baseline within the prior 7 days; 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urine output of &lt; 0.5 mL/kg/h sustained for ≥ 6 hours (oliguria);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features — rising blood urea, hyperkalaemia, metabolic acidosis, and an abnormal urinary sediment (muddy-brown granular casts in ATN, red-cell casts in glomerulonephritis, white cells/eosinophils in interstitial nephritis) — help localise the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pre-renal azotaemia (volume depletion, correctable by fluids) and post-renal obstruction (hydronephrosis on ultrasound) is essential before labelling AKI as intrinsic/parenchymal.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AKI is classified anatomically by the site of the insult (pre-renal, intrinsic/renal, post-renal) and by severity using the KDIGO staging system:</w:t>
      </w:r>
    </w:p>
    <w:p>
      <w:pPr>
        <w:spacing w:before="0" w:after="80"/>
      </w:pPr>
      <w:r>
        <w:rPr>
          <w:rFonts w:ascii="Calibri" w:hAnsi="Calibri"/>
          <w:b w:val="0"/>
          <w:i w:val="0"/>
          <w:color w:val="212121"/>
          <w:sz w:val="21"/>
        </w:rPr>
        <w:t>(1) Pre-renal AKI: a functional, potentially fully reversible fall in perfusion without structural damage — from volume depletion (diarrhoea, vomiting, haemorrhage, burns, dehydration), sepsis-related vasodilatation, hypotension, heart failure or hepatorenal syndrome; it is the commonest community form and corrects rapidly if perfusion is restored before tubular injury sets in;</w:t>
      </w:r>
    </w:p>
    <w:p>
      <w:pPr>
        <w:spacing w:before="0" w:after="80"/>
      </w:pPr>
      <w:r>
        <w:rPr>
          <w:rFonts w:ascii="Calibri" w:hAnsi="Calibri"/>
          <w:b w:val="0"/>
          <w:i w:val="0"/>
          <w:color w:val="212121"/>
          <w:sz w:val="21"/>
        </w:rPr>
        <w:t>(2) Intrinsic (renal) AKI: structural parenchymal damage — acute tubular necrosis (ischaemic or nephrotoxic, including pigment nephropathy from rhabdomyolysis or intravascular haemolysis), acute interstitial nephritis (drugs, infection), acute glomerulonephritis, thrombotic microangiopathy/HUS, and renal cortical necrosis;</w:t>
      </w:r>
    </w:p>
    <w:p>
      <w:pPr>
        <w:spacing w:before="0" w:after="80"/>
      </w:pPr>
      <w:r>
        <w:rPr>
          <w:rFonts w:ascii="Calibri" w:hAnsi="Calibri"/>
          <w:b w:val="0"/>
          <w:i w:val="0"/>
          <w:color w:val="212121"/>
          <w:sz w:val="21"/>
        </w:rPr>
        <w:t>(3) Post-renal (obstructive) AKI: obstruction anywhere from renal pelvis to urethra — bilateral stones, benign prostatic hyperplasia, pelvic or retroperitoneal malignancy, papillary necrosis or neurogenic bladder;</w:t>
      </w:r>
    </w:p>
    <w:p>
      <w:pPr>
        <w:spacing w:before="0" w:after="80"/>
      </w:pPr>
      <w:r>
        <w:rPr>
          <w:rFonts w:ascii="Calibri" w:hAnsi="Calibri"/>
          <w:b w:val="0"/>
          <w:i w:val="0"/>
          <w:color w:val="212121"/>
          <w:sz w:val="21"/>
        </w:rPr>
        <w:t>(4) By KDIGO stage: Stage 1 (creatinine 1.5-1.9× baseline or ≥ 0.3 mg/dL rise; urine &lt; 0.5 mL/kg/h for 6-12 h); Stage 2 (creatinine 2.0-2.9× baseline; urine &lt; 0.5 mL/kg/h for ≥ 12 h); Stage 3 (creatinine ≥ 3× baseline or ≥ 4.0 mg/dL, or need for renal replacement therapy; urine &lt; 0.3 mL/kg/h for ≥ 24 h or anuria ≥ 12 h).</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Volume depletion (pre-renal): Diarrhoea, vomiting, haemorrhage, burns and dehydration reduce renal perfusion; diarrhoeal disease remains a leading community cause of AKI in India, especially in children and during monsoon.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Sepsis: The dominant cause of hospital- and ICU-acquired AKI; septic AKI arises from systemic inflammation, microcirculatory dysfunction, tubular injury and hypotension, and accounts for the largest share of severe AKI.</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Tropical infections: Falciparum malaria, dengue, leptospirosis, scrub typhus and enteric fever cause AKI through haemolysis, hypovolaemia, direct tubular/interstitial injury and immune mechanisms — markedly seasonal in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Nephrotoxins: NSAIDs, aminoglycosides, iodinated contrast, ACE inhibitors/ARBs, and unregulated herbal, Ayurvedic or heavy-metal-containing indigenous remedies are common, largely preventable precipitants.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Obstetric causes: Puerperal sepsis, postpartum haemorrhage, pre-eclampsia/eclampsia, HELLP syndrome and septic abortion produce pregnancy-related AKI, sometimes with cortical necrosis.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Envenomation and pigment nephropathy: Haemotoxic snakebite (Russell's viper, saw-scaled viper), bee/wasp stings, crush/exertional/heat-related rhabdomyolysis and intravascular haemolysis release nephrotoxic pigments.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Urinary obstruction (post-renal): Bilateral urolithiasis, benign prostatic hyperplasia, pelvic malignancy and papillary necrosis obstruct outflow and, if relieved early, are reversible.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Productive-age adults bear much of India's community-acquired AKI because tropical infections, diarrhoeal illness, envenomation, obstetric events and nephrotoxin exposure concentrate in this group; AKI in this cohort is often single-organ and reversible if treated early.</w:t>
            </w:r>
          </w:p>
          <w:p>
            <w:pPr>
              <w:spacing w:after="40" w:before="60" w:line="259" w:lineRule="auto"/>
            </w:pPr>
            <w:r>
              <w:rPr>
                <w:rFonts w:ascii="Calibri" w:hAnsi="Calibri"/>
                <w:b w:val="0"/>
                <w:i w:val="0"/>
                <w:color w:val="212121"/>
                <w:sz w:val="19"/>
              </w:rPr>
              <w:t>In a 26-year eastern-India series of 2,405 community-acquired AKI cases the mean age was ~40 years (male:female ~1.33:1), and monsoon infectious-AKI cohorts show a similar mean age of ~41 years.</w:t>
            </w:r>
          </w:p>
          <w:p>
            <w:pPr>
              <w:spacing w:after="40" w:line="252" w:lineRule="auto"/>
            </w:pPr>
            <w:hyperlink r:id="rId9">
              <w:r>
                <w:rPr>
                  <w:rFonts w:ascii="Calibri" w:hAnsi="Calibri" w:cs="Calibri"/>
                  <w:sz w:val="18"/>
                  <w:color w:val="1155CC"/>
                  <w:u w:val="single"/>
                </w:rPr>
                <w:t xml:space="preserve">academic.oup.com/ckj — community-acquired AKI, eastern India</w:t>
              </w:r>
            </w:hyperlink>
          </w:p>
          <w:p>
            <w:pPr>
              <w:spacing w:before="60" w:after="40"/>
            </w:pPr>
            <w:r>
              <w:rPr>
                <w:rFonts w:ascii="Calibri" w:hAnsi="Calibri"/>
                <w:b w:val="0"/>
                <w:i w:val="0"/>
                <w:color w:val="5A5A5A"/>
                <w:sz w:val="18"/>
              </w:rPr>
              <w:t>#AKI  #communityacquired  #tropical  #productiveage  #reversible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60 years)</w:t>
            </w:r>
          </w:p>
        </w:tc>
        <w:tc>
          <w:tcPr>
            <w:tcW w:type="dxa" w:w="4276"/>
            <w:vAlign w:val="top"/>
          </w:tcPr>
          <w:p>
            <w:pPr>
              <w:spacing w:after="60" w:line="259" w:lineRule="auto"/>
            </w:pPr>
            <w:r>
              <w:rPr>
                <w:rFonts w:ascii="Calibri" w:hAnsi="Calibri"/>
                <w:b w:val="0"/>
                <w:i w:val="0"/>
                <w:color w:val="212121"/>
                <w:sz w:val="19"/>
              </w:rPr>
              <w:t>Reduced renal reserve, age-related nephrosclerosis, polypharmacy, atherosclerosis, benign prostatic obstruction and susceptibility to sepsis and contrast make the elderly highly prone to AKI and slow to recover, with a greater tendency to progress to CKD.</w:t>
            </w:r>
          </w:p>
          <w:p>
            <w:pPr>
              <w:spacing w:after="40" w:before="60" w:line="259" w:lineRule="auto"/>
            </w:pPr>
            <w:r>
              <w:rPr>
                <w:rFonts w:ascii="Calibri" w:hAnsi="Calibri"/>
                <w:b w:val="0"/>
                <w:i w:val="0"/>
                <w:color w:val="212121"/>
                <w:sz w:val="19"/>
              </w:rPr>
              <w:t>In a South-Indian ICU AKI cohort the largest share of patients was aged 61-70 years (22.8%), and older age is consistently linked to poorer renal recovery.</w:t>
            </w:r>
          </w:p>
          <w:p>
            <w:pPr>
              <w:spacing w:after="40" w:line="252" w:lineRule="auto"/>
            </w:pPr>
            <w:hyperlink r:id="rId10">
              <w:r>
                <w:rPr>
                  <w:rFonts w:ascii="Calibri" w:hAnsi="Calibri" w:cs="Calibri"/>
                  <w:sz w:val="18"/>
                  <w:color w:val="1155CC"/>
                  <w:u w:val="single"/>
                </w:rPr>
                <w:t xml:space="preserve">indianjnephrol.org — AKI in critically ill, South India</w:t>
              </w:r>
            </w:hyperlink>
          </w:p>
          <w:p>
            <w:pPr>
              <w:spacing w:before="60" w:after="40"/>
            </w:pPr>
            <w:r>
              <w:rPr>
                <w:rFonts w:ascii="Calibri" w:hAnsi="Calibri"/>
                <w:b w:val="0"/>
                <w:i w:val="0"/>
                <w:color w:val="5A5A5A"/>
                <w:sz w:val="18"/>
              </w:rPr>
              <w:t>#elderly  #renalreserve  #polypharmacy  #contrast  #poorrecovery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young adults</w:t>
            </w:r>
          </w:p>
        </w:tc>
        <w:tc>
          <w:tcPr>
            <w:tcW w:type="dxa" w:w="4276"/>
            <w:vAlign w:val="top"/>
          </w:tcPr>
          <w:p>
            <w:pPr>
              <w:spacing w:after="60" w:line="259" w:lineRule="auto"/>
            </w:pPr>
            <w:r>
              <w:rPr>
                <w:rFonts w:ascii="Calibri" w:hAnsi="Calibri"/>
                <w:b w:val="0"/>
                <w:i w:val="0"/>
                <w:color w:val="212121"/>
                <w:sz w:val="19"/>
              </w:rPr>
              <w:t>In developing regions children and young adults are disproportionately affected, chiefly by diarrhoeal volume depletion, haemolytic-uraemic syndrome, malaria and other infections rather than the surgical/cardiac causes seen in the West.</w:t>
            </w:r>
          </w:p>
          <w:p>
            <w:pPr>
              <w:spacing w:after="40" w:before="60" w:line="259" w:lineRule="auto"/>
            </w:pPr>
            <w:r>
              <w:rPr>
                <w:rFonts w:ascii="Calibri" w:hAnsi="Calibri"/>
                <w:b w:val="0"/>
                <w:i w:val="0"/>
                <w:color w:val="212121"/>
                <w:sz w:val="19"/>
              </w:rPr>
              <w:t>In developing-country series children have comprised more than 15% of AKI patients, reflecting the heavy burden of diarrhoeal and infectious AKI.</w:t>
            </w:r>
          </w:p>
          <w:p>
            <w:pPr>
              <w:spacing w:after="40" w:line="252" w:lineRule="auto"/>
            </w:pPr>
            <w:hyperlink r:id="rId11">
              <w:r>
                <w:rPr>
                  <w:rFonts w:ascii="Calibri" w:hAnsi="Calibri" w:cs="Calibri"/>
                  <w:sz w:val="18"/>
                  <w:color w:val="1155CC"/>
                  <w:u w:val="single"/>
                </w:rPr>
                <w:t xml:space="preserve">ncbi.nlm.nih.gov PMC5001661 — AKI in developing countries</w:t>
              </w:r>
            </w:hyperlink>
          </w:p>
          <w:p>
            <w:pPr>
              <w:spacing w:before="60" w:after="40"/>
            </w:pPr>
            <w:r>
              <w:rPr>
                <w:rFonts w:ascii="Calibri" w:hAnsi="Calibri"/>
                <w:b w:val="0"/>
                <w:i w:val="0"/>
                <w:color w:val="5A5A5A"/>
                <w:sz w:val="18"/>
              </w:rPr>
              <w:t>#paediatric  #diarrhoea  #HUS  #infection  #youngadults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in Indian AKI cohorts owing to greater occupational heat and dehydration exposure, outdoor snakebite risk, alcohol-related events and referral/access patterns.</w:t>
            </w:r>
          </w:p>
          <w:p>
            <w:pPr>
              <w:spacing w:after="40" w:before="60" w:line="259" w:lineRule="auto"/>
            </w:pPr>
            <w:r>
              <w:rPr>
                <w:rFonts w:ascii="Calibri" w:hAnsi="Calibri"/>
                <w:b w:val="0"/>
                <w:i w:val="0"/>
                <w:color w:val="212121"/>
                <w:sz w:val="19"/>
              </w:rPr>
              <w:t>Monsoon infectious-AKI patients were 79.5% male; ICU AKI cohorts ~60-64% male; snakebite-AKI patients ~62% male.</w:t>
            </w:r>
          </w:p>
          <w:p>
            <w:pPr>
              <w:spacing w:after="40" w:line="252" w:lineRule="auto"/>
            </w:pPr>
            <w:hyperlink r:id="rId12">
              <w:r>
                <w:rPr>
                  <w:rFonts w:ascii="Calibri" w:hAnsi="Calibri" w:cs="Calibri"/>
                  <w:sz w:val="18"/>
                  <w:color w:val="1155CC"/>
                  <w:u w:val="single"/>
                </w:rPr>
                <w:t xml:space="preserve">indianjnephrol.org — monsoon infectious AKI</w:t>
              </w:r>
            </w:hyperlink>
          </w:p>
          <w:p>
            <w:pPr>
              <w:spacing w:before="60" w:after="40"/>
            </w:pPr>
            <w:r>
              <w:rPr>
                <w:rFonts w:ascii="Calibri" w:hAnsi="Calibri"/>
                <w:b w:val="0"/>
                <w:i w:val="0"/>
                <w:color w:val="5A5A5A"/>
                <w:sz w:val="18"/>
              </w:rPr>
              <w:t>#malepredominance  #occupational  #snakebite  #alcohol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populations</w:t>
            </w:r>
          </w:p>
        </w:tc>
        <w:tc>
          <w:tcPr>
            <w:tcW w:type="dxa" w:w="4276"/>
            <w:vAlign w:val="top"/>
          </w:tcPr>
          <w:p>
            <w:pPr>
              <w:spacing w:after="60" w:line="259" w:lineRule="auto"/>
            </w:pPr>
            <w:r>
              <w:rPr>
                <w:rFonts w:ascii="Calibri" w:hAnsi="Calibri"/>
                <w:b w:val="0"/>
                <w:i w:val="0"/>
                <w:color w:val="212121"/>
                <w:sz w:val="19"/>
              </w:rPr>
              <w:t>Poverty drives late presentation, delayed access to dialysis, exposure to unsafe water, traditional-healer remedies and untreated infections, so the community-acquired, preventable AKI burden falls heaviest on the rural poor.</w:t>
            </w:r>
          </w:p>
          <w:p>
            <w:pPr>
              <w:spacing w:after="40" w:before="60" w:line="259" w:lineRule="auto"/>
            </w:pPr>
            <w:r>
              <w:rPr>
                <w:rFonts w:ascii="Calibri" w:hAnsi="Calibri"/>
                <w:b w:val="0"/>
                <w:i w:val="0"/>
                <w:color w:val="212121"/>
                <w:sz w:val="19"/>
              </w:rPr>
              <w:t>About 85% of the estimated 13.3 million annual global AKI cases occur in the developing world, where community-acquired AKI predominates.</w:t>
            </w:r>
          </w:p>
          <w:p>
            <w:pPr>
              <w:spacing w:after="40" w:line="252" w:lineRule="auto"/>
            </w:pPr>
            <w:hyperlink r:id="rId11">
              <w:r>
                <w:rPr>
                  <w:rFonts w:ascii="Calibri" w:hAnsi="Calibri" w:cs="Calibri"/>
                  <w:sz w:val="18"/>
                  <w:color w:val="1155CC"/>
                  <w:u w:val="single"/>
                </w:rPr>
                <w:t xml:space="preserve">ncbi.nlm.nih.gov PMC5001661 — AKI in developing countries</w:t>
              </w:r>
            </w:hyperlink>
          </w:p>
          <w:p>
            <w:pPr>
              <w:spacing w:before="60" w:after="40"/>
            </w:pPr>
            <w:r>
              <w:rPr>
                <w:rFonts w:ascii="Calibri" w:hAnsi="Calibri"/>
                <w:b w:val="0"/>
                <w:i w:val="0"/>
                <w:color w:val="5A5A5A"/>
                <w:sz w:val="18"/>
              </w:rPr>
              <w:t>#poverty  #latepresentation  #accessgap  #communityacquired</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Monsoon &amp; tropical belts (eastern, coastal &amp; agricultural India)</w:t>
            </w:r>
          </w:p>
        </w:tc>
        <w:tc>
          <w:tcPr>
            <w:tcW w:type="dxa" w:w="4276"/>
            <w:vAlign w:val="top"/>
          </w:tcPr>
          <w:p>
            <w:pPr>
              <w:spacing w:after="60" w:line="259" w:lineRule="auto"/>
            </w:pPr>
            <w:r>
              <w:rPr>
                <w:rFonts w:ascii="Calibri" w:hAnsi="Calibri"/>
                <w:b w:val="0"/>
                <w:i w:val="0"/>
                <w:color w:val="212121"/>
                <w:sz w:val="19"/>
              </w:rPr>
              <w:t>Hot, humid and flood-prone agricultural regions see seasonal surges of malaria, dengue, leptospirosis, gastroenteritis and snakebite, producing a distinctive monsoon spike in community-acquired AKI.</w:t>
            </w:r>
          </w:p>
          <w:p>
            <w:pPr>
              <w:spacing w:after="40" w:before="60" w:line="259" w:lineRule="auto"/>
            </w:pPr>
            <w:r>
              <w:rPr>
                <w:rFonts w:ascii="Calibri" w:hAnsi="Calibri"/>
                <w:b w:val="0"/>
                <w:i w:val="0"/>
                <w:color w:val="212121"/>
                <w:sz w:val="19"/>
              </w:rPr>
              <w:t>Among monsoon infectious AKI in India, malaria caused 28.3%, acute gastroenteritis 23%, dengue 16.5% and leptospirosis 13% of cases.</w:t>
            </w:r>
          </w:p>
          <w:p>
            <w:pPr>
              <w:spacing w:after="40" w:line="252" w:lineRule="auto"/>
            </w:pPr>
            <w:hyperlink r:id="rId12">
              <w:r>
                <w:rPr>
                  <w:rFonts w:ascii="Calibri" w:hAnsi="Calibri" w:cs="Calibri"/>
                  <w:sz w:val="18"/>
                  <w:color w:val="1155CC"/>
                  <w:u w:val="single"/>
                </w:rPr>
                <w:t xml:space="preserve">indianjnephrol.org — monsoon infectious AKI</w:t>
              </w:r>
            </w:hyperlink>
          </w:p>
          <w:p>
            <w:pPr>
              <w:spacing w:before="60" w:after="40"/>
            </w:pPr>
            <w:r>
              <w:rPr>
                <w:rFonts w:ascii="Calibri" w:hAnsi="Calibri"/>
                <w:b w:val="0"/>
                <w:i w:val="0"/>
                <w:color w:val="5A5A5A"/>
                <w:sz w:val="18"/>
              </w:rPr>
              <w:t>#monsoon  #malaria  #leptospirosis  #dengue  #seasonal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heat &amp; dehydration</w:t>
            </w:r>
          </w:p>
        </w:tc>
        <w:tc>
          <w:tcPr>
            <w:tcW w:type="dxa" w:w="2160"/>
            <w:vAlign w:val="top"/>
          </w:tcPr>
          <w:p>
            <w:pPr>
              <w:spacing w:after="40" w:before="0" w:line="259" w:lineRule="auto"/>
            </w:pPr>
            <w:r>
              <w:rPr>
                <w:rFonts w:ascii="Calibri" w:hAnsi="Calibri"/>
                <w:b w:val="0"/>
                <w:i w:val="0"/>
                <w:color w:val="212121"/>
                <w:sz w:val="19"/>
              </w:rPr>
              <w:t>Farmers, field &amp; construction labourers</w:t>
            </w:r>
          </w:p>
        </w:tc>
        <w:tc>
          <w:tcPr>
            <w:tcW w:type="dxa" w:w="4276"/>
            <w:vAlign w:val="top"/>
          </w:tcPr>
          <w:p>
            <w:pPr>
              <w:spacing w:after="60" w:line="259" w:lineRule="auto"/>
            </w:pPr>
            <w:r>
              <w:rPr>
                <w:rFonts w:ascii="Calibri" w:hAnsi="Calibri"/>
                <w:b w:val="0"/>
                <w:i w:val="0"/>
                <w:color w:val="212121"/>
                <w:sz w:val="19"/>
              </w:rPr>
              <w:t>Recurrent heat stress and volume depletion during outdoor manual work precipitate pre-renal AKI and rhabdomyolysis, and outdoor labour also raises exposure to snakebite and leptospirosis.</w:t>
            </w:r>
          </w:p>
          <w:p>
            <w:pPr>
              <w:spacing w:after="40" w:before="60" w:line="259" w:lineRule="auto"/>
            </w:pPr>
            <w:r>
              <w:rPr>
                <w:rFonts w:ascii="Calibri" w:hAnsi="Calibri"/>
                <w:b w:val="0"/>
                <w:i w:val="0"/>
                <w:color w:val="212121"/>
                <w:sz w:val="19"/>
              </w:rPr>
              <w:t>Volume depletion and heat exposure are leading precipitants of community-acquired AKI in developing countries, disproportionately affecting outdoor manual workers.</w:t>
            </w:r>
          </w:p>
          <w:p>
            <w:pPr>
              <w:spacing w:after="40" w:line="252" w:lineRule="auto"/>
            </w:pPr>
            <w:hyperlink r:id="rId11">
              <w:r>
                <w:rPr>
                  <w:rFonts w:ascii="Calibri" w:hAnsi="Calibri" w:cs="Calibri"/>
                  <w:sz w:val="18"/>
                  <w:color w:val="1155CC"/>
                  <w:u w:val="single"/>
                </w:rPr>
                <w:t xml:space="preserve">ncbi.nlm.nih.gov PMC5001661 — AKI in developing countries</w:t>
              </w:r>
            </w:hyperlink>
          </w:p>
          <w:p>
            <w:pPr>
              <w:spacing w:before="60" w:after="40"/>
            </w:pPr>
            <w:r>
              <w:rPr>
                <w:rFonts w:ascii="Calibri" w:hAnsi="Calibri"/>
                <w:b w:val="0"/>
                <w:i w:val="0"/>
                <w:color w:val="5A5A5A"/>
                <w:sz w:val="18"/>
              </w:rPr>
              <w:t>#heatstress  #dehydration  #occupational  #rhabdomyolysis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Nephrotoxin &amp; herbal-remedy use</w:t>
            </w:r>
          </w:p>
        </w:tc>
        <w:tc>
          <w:tcPr>
            <w:tcW w:type="dxa" w:w="2160"/>
            <w:vAlign w:val="top"/>
          </w:tcPr>
          <w:p>
            <w:pPr>
              <w:spacing w:after="40" w:before="0" w:line="259" w:lineRule="auto"/>
            </w:pPr>
            <w:r>
              <w:rPr>
                <w:rFonts w:ascii="Calibri" w:hAnsi="Calibri"/>
                <w:b w:val="0"/>
                <w:i w:val="0"/>
                <w:color w:val="212121"/>
                <w:sz w:val="19"/>
              </w:rPr>
              <w:t>Users of NSAIDs, indigenous &amp; OTC remedies</w:t>
            </w:r>
          </w:p>
        </w:tc>
        <w:tc>
          <w:tcPr>
            <w:tcW w:type="dxa" w:w="4276"/>
            <w:vAlign w:val="top"/>
          </w:tcPr>
          <w:p>
            <w:pPr>
              <w:spacing w:after="60" w:line="259" w:lineRule="auto"/>
            </w:pPr>
            <w:r>
              <w:rPr>
                <w:rFonts w:ascii="Calibri" w:hAnsi="Calibri"/>
                <w:b w:val="0"/>
                <w:i w:val="0"/>
                <w:color w:val="212121"/>
                <w:sz w:val="19"/>
              </w:rPr>
              <w:t>Easy over-the-counter access to NSAIDs and reliance on unregulated Ayurvedic, Siddha or heavy-metal-containing remedies causes nephrotoxic tubular injury and interstitial nephritis — a major preventable route to AKI.</w:t>
            </w:r>
          </w:p>
          <w:p>
            <w:pPr>
              <w:spacing w:after="40" w:before="60" w:line="259" w:lineRule="auto"/>
            </w:pPr>
            <w:r>
              <w:rPr>
                <w:rFonts w:ascii="Calibri" w:hAnsi="Calibri"/>
                <w:b w:val="0"/>
                <w:i w:val="0"/>
                <w:color w:val="212121"/>
                <w:sz w:val="19"/>
              </w:rPr>
              <w:t>Traditional remedies account for up to 35% of AKI in the developing world, and about two-thirds of Indian CKD patients report using some form of alternative medicine.</w:t>
            </w:r>
          </w:p>
          <w:p>
            <w:pPr>
              <w:spacing w:after="40" w:line="252" w:lineRule="auto"/>
            </w:pPr>
            <w:hyperlink r:id="rId13">
              <w:r>
                <w:rPr>
                  <w:rFonts w:ascii="Calibri" w:hAnsi="Calibri" w:cs="Calibri"/>
                  <w:sz w:val="18"/>
                  <w:color w:val="1155CC"/>
                  <w:u w:val="single"/>
                </w:rPr>
                <w:t xml:space="preserve">indianjnephrol.org — nephrotoxic indigenous remedies</w:t>
              </w:r>
            </w:hyperlink>
          </w:p>
          <w:p>
            <w:pPr>
              <w:spacing w:before="60" w:after="40"/>
            </w:pPr>
            <w:r>
              <w:rPr>
                <w:rFonts w:ascii="Calibri" w:hAnsi="Calibri"/>
                <w:b w:val="0"/>
                <w:i w:val="0"/>
                <w:color w:val="5A5A5A"/>
                <w:sz w:val="18"/>
              </w:rPr>
              <w:t>#nephrotoxins  #NSAIDs  #herbalremedies  #heavymetals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long-term smokers</w:t>
            </w:r>
          </w:p>
        </w:tc>
        <w:tc>
          <w:tcPr>
            <w:tcW w:type="dxa" w:w="4276"/>
            <w:vAlign w:val="top"/>
          </w:tcPr>
          <w:p>
            <w:pPr>
              <w:spacing w:after="60" w:line="259" w:lineRule="auto"/>
            </w:pPr>
            <w:r>
              <w:rPr>
                <w:rFonts w:ascii="Calibri" w:hAnsi="Calibri"/>
                <w:b w:val="0"/>
                <w:i w:val="0"/>
                <w:color w:val="212121"/>
                <w:sz w:val="19"/>
              </w:rPr>
              <w:t>Smoking causes endothelial and microvascular dysfunction, accelerates atherosclerosis and worsens perioperative and contrast-associated AKI as well as recovery from tubular injury.</w:t>
            </w:r>
          </w:p>
          <w:p>
            <w:pPr>
              <w:spacing w:before="60" w:after="40"/>
            </w:pPr>
            <w:r>
              <w:rPr>
                <w:rFonts w:ascii="Calibri" w:hAnsi="Calibri"/>
                <w:b w:val="0"/>
                <w:i w:val="0"/>
                <w:color w:val="5A5A5A"/>
                <w:sz w:val="18"/>
              </w:rPr>
              <w:t>#smoking  #endothelialdysfunction  #contrastAKI  #vascular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Binge drinking causes volume depletion, rhabdomyolysis and, in advanced liver disease, hepatorenal syndrome; alcoholic ketoacidosis and pancreatitis can also precipitate AKI.</w:t>
            </w:r>
          </w:p>
          <w:p>
            <w:pPr>
              <w:spacing w:before="60" w:after="40"/>
            </w:pPr>
            <w:r>
              <w:rPr>
                <w:rFonts w:ascii="Calibri" w:hAnsi="Calibri"/>
                <w:b w:val="0"/>
                <w:i w:val="0"/>
                <w:color w:val="5A5A5A"/>
                <w:sz w:val="18"/>
              </w:rPr>
              <w:t>#alcohol  #rhabdomyolysis  #hepatorenal  #volumedepletion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Adults with Asian-Indian BMI 23-24.9</w:t>
            </w:r>
          </w:p>
        </w:tc>
        <w:tc>
          <w:tcPr>
            <w:tcW w:type="dxa" w:w="4276"/>
            <w:vAlign w:val="top"/>
          </w:tcPr>
          <w:p>
            <w:pPr>
              <w:spacing w:after="60" w:line="259" w:lineRule="auto"/>
            </w:pPr>
            <w:r>
              <w:rPr>
                <w:rFonts w:ascii="Calibri" w:hAnsi="Calibri"/>
                <w:b w:val="0"/>
                <w:i w:val="0"/>
                <w:color w:val="212121"/>
                <w:sz w:val="19"/>
              </w:rPr>
              <w:t>Overweight raises the risk of diabetes and hypertension — which impair renal autoregulation — and is independently associated with higher AKI rates after surgery, contrast and critical illness.</w:t>
            </w:r>
          </w:p>
          <w:p>
            <w:pPr>
              <w:spacing w:before="60" w:after="40"/>
            </w:pPr>
            <w:r>
              <w:rPr>
                <w:rFonts w:ascii="Calibri" w:hAnsi="Calibri"/>
                <w:b w:val="0"/>
                <w:i w:val="0"/>
                <w:color w:val="5A5A5A"/>
                <w:sz w:val="18"/>
              </w:rPr>
              <w:t>#overweight  #asianbmi  #autoregulation  #perioperative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Adults with obesity (BMI ≥ 25, central)</w:t>
            </w:r>
          </w:p>
        </w:tc>
        <w:tc>
          <w:tcPr>
            <w:tcW w:type="dxa" w:w="4276"/>
            <w:vAlign w:val="top"/>
          </w:tcPr>
          <w:p>
            <w:pPr>
              <w:spacing w:after="60" w:line="259" w:lineRule="auto"/>
            </w:pPr>
            <w:r>
              <w:rPr>
                <w:rFonts w:ascii="Calibri" w:hAnsi="Calibri"/>
                <w:b w:val="0"/>
                <w:i w:val="0"/>
                <w:color w:val="212121"/>
                <w:sz w:val="19"/>
              </w:rPr>
              <w:t>Obesity promotes glomerular hyperfiltration, diabetes and hypertension and is linked to a higher incidence of AKI in critically ill, cardiac-surgery and contrast-exposed patients.</w:t>
            </w:r>
          </w:p>
          <w:p>
            <w:pPr>
              <w:spacing w:before="60" w:after="40"/>
            </w:pPr>
            <w:r>
              <w:rPr>
                <w:rFonts w:ascii="Calibri" w:hAnsi="Calibri"/>
                <w:b w:val="0"/>
                <w:i w:val="0"/>
                <w:color w:val="5A5A5A"/>
                <w:sz w:val="18"/>
              </w:rPr>
              <w:t>#obesity  #hyperfiltration  #criticalillness  #visceralfat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Star fruit (carambola) &amp; high-oxalate / nephrotoxic foods</w:t>
            </w:r>
          </w:p>
        </w:tc>
        <w:tc>
          <w:tcPr>
            <w:tcW w:type="dxa" w:w="4276"/>
            <w:vAlign w:val="top"/>
          </w:tcPr>
          <w:p>
            <w:pPr>
              <w:spacing w:after="60" w:line="259" w:lineRule="auto"/>
            </w:pPr>
            <w:r>
              <w:rPr>
                <w:rFonts w:ascii="Calibri" w:hAnsi="Calibri"/>
                <w:b w:val="0"/>
                <w:i w:val="0"/>
                <w:color w:val="212121"/>
                <w:sz w:val="19"/>
              </w:rPr>
              <w:t>Star fruit contains a neurotoxin and high oxalate that can precipitate acute oxalate nephropathy and neurotoxic AKI, especially when eaten on an empty stomach, when dehydrated, or in those with existing kidney impairment; djenkol bean and some raw-food fads are similarly nephrotoxic.</w:t>
            </w:r>
          </w:p>
          <w:p>
            <w:pPr>
              <w:spacing w:before="60" w:after="40"/>
            </w:pPr>
            <w:r>
              <w:rPr>
                <w:rFonts w:ascii="Calibri" w:hAnsi="Calibri"/>
                <w:b w:val="0"/>
                <w:i w:val="0"/>
                <w:color w:val="5A5A5A"/>
                <w:sz w:val="18"/>
              </w:rPr>
              <w:t>#starfruit  #oxalatenephropathy  #carambola  #dietaryrisk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fluid intake</w:t>
            </w:r>
          </w:p>
        </w:tc>
        <w:tc>
          <w:tcPr>
            <w:tcW w:type="dxa" w:w="2160"/>
            <w:vAlign w:val="top"/>
          </w:tcPr>
          <w:p>
            <w:pPr>
              <w:spacing w:after="40" w:before="0" w:line="259" w:lineRule="auto"/>
            </w:pPr>
            <w:r>
              <w:rPr>
                <w:rFonts w:ascii="Calibri" w:hAnsi="Calibri"/>
                <w:b w:val="0"/>
                <w:i w:val="0"/>
                <w:color w:val="212121"/>
                <w:sz w:val="19"/>
              </w:rPr>
              <w:t>Chronically under-hydrated individuals</w:t>
            </w:r>
          </w:p>
        </w:tc>
        <w:tc>
          <w:tcPr>
            <w:tcW w:type="dxa" w:w="4276"/>
            <w:vAlign w:val="top"/>
          </w:tcPr>
          <w:p>
            <w:pPr>
              <w:spacing w:after="60" w:line="259" w:lineRule="auto"/>
            </w:pPr>
            <w:r>
              <w:rPr>
                <w:rFonts w:ascii="Calibri" w:hAnsi="Calibri"/>
                <w:b w:val="0"/>
                <w:i w:val="0"/>
                <w:color w:val="212121"/>
                <w:sz w:val="19"/>
              </w:rPr>
              <w:t>Inadequate fluid intake, aggravated by heat, fever or diarrhoea, is the commonest trigger of reversible pre-renal AKI; adequate hydration is the single most effective preventive measure.</w:t>
            </w:r>
          </w:p>
          <w:p>
            <w:pPr>
              <w:spacing w:before="60" w:after="40"/>
            </w:pPr>
            <w:r>
              <w:rPr>
                <w:rFonts w:ascii="Calibri" w:hAnsi="Calibri"/>
                <w:b w:val="0"/>
                <w:i w:val="0"/>
                <w:color w:val="5A5A5A"/>
                <w:sz w:val="18"/>
              </w:rPr>
              <w:t>#dehydration  #prerenal  #hydration  #preventable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G6PD deficiency, sickle cell &amp; hereditary nephropathies</w:t>
            </w:r>
          </w:p>
        </w:tc>
        <w:tc>
          <w:tcPr>
            <w:tcW w:type="dxa" w:w="4276"/>
            <w:vAlign w:val="top"/>
          </w:tcPr>
          <w:p>
            <w:pPr>
              <w:spacing w:after="60" w:line="259" w:lineRule="auto"/>
            </w:pPr>
            <w:r>
              <w:rPr>
                <w:rFonts w:ascii="Calibri" w:hAnsi="Calibri"/>
                <w:b w:val="0"/>
                <w:i w:val="0"/>
                <w:color w:val="212121"/>
                <w:sz w:val="19"/>
              </w:rPr>
              <w:t>Inherited red-cell disorders such as G6PD deficiency and sickle cell disease predispose to haemolytic pigment nephropathy (triggered by infections, fava beans or oxidant drugs), while familial glomerular and tubular disorders lower the threshold for acute injury.</w:t>
            </w:r>
          </w:p>
          <w:p>
            <w:pPr>
              <w:spacing w:before="60" w:after="40"/>
            </w:pPr>
            <w:r>
              <w:rPr>
                <w:rFonts w:ascii="Calibri" w:hAnsi="Calibri"/>
                <w:b w:val="0"/>
                <w:i w:val="0"/>
                <w:color w:val="5A5A5A"/>
                <w:sz w:val="18"/>
              </w:rPr>
              <w:t>#G6PD  #sicklecell  #haemolysis  #pigmentnephropathy  #genetic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pre-existing CKD (acute-on-chronic)</w:t>
            </w:r>
          </w:p>
        </w:tc>
        <w:tc>
          <w:tcPr>
            <w:tcW w:type="dxa" w:w="4276"/>
            <w:vAlign w:val="top"/>
          </w:tcPr>
          <w:p>
            <w:pPr>
              <w:spacing w:after="60" w:line="259" w:lineRule="auto"/>
            </w:pPr>
            <w:r>
              <w:rPr>
                <w:rFonts w:ascii="Calibri" w:hAnsi="Calibri"/>
                <w:b w:val="0"/>
                <w:i w:val="0"/>
                <w:color w:val="212121"/>
                <w:sz w:val="19"/>
              </w:rPr>
              <w:t>CKD is the single strongest predisposing factor for AKI (“acute-on-chronic”), and each AKI episode in turn accelerates loss of nephrons; the two are bidirectionally linked and share vascular and fibrotic pathways.</w:t>
            </w:r>
          </w:p>
          <w:p>
            <w:pPr>
              <w:spacing w:after="40" w:before="60" w:line="259" w:lineRule="auto"/>
            </w:pPr>
            <w:r>
              <w:rPr>
                <w:rFonts w:ascii="Calibri" w:hAnsi="Calibri"/>
                <w:b w:val="0"/>
                <w:i w:val="0"/>
                <w:color w:val="212121"/>
                <w:sz w:val="19"/>
              </w:rPr>
              <w:t>A meta-analysis found AKI survivors had a pooled adjusted hazard ratio of 8.8 for developing CKD and 3.1 for end-stage renal disease.</w:t>
            </w:r>
          </w:p>
          <w:p>
            <w:pPr>
              <w:spacing w:after="40" w:line="252" w:lineRule="auto"/>
            </w:pPr>
            <w:hyperlink r:id="rId14">
              <w:r>
                <w:rPr>
                  <w:rFonts w:ascii="Calibri" w:hAnsi="Calibri" w:cs="Calibri"/>
                  <w:sz w:val="18"/>
                  <w:color w:val="1155CC"/>
                  <w:u w:val="single"/>
                </w:rPr>
                <w:t xml:space="preserve">pubmed.ncbi.nlm.nih.gov/22113526 — CKD after AKI meta-analysis</w:t>
              </w:r>
            </w:hyperlink>
          </w:p>
          <w:p>
            <w:pPr>
              <w:spacing w:before="60" w:after="40"/>
            </w:pPr>
            <w:r>
              <w:rPr>
                <w:rFonts w:ascii="Calibri" w:hAnsi="Calibri"/>
                <w:b w:val="0"/>
                <w:i w:val="0"/>
                <w:color w:val="5A5A5A"/>
                <w:sz w:val="18"/>
              </w:rPr>
              <w:t>#acuteonchronic  #CKD  #nephronloss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 diabetic kidney disease</w:t>
            </w:r>
          </w:p>
        </w:tc>
        <w:tc>
          <w:tcPr>
            <w:tcW w:type="dxa" w:w="4276"/>
            <w:vAlign w:val="top"/>
          </w:tcPr>
          <w:p>
            <w:pPr>
              <w:spacing w:after="60" w:line="259" w:lineRule="auto"/>
            </w:pPr>
            <w:r>
              <w:rPr>
                <w:rFonts w:ascii="Calibri" w:hAnsi="Calibri"/>
                <w:b w:val="0"/>
                <w:i w:val="0"/>
                <w:color w:val="212121"/>
                <w:sz w:val="19"/>
              </w:rPr>
              <w:t>Diabetes impairs renal autoregulation and microvasculature and coexists with hypertension, greatly increasing susceptibility to ischaemic, septic and contrast-induced AKI and to recurrent episodes.</w:t>
            </w:r>
          </w:p>
          <w:p>
            <w:pPr>
              <w:spacing w:before="60" w:after="40"/>
            </w:pPr>
            <w:r>
              <w:rPr>
                <w:rFonts w:ascii="Calibri" w:hAnsi="Calibri"/>
                <w:b w:val="0"/>
                <w:i w:val="0"/>
                <w:color w:val="5A5A5A"/>
                <w:sz w:val="18"/>
              </w:rPr>
              <w:t>#diabetes  #diabetickidney  #contrastAKI  #autoregulation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Sepsis</w:t>
            </w:r>
          </w:p>
        </w:tc>
        <w:tc>
          <w:tcPr>
            <w:tcW w:type="dxa" w:w="2160"/>
            <w:vAlign w:val="top"/>
          </w:tcPr>
          <w:p>
            <w:pPr>
              <w:spacing w:after="40" w:before="0" w:line="259" w:lineRule="auto"/>
            </w:pPr>
            <w:r>
              <w:rPr>
                <w:rFonts w:ascii="Calibri" w:hAnsi="Calibri"/>
                <w:b w:val="0"/>
                <w:i w:val="0"/>
                <w:color w:val="212121"/>
                <w:sz w:val="19"/>
              </w:rPr>
              <w:t>Patients with sepsis / septic shock</w:t>
            </w:r>
          </w:p>
        </w:tc>
        <w:tc>
          <w:tcPr>
            <w:tcW w:type="dxa" w:w="4276"/>
            <w:vAlign w:val="top"/>
          </w:tcPr>
          <w:p>
            <w:pPr>
              <w:spacing w:after="60" w:line="259" w:lineRule="auto"/>
            </w:pPr>
            <w:r>
              <w:rPr>
                <w:rFonts w:ascii="Calibri" w:hAnsi="Calibri"/>
                <w:b w:val="0"/>
                <w:i w:val="0"/>
                <w:color w:val="212121"/>
                <w:sz w:val="19"/>
              </w:rPr>
              <w:t>Sepsis is the leading cause of AKI in hospitalised and critically ill patients; systemic inflammation, microcirculatory failure and hypotension injure the tubules, and septic AKI carries the highest mortality.</w:t>
            </w:r>
          </w:p>
          <w:p>
            <w:pPr>
              <w:spacing w:after="40" w:before="60" w:line="259" w:lineRule="auto"/>
            </w:pPr>
            <w:r>
              <w:rPr>
                <w:rFonts w:ascii="Calibri" w:hAnsi="Calibri"/>
                <w:b w:val="0"/>
                <w:i w:val="0"/>
                <w:color w:val="212121"/>
                <w:sz w:val="19"/>
              </w:rPr>
              <w:t>Sepsis caused 38.6% of AKI in a South-Indian ICU cohort and up to 61.7% in another Indian critical-care series, where in-hospital mortality reached 37-42%.</w:t>
            </w:r>
          </w:p>
          <w:p>
            <w:pPr>
              <w:spacing w:after="40" w:line="252" w:lineRule="auto"/>
            </w:pPr>
            <w:hyperlink r:id="rId15">
              <w:r>
                <w:rPr>
                  <w:rFonts w:ascii="Calibri" w:hAnsi="Calibri" w:cs="Calibri"/>
                  <w:sz w:val="18"/>
                  <w:color w:val="1155CC"/>
                  <w:u w:val="single"/>
                </w:rPr>
                <w:t xml:space="preserve">indianjnephrol.org — AKI in the critical care unit</w:t>
              </w:r>
            </w:hyperlink>
          </w:p>
          <w:p>
            <w:pPr>
              <w:spacing w:before="60" w:after="40"/>
            </w:pPr>
            <w:r>
              <w:rPr>
                <w:rFonts w:ascii="Calibri" w:hAnsi="Calibri"/>
                <w:b w:val="0"/>
                <w:i w:val="0"/>
                <w:color w:val="5A5A5A"/>
                <w:sz w:val="18"/>
              </w:rPr>
              <w:t>#sepsis  #septicAKI  #ICU  #hypotension  #highmortality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Malaria &amp; tropical infection</w:t>
            </w:r>
          </w:p>
        </w:tc>
        <w:tc>
          <w:tcPr>
            <w:tcW w:type="dxa" w:w="2160"/>
            <w:vAlign w:val="top"/>
          </w:tcPr>
          <w:p>
            <w:pPr>
              <w:spacing w:after="40" w:before="0" w:line="259" w:lineRule="auto"/>
            </w:pPr>
            <w:r>
              <w:rPr>
                <w:rFonts w:ascii="Calibri" w:hAnsi="Calibri"/>
                <w:b w:val="0"/>
                <w:i w:val="0"/>
                <w:color w:val="212121"/>
                <w:sz w:val="19"/>
              </w:rPr>
              <w:t>Patients with falciparum malaria, dengue, leptospirosis, scrub typhus</w:t>
            </w:r>
          </w:p>
        </w:tc>
        <w:tc>
          <w:tcPr>
            <w:tcW w:type="dxa" w:w="4276"/>
            <w:vAlign w:val="top"/>
          </w:tcPr>
          <w:p>
            <w:pPr>
              <w:spacing w:after="60" w:line="259" w:lineRule="auto"/>
            </w:pPr>
            <w:r>
              <w:rPr>
                <w:rFonts w:ascii="Calibri" w:hAnsi="Calibri"/>
                <w:b w:val="0"/>
                <w:i w:val="0"/>
                <w:color w:val="212121"/>
                <w:sz w:val="19"/>
              </w:rPr>
              <w:t>Tropical infections are the leading community cause of AKI in India through haemolysis, hypovolaemia, direct injury and immune mechanisms; early antimicrobial and supportive therapy is often curative.</w:t>
            </w:r>
          </w:p>
          <w:p>
            <w:pPr>
              <w:spacing w:after="40" w:before="60" w:line="259" w:lineRule="auto"/>
            </w:pPr>
            <w:r>
              <w:rPr>
                <w:rFonts w:ascii="Calibri" w:hAnsi="Calibri"/>
                <w:b w:val="0"/>
                <w:i w:val="0"/>
                <w:color w:val="212121"/>
                <w:sz w:val="19"/>
              </w:rPr>
              <w:t>Among monsoon infectious AKI, malaria (28.3%), dengue (16.5%) and leptospirosis (13%) were leading causes; 44.8% required dialysis and overall mortality was ~12%.</w:t>
            </w:r>
          </w:p>
          <w:p>
            <w:pPr>
              <w:spacing w:after="40" w:line="252" w:lineRule="auto"/>
            </w:pPr>
            <w:hyperlink r:id="rId12">
              <w:r>
                <w:rPr>
                  <w:rFonts w:ascii="Calibri" w:hAnsi="Calibri" w:cs="Calibri"/>
                  <w:sz w:val="18"/>
                  <w:color w:val="1155CC"/>
                  <w:u w:val="single"/>
                </w:rPr>
                <w:t xml:space="preserve">indianjnephrol.org — monsoon infectious AKI</w:t>
              </w:r>
            </w:hyperlink>
          </w:p>
          <w:p>
            <w:pPr>
              <w:spacing w:before="60" w:after="40"/>
            </w:pPr>
            <w:r>
              <w:rPr>
                <w:rFonts w:ascii="Calibri" w:hAnsi="Calibri"/>
                <w:b w:val="0"/>
                <w:i w:val="0"/>
                <w:color w:val="5A5A5A"/>
                <w:sz w:val="18"/>
              </w:rPr>
              <w:t>#malaria  #dengue  #leptospirosis  #tropicalAKI  #treatable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Obstetric complications</w:t>
            </w:r>
          </w:p>
        </w:tc>
        <w:tc>
          <w:tcPr>
            <w:tcW w:type="dxa" w:w="2160"/>
            <w:vAlign w:val="top"/>
          </w:tcPr>
          <w:p>
            <w:pPr>
              <w:spacing w:after="40" w:before="0" w:line="259" w:lineRule="auto"/>
            </w:pPr>
            <w:r>
              <w:rPr>
                <w:rFonts w:ascii="Calibri" w:hAnsi="Calibri"/>
                <w:b w:val="0"/>
                <w:i w:val="0"/>
                <w:color w:val="212121"/>
                <w:sz w:val="19"/>
              </w:rPr>
              <w:t>Women with puerperal sepsis, PPH, pre-eclampsia/eclampsia</w:t>
            </w:r>
          </w:p>
        </w:tc>
        <w:tc>
          <w:tcPr>
            <w:tcW w:type="dxa" w:w="4276"/>
            <w:vAlign w:val="top"/>
          </w:tcPr>
          <w:p>
            <w:pPr>
              <w:spacing w:after="60" w:line="259" w:lineRule="auto"/>
            </w:pPr>
            <w:r>
              <w:rPr>
                <w:rFonts w:ascii="Calibri" w:hAnsi="Calibri"/>
                <w:b w:val="0"/>
                <w:i w:val="0"/>
                <w:color w:val="212121"/>
                <w:sz w:val="19"/>
              </w:rPr>
              <w:t>Pregnancy-related AKI in India is driven chiefly by puerperal sepsis, postpartum haemorrhage and pre-eclampsia/eclampsia/HELLP, and can cause renal cortical necrosis with permanent failure.</w:t>
            </w:r>
          </w:p>
          <w:p>
            <w:pPr>
              <w:spacing w:after="40" w:before="60" w:line="259" w:lineRule="auto"/>
            </w:pPr>
            <w:r>
              <w:rPr>
                <w:rFonts w:ascii="Calibri" w:hAnsi="Calibri"/>
                <w:b w:val="0"/>
                <w:i w:val="0"/>
                <w:color w:val="212121"/>
                <w:sz w:val="19"/>
              </w:rPr>
              <w:t>Pregnancy-related AKI made up 1.56% of all AKI in one Indian series (mean age 25); sepsis (59%) and pre-eclampsia/eclampsia (56%) led, 30% needed dialysis and maternal mortality was 20%.</w:t>
            </w:r>
          </w:p>
          <w:p>
            <w:pPr>
              <w:spacing w:after="40" w:line="252" w:lineRule="auto"/>
            </w:pPr>
            <w:hyperlink r:id="rId16">
              <w:r>
                <w:rPr>
                  <w:rFonts w:ascii="Calibri" w:hAnsi="Calibri" w:cs="Calibri"/>
                  <w:sz w:val="18"/>
                  <w:color w:val="1155CC"/>
                  <w:u w:val="single"/>
                </w:rPr>
                <w:t xml:space="preserve">indianjnephrol.org — pregnancy-related AKI (165 cases)</w:t>
              </w:r>
            </w:hyperlink>
          </w:p>
          <w:p>
            <w:pPr>
              <w:spacing w:before="60" w:after="40"/>
            </w:pPr>
            <w:r>
              <w:rPr>
                <w:rFonts w:ascii="Calibri" w:hAnsi="Calibri"/>
                <w:b w:val="0"/>
                <w:i w:val="0"/>
                <w:color w:val="5A5A5A"/>
                <w:sz w:val="18"/>
              </w:rPr>
              <w:t>#obstetricAKI  #puerperalsepsis  #PPH  #corticalnecrosis  #maternal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inactivity is not a direct cause of AKI, but unaccustomed strenuous exertion in the heat can trigger exertional rhabdomyolysis and pigment nephropathy, while inactivity-related obesity, diabetes and hypertension raise background susceptibility.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governs volume, sodium, potassium, protein and catabolic load in AKI; high-potassium intake is dangerous in oliguric AKI, certain foods (star fruit, djenkol bean) are directly nephrotoxic, and hydration through fluids/foods prevents pre-renal injury.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link between sleep and AKI; critical illness and dialysis disturb sleep, and untreated obstructive sleep apnoea contributes to the hypertension and cardiovascular disease that raise AKI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causes endothelial and microvascular dysfunction, accelerates atherosclerosis and worsens perioperative, contrast-associated and ischaemic AKI as well as tubular recovery.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or binge drinking precipitates volume depletion, rhabdomyolysis, alcoholic ketoacidosis and pancreatitis, and in advanced liver disease drives hepatorenal-type AKI.</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Indirect effects: analgesic (NSAID) overuse, poor self-care and dehydration, plus ICU delirium; severe illness and lithium or other psychotropic toxicity can occasionally cause AKI.</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Volume and hydration status are central to AKI — dehydration is the leading, largely preventable community trigger of pre-renal injury, and prompt fluid resuscitation is often curative, while over-resuscitation causes harmful fluid overload.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direct effect on AKI; relevant mainly when high-caffeine energy drinks accompany heat, exertion and dehydration, or when combined with nephrotoxic supplements.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Safe water, sanitation and food hygiene reduce the diarrhoeal, leptospiral and other infections that cause much community-acquired AKI, and aseptic technique lowers catheter- and dialysis-related sepsis.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Nephrotoxins (NSAIDs, aminoglycosides, iodinated contrast, ACE inhibitors/ARBs, herbal remedies), sepsis, hypovolaemia, urinary obstruction and envenomation are the direct, often preventable precipitants of AKI.</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Urine output (mL/kg/h)</w:t>
            </w:r>
          </w:p>
        </w:tc>
        <w:tc>
          <w:tcPr>
            <w:tcW w:type="dxa" w:w="1655"/>
            <w:vAlign w:val="top"/>
          </w:tcPr>
          <w:p>
            <w:pPr>
              <w:spacing w:after="40" w:before="0" w:line="259" w:lineRule="auto"/>
            </w:pPr>
            <w:r>
              <w:rPr>
                <w:rFonts w:ascii="Calibri" w:hAnsi="Calibri"/>
                <w:b w:val="0"/>
                <w:i w:val="0"/>
                <w:color w:val="212121"/>
                <w:sz w:val="19"/>
              </w:rPr>
              <w:t>At-risk / hospitalised adults</w:t>
            </w:r>
          </w:p>
        </w:tc>
        <w:tc>
          <w:tcPr>
            <w:tcW w:type="dxa" w:w="1512"/>
            <w:vAlign w:val="top"/>
          </w:tcPr>
          <w:p>
            <w:pPr>
              <w:spacing w:after="40" w:before="0" w:line="259" w:lineRule="auto"/>
            </w:pPr>
            <w:r>
              <w:rPr>
                <w:rFonts w:ascii="Calibri" w:hAnsi="Calibri"/>
                <w:b w:val="0"/>
                <w:i w:val="0"/>
                <w:color w:val="212121"/>
                <w:sz w:val="19"/>
              </w:rPr>
              <w:t>≥ 0.5 mL/kg/h</w:t>
            </w:r>
          </w:p>
        </w:tc>
        <w:tc>
          <w:tcPr>
            <w:tcW w:type="dxa" w:w="1512"/>
            <w:vAlign w:val="top"/>
          </w:tcPr>
          <w:p>
            <w:pPr>
              <w:spacing w:after="40" w:before="0" w:line="259" w:lineRule="auto"/>
            </w:pPr>
            <w:r>
              <w:rPr>
                <w:rFonts w:ascii="Calibri" w:hAnsi="Calibri"/>
                <w:b w:val="0"/>
                <w:i w:val="0"/>
                <w:color w:val="212121"/>
                <w:sz w:val="19"/>
              </w:rPr>
              <w:t>&lt; 0.5 mL/kg/h for ≥ 6 h (oliguria)</w:t>
            </w:r>
          </w:p>
        </w:tc>
        <w:tc>
          <w:tcPr>
            <w:tcW w:type="dxa" w:w="1468"/>
            <w:vAlign w:val="top"/>
          </w:tcPr>
          <w:p>
            <w:pPr>
              <w:spacing w:after="60" w:line="259" w:lineRule="auto"/>
            </w:pPr>
            <w:r>
              <w:rPr>
                <w:rFonts w:ascii="Calibri" w:hAnsi="Calibri"/>
                <w:b w:val="0"/>
                <w:i w:val="0"/>
                <w:color w:val="212121"/>
                <w:sz w:val="19"/>
              </w:rPr>
              <w:t>Oliguria is a KDIGO diagnostic and staging criterion and an early warning</w:t>
            </w:r>
          </w:p>
          <w:p>
            <w:pPr>
              <w:spacing w:after="40" w:line="252" w:lineRule="auto"/>
            </w:pPr>
            <w:hyperlink r:id="rId17">
              <w:r>
                <w:rPr>
                  <w:rFonts w:ascii="Calibri" w:hAnsi="Calibri" w:cs="Calibri"/>
                  <w:sz w:val="18"/>
                  <w:color w:val="1155CC"/>
                  <w:u w:val="single"/>
                </w:rPr>
                <w:t xml:space="preserve">https://kdigo.org/wp-content/uploads/2016/10/KDIGO-2012-AKI-Guideline-English.pdf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Volume / hydration status</w:t>
            </w:r>
          </w:p>
        </w:tc>
        <w:tc>
          <w:tcPr>
            <w:tcW w:type="dxa" w:w="1655"/>
            <w:vAlign w:val="top"/>
          </w:tcPr>
          <w:p>
            <w:pPr>
              <w:spacing w:after="40" w:before="0" w:line="259" w:lineRule="auto"/>
            </w:pPr>
            <w:r>
              <w:rPr>
                <w:rFonts w:ascii="Calibri" w:hAnsi="Calibri"/>
                <w:b w:val="0"/>
                <w:i w:val="0"/>
                <w:color w:val="212121"/>
                <w:sz w:val="19"/>
              </w:rPr>
              <w:t>Diarrhoea, fever, heat-exposed</w:t>
            </w:r>
          </w:p>
        </w:tc>
        <w:tc>
          <w:tcPr>
            <w:tcW w:type="dxa" w:w="1512"/>
            <w:vAlign w:val="top"/>
          </w:tcPr>
          <w:p>
            <w:pPr>
              <w:spacing w:after="40" w:before="0" w:line="259" w:lineRule="auto"/>
            </w:pPr>
            <w:r>
              <w:rPr>
                <w:rFonts w:ascii="Calibri" w:hAnsi="Calibri"/>
                <w:b w:val="0"/>
                <w:i w:val="0"/>
                <w:color w:val="212121"/>
                <w:sz w:val="19"/>
              </w:rPr>
              <w:t>Euvolaemic, normotensive</w:t>
            </w:r>
          </w:p>
        </w:tc>
        <w:tc>
          <w:tcPr>
            <w:tcW w:type="dxa" w:w="1512"/>
            <w:vAlign w:val="top"/>
          </w:tcPr>
          <w:p>
            <w:pPr>
              <w:spacing w:after="40" w:before="0" w:line="259" w:lineRule="auto"/>
            </w:pPr>
            <w:r>
              <w:rPr>
                <w:rFonts w:ascii="Calibri" w:hAnsi="Calibri"/>
                <w:b w:val="0"/>
                <w:i w:val="0"/>
                <w:color w:val="212121"/>
                <w:sz w:val="19"/>
              </w:rPr>
              <w:t>Clinical dehydration or hypotension</w:t>
            </w:r>
          </w:p>
        </w:tc>
        <w:tc>
          <w:tcPr>
            <w:tcW w:type="dxa" w:w="1468"/>
            <w:vAlign w:val="top"/>
          </w:tcPr>
          <w:p>
            <w:pPr>
              <w:spacing w:after="40" w:before="0" w:line="259" w:lineRule="auto"/>
            </w:pPr>
            <w:r>
              <w:rPr>
                <w:rFonts w:ascii="Calibri" w:hAnsi="Calibri"/>
                <w:b w:val="0"/>
                <w:i w:val="0"/>
                <w:color w:val="212121"/>
                <w:sz w:val="19"/>
              </w:rPr>
              <w:t>Pre-renal AKI is the commonest, most reversible community form</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creatinine change</w:t>
            </w:r>
          </w:p>
        </w:tc>
        <w:tc>
          <w:tcPr>
            <w:tcW w:type="dxa" w:w="1655"/>
            <w:vAlign w:val="top"/>
          </w:tcPr>
          <w:p>
            <w:pPr>
              <w:spacing w:after="40" w:before="0" w:line="259" w:lineRule="auto"/>
            </w:pPr>
            <w:r>
              <w:rPr>
                <w:rFonts w:ascii="Calibri" w:hAnsi="Calibri"/>
                <w:b w:val="0"/>
                <w:i w:val="0"/>
                <w:color w:val="212121"/>
                <w:sz w:val="19"/>
              </w:rPr>
              <w:t>At-risk adults</w:t>
            </w:r>
          </w:p>
        </w:tc>
        <w:tc>
          <w:tcPr>
            <w:tcW w:type="dxa" w:w="1512"/>
            <w:vAlign w:val="top"/>
          </w:tcPr>
          <w:p>
            <w:pPr>
              <w:spacing w:after="40" w:before="0" w:line="259" w:lineRule="auto"/>
            </w:pPr>
            <w:r>
              <w:rPr>
                <w:rFonts w:ascii="Calibri" w:hAnsi="Calibri"/>
                <w:b w:val="0"/>
                <w:i w:val="0"/>
                <w:color w:val="212121"/>
                <w:sz w:val="19"/>
              </w:rPr>
              <w:t>Stable; &lt; 0.3 mg/dL change</w:t>
            </w:r>
          </w:p>
        </w:tc>
        <w:tc>
          <w:tcPr>
            <w:tcW w:type="dxa" w:w="1512"/>
            <w:vAlign w:val="top"/>
          </w:tcPr>
          <w:p>
            <w:pPr>
              <w:spacing w:after="40" w:before="0" w:line="259" w:lineRule="auto"/>
            </w:pPr>
            <w:r>
              <w:rPr>
                <w:rFonts w:ascii="Calibri" w:hAnsi="Calibri"/>
                <w:b w:val="0"/>
                <w:i w:val="0"/>
                <w:color w:val="212121"/>
                <w:sz w:val="19"/>
              </w:rPr>
              <w:t>≥ 0.3 mg/dL rise in 48 h or ≥ 1.5× baseline in 7 days</w:t>
            </w:r>
          </w:p>
        </w:tc>
        <w:tc>
          <w:tcPr>
            <w:tcW w:type="dxa" w:w="1468"/>
            <w:vAlign w:val="top"/>
          </w:tcPr>
          <w:p>
            <w:pPr>
              <w:spacing w:after="60" w:line="259" w:lineRule="auto"/>
            </w:pPr>
            <w:r>
              <w:rPr>
                <w:rFonts w:ascii="Calibri" w:hAnsi="Calibri"/>
                <w:b w:val="0"/>
                <w:i w:val="0"/>
                <w:color w:val="212121"/>
                <w:sz w:val="19"/>
              </w:rPr>
              <w:t>KDIGO diagnostic threshold for AKI</w:t>
            </w:r>
          </w:p>
          <w:p>
            <w:pPr>
              <w:spacing w:after="40" w:line="252" w:lineRule="auto"/>
            </w:pPr>
            <w:hyperlink r:id="rId17">
              <w:r>
                <w:rPr>
                  <w:rFonts w:ascii="Calibri" w:hAnsi="Calibri" w:cs="Calibri"/>
                  <w:sz w:val="18"/>
                  <w:color w:val="1155CC"/>
                  <w:u w:val="single"/>
                </w:rPr>
                <w:t xml:space="preserve">https://kdigo.org/wp-content/uploads/2016/10/KDIGO-2012-AKI-Guideline-English.pdf</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potassium (mmol/L)</w:t>
            </w:r>
          </w:p>
        </w:tc>
        <w:tc>
          <w:tcPr>
            <w:tcW w:type="dxa" w:w="1655"/>
            <w:vAlign w:val="top"/>
          </w:tcPr>
          <w:p>
            <w:pPr>
              <w:spacing w:after="40" w:before="0" w:line="259" w:lineRule="auto"/>
            </w:pPr>
            <w:r>
              <w:rPr>
                <w:rFonts w:ascii="Calibri" w:hAnsi="Calibri"/>
                <w:b w:val="0"/>
                <w:i w:val="0"/>
                <w:color w:val="212121"/>
                <w:sz w:val="19"/>
              </w:rPr>
              <w:t>Oliguric AKI patients</w:t>
            </w:r>
          </w:p>
        </w:tc>
        <w:tc>
          <w:tcPr>
            <w:tcW w:type="dxa" w:w="1512"/>
            <w:vAlign w:val="top"/>
          </w:tcPr>
          <w:p>
            <w:pPr>
              <w:spacing w:after="40" w:before="0" w:line="259" w:lineRule="auto"/>
            </w:pPr>
            <w:r>
              <w:rPr>
                <w:rFonts w:ascii="Calibri" w:hAnsi="Calibri"/>
                <w:b w:val="0"/>
                <w:i w:val="0"/>
                <w:color w:val="212121"/>
                <w:sz w:val="19"/>
              </w:rPr>
              <w:t>3.5-5.0 mmol/L</w:t>
            </w:r>
          </w:p>
        </w:tc>
        <w:tc>
          <w:tcPr>
            <w:tcW w:type="dxa" w:w="1512"/>
            <w:vAlign w:val="top"/>
          </w:tcPr>
          <w:p>
            <w:pPr>
              <w:spacing w:after="40" w:before="0" w:line="259" w:lineRule="auto"/>
            </w:pPr>
            <w:r>
              <w:rPr>
                <w:rFonts w:ascii="Calibri" w:hAnsi="Calibri"/>
                <w:b w:val="0"/>
                <w:i w:val="0"/>
                <w:color w:val="212121"/>
                <w:sz w:val="19"/>
              </w:rPr>
              <w:t>&gt; 6.0 mmol/L (medical emergency)</w:t>
            </w:r>
          </w:p>
        </w:tc>
        <w:tc>
          <w:tcPr>
            <w:tcW w:type="dxa" w:w="1468"/>
            <w:vAlign w:val="top"/>
          </w:tcPr>
          <w:p>
            <w:pPr>
              <w:spacing w:after="40" w:before="0" w:line="259" w:lineRule="auto"/>
            </w:pPr>
            <w:r>
              <w:rPr>
                <w:rFonts w:ascii="Calibri" w:hAnsi="Calibri"/>
                <w:b w:val="0"/>
                <w:i w:val="0"/>
                <w:color w:val="212121"/>
                <w:sz w:val="19"/>
              </w:rPr>
              <w:t>Hyperkalaemia risks fatal arrhythmia and may mandate urgent dialysis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bicarbonate (mmol/L)</w:t>
            </w:r>
          </w:p>
        </w:tc>
        <w:tc>
          <w:tcPr>
            <w:tcW w:type="dxa" w:w="1655"/>
            <w:vAlign w:val="top"/>
          </w:tcPr>
          <w:p>
            <w:pPr>
              <w:spacing w:after="40" w:before="0" w:line="259" w:lineRule="auto"/>
            </w:pPr>
            <w:r>
              <w:rPr>
                <w:rFonts w:ascii="Calibri" w:hAnsi="Calibri"/>
                <w:b w:val="0"/>
                <w:i w:val="0"/>
                <w:color w:val="212121"/>
                <w:sz w:val="19"/>
              </w:rPr>
              <w:t>AKI patients</w:t>
            </w:r>
          </w:p>
        </w:tc>
        <w:tc>
          <w:tcPr>
            <w:tcW w:type="dxa" w:w="1512"/>
            <w:vAlign w:val="top"/>
          </w:tcPr>
          <w:p>
            <w:pPr>
              <w:spacing w:after="40" w:before="0" w:line="259" w:lineRule="auto"/>
            </w:pPr>
            <w:r>
              <w:rPr>
                <w:rFonts w:ascii="Calibri" w:hAnsi="Calibri"/>
                <w:b w:val="0"/>
                <w:i w:val="0"/>
                <w:color w:val="212121"/>
                <w:sz w:val="19"/>
              </w:rPr>
              <w:t>22-28 mmol/L</w:t>
            </w:r>
          </w:p>
        </w:tc>
        <w:tc>
          <w:tcPr>
            <w:tcW w:type="dxa" w:w="1512"/>
            <w:vAlign w:val="top"/>
          </w:tcPr>
          <w:p>
            <w:pPr>
              <w:spacing w:after="40" w:before="0" w:line="259" w:lineRule="auto"/>
            </w:pPr>
            <w:r>
              <w:rPr>
                <w:rFonts w:ascii="Calibri" w:hAnsi="Calibri"/>
                <w:b w:val="0"/>
                <w:i w:val="0"/>
                <w:color w:val="212121"/>
                <w:sz w:val="19"/>
              </w:rPr>
              <w:t>&lt; 15 mmol/L (severe metabolic acidosis)</w:t>
            </w:r>
          </w:p>
        </w:tc>
        <w:tc>
          <w:tcPr>
            <w:tcW w:type="dxa" w:w="1468"/>
            <w:vAlign w:val="top"/>
          </w:tcPr>
          <w:p>
            <w:pPr>
              <w:spacing w:after="40" w:before="0" w:line="259" w:lineRule="auto"/>
            </w:pPr>
            <w:r>
              <w:rPr>
                <w:rFonts w:ascii="Calibri" w:hAnsi="Calibri"/>
                <w:b w:val="0"/>
                <w:i w:val="0"/>
                <w:color w:val="212121"/>
                <w:sz w:val="19"/>
              </w:rPr>
              <w:t>Refractory acidosis is an indication for renal replacement 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(g/kg/day)</w:t>
            </w:r>
          </w:p>
        </w:tc>
        <w:tc>
          <w:tcPr>
            <w:tcW w:type="dxa" w:w="1655"/>
            <w:vAlign w:val="top"/>
          </w:tcPr>
          <w:p>
            <w:pPr>
              <w:spacing w:after="40" w:before="0" w:line="259" w:lineRule="auto"/>
            </w:pPr>
            <w:r>
              <w:rPr>
                <w:rFonts w:ascii="Calibri" w:hAnsi="Calibri"/>
                <w:b w:val="0"/>
                <w:i w:val="0"/>
                <w:color w:val="212121"/>
                <w:sz w:val="19"/>
              </w:rPr>
              <w:t>AKI, not on dialysis</w:t>
            </w:r>
          </w:p>
        </w:tc>
        <w:tc>
          <w:tcPr>
            <w:tcW w:type="dxa" w:w="1512"/>
            <w:vAlign w:val="top"/>
          </w:tcPr>
          <w:p>
            <w:pPr>
              <w:spacing w:after="40" w:before="0" w:line="259" w:lineRule="auto"/>
            </w:pPr>
            <w:r>
              <w:rPr>
                <w:rFonts w:ascii="Calibri" w:hAnsi="Calibri"/>
                <w:b w:val="0"/>
                <w:i w:val="0"/>
                <w:color w:val="212121"/>
                <w:sz w:val="19"/>
              </w:rPr>
              <w:t>0.8-1.0 g/kg/day</w:t>
            </w:r>
          </w:p>
        </w:tc>
        <w:tc>
          <w:tcPr>
            <w:tcW w:type="dxa" w:w="1512"/>
            <w:vAlign w:val="top"/>
          </w:tcPr>
          <w:p>
            <w:pPr>
              <w:spacing w:after="40" w:before="0" w:line="259" w:lineRule="auto"/>
            </w:pPr>
            <w:r>
              <w:rPr>
                <w:rFonts w:ascii="Calibri" w:hAnsi="Calibri"/>
                <w:b w:val="0"/>
                <w:i w:val="0"/>
                <w:color w:val="212121"/>
                <w:sz w:val="19"/>
              </w:rPr>
              <w:t>Excess protein with rising urea</w:t>
            </w:r>
          </w:p>
        </w:tc>
        <w:tc>
          <w:tcPr>
            <w:tcW w:type="dxa" w:w="1468"/>
            <w:vAlign w:val="top"/>
          </w:tcPr>
          <w:p>
            <w:pPr>
              <w:spacing w:after="40" w:before="0" w:line="259" w:lineRule="auto"/>
            </w:pPr>
            <w:r>
              <w:rPr>
                <w:rFonts w:ascii="Calibri" w:hAnsi="Calibri"/>
                <w:b w:val="0"/>
                <w:i w:val="0"/>
                <w:color w:val="212121"/>
                <w:sz w:val="19"/>
              </w:rPr>
              <w:t>On RRT increase to 1.0-1.5 g/kg/day to offset catabolism</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Nephrotoxin exposure</w:t>
            </w:r>
          </w:p>
        </w:tc>
        <w:tc>
          <w:tcPr>
            <w:tcW w:type="dxa" w:w="1655"/>
            <w:vAlign w:val="top"/>
          </w:tcPr>
          <w:p>
            <w:pPr>
              <w:spacing w:after="40" w:before="0" w:line="259" w:lineRule="auto"/>
            </w:pPr>
            <w:r>
              <w:rPr>
                <w:rFonts w:ascii="Calibri" w:hAnsi="Calibri"/>
                <w:b w:val="0"/>
                <w:i w:val="0"/>
                <w:color w:val="212121"/>
                <w:sz w:val="19"/>
              </w:rPr>
              <w:t>All at-risk patients</w:t>
            </w:r>
          </w:p>
        </w:tc>
        <w:tc>
          <w:tcPr>
            <w:tcW w:type="dxa" w:w="1512"/>
            <w:vAlign w:val="top"/>
          </w:tcPr>
          <w:p>
            <w:pPr>
              <w:spacing w:after="40" w:before="0" w:line="259" w:lineRule="auto"/>
            </w:pPr>
            <w:r>
              <w:rPr>
                <w:rFonts w:ascii="Calibri" w:hAnsi="Calibri"/>
                <w:b w:val="0"/>
                <w:i w:val="0"/>
                <w:color w:val="212121"/>
                <w:sz w:val="19"/>
              </w:rPr>
              <w:t>Nil / avoid</w:t>
            </w:r>
          </w:p>
        </w:tc>
        <w:tc>
          <w:tcPr>
            <w:tcW w:type="dxa" w:w="1512"/>
            <w:vAlign w:val="top"/>
          </w:tcPr>
          <w:p>
            <w:pPr>
              <w:spacing w:after="40" w:before="0" w:line="259" w:lineRule="auto"/>
            </w:pPr>
            <w:r>
              <w:rPr>
                <w:rFonts w:ascii="Calibri" w:hAnsi="Calibri"/>
                <w:b w:val="0"/>
                <w:i w:val="0"/>
                <w:color w:val="212121"/>
                <w:sz w:val="19"/>
              </w:rPr>
              <w:t>Any recent NSAID, aminoglycoside, contrast or herbal-remedy use</w:t>
            </w:r>
          </w:p>
        </w:tc>
        <w:tc>
          <w:tcPr>
            <w:tcW w:type="dxa" w:w="1468"/>
            <w:vAlign w:val="top"/>
          </w:tcPr>
          <w:p>
            <w:pPr>
              <w:spacing w:after="60" w:line="259" w:lineRule="auto"/>
            </w:pPr>
            <w:r>
              <w:rPr>
                <w:rFonts w:ascii="Calibri" w:hAnsi="Calibri"/>
                <w:b w:val="0"/>
                <w:i w:val="0"/>
                <w:color w:val="212121"/>
                <w:sz w:val="19"/>
              </w:rPr>
              <w:t>Nephrotoxins are a major preventable precipitant of AKI</w:t>
            </w:r>
          </w:p>
          <w:p>
            <w:pPr>
              <w:spacing w:after="40" w:line="252" w:lineRule="auto"/>
            </w:pPr>
            <w:hyperlink r:id="rId13">
              <w:r>
                <w:rPr>
                  <w:rFonts w:ascii="Calibri" w:hAnsi="Calibri" w:cs="Calibri"/>
                  <w:sz w:val="18"/>
                  <w:color w:val="1155CC"/>
                  <w:u w:val="single"/>
                </w:rPr>
                <w:t xml:space="preserve">https://indianjnephrol.org/natures-cure-or-kidney-curse-the-nephrotoxic-potential-of-indigenous-remedies/</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Mean arterial pressure (perfusion)</w:t>
            </w:r>
          </w:p>
        </w:tc>
        <w:tc>
          <w:tcPr>
            <w:tcW w:type="dxa" w:w="1655"/>
            <w:vAlign w:val="top"/>
          </w:tcPr>
          <w:p>
            <w:pPr>
              <w:spacing w:after="40" w:before="0" w:line="259" w:lineRule="auto"/>
            </w:pPr>
            <w:r>
              <w:rPr>
                <w:rFonts w:ascii="Calibri" w:hAnsi="Calibri"/>
                <w:b w:val="0"/>
                <w:i w:val="0"/>
                <w:color w:val="212121"/>
                <w:sz w:val="19"/>
              </w:rPr>
              <w:t>Sepsis / critically ill</w:t>
            </w:r>
          </w:p>
        </w:tc>
        <w:tc>
          <w:tcPr>
            <w:tcW w:type="dxa" w:w="1512"/>
            <w:vAlign w:val="top"/>
          </w:tcPr>
          <w:p>
            <w:pPr>
              <w:spacing w:after="40" w:before="0" w:line="259" w:lineRule="auto"/>
            </w:pPr>
            <w:r>
              <w:rPr>
                <w:rFonts w:ascii="Calibri" w:hAnsi="Calibri"/>
                <w:b w:val="0"/>
                <w:i w:val="0"/>
                <w:color w:val="212121"/>
                <w:sz w:val="19"/>
              </w:rPr>
              <w:t>MAP ≥ 65 mmHg</w:t>
            </w:r>
          </w:p>
        </w:tc>
        <w:tc>
          <w:tcPr>
            <w:tcW w:type="dxa" w:w="1512"/>
            <w:vAlign w:val="top"/>
          </w:tcPr>
          <w:p>
            <w:pPr>
              <w:spacing w:after="40" w:before="0" w:line="259" w:lineRule="auto"/>
            </w:pPr>
            <w:r>
              <w:rPr>
                <w:rFonts w:ascii="Calibri" w:hAnsi="Calibri"/>
                <w:b w:val="0"/>
                <w:i w:val="0"/>
                <w:color w:val="212121"/>
                <w:sz w:val="19"/>
              </w:rPr>
              <w:t>Sustained hypotension (MAP &lt; 65 mmHg)</w:t>
            </w:r>
          </w:p>
        </w:tc>
        <w:tc>
          <w:tcPr>
            <w:tcW w:type="dxa" w:w="1468"/>
            <w:vAlign w:val="top"/>
          </w:tcPr>
          <w:p>
            <w:pPr>
              <w:spacing w:after="40" w:before="0" w:line="259" w:lineRule="auto"/>
            </w:pPr>
            <w:r>
              <w:rPr>
                <w:rFonts w:ascii="Calibri" w:hAnsi="Calibri"/>
                <w:b w:val="0"/>
                <w:i w:val="0"/>
                <w:color w:val="212121"/>
                <w:sz w:val="19"/>
              </w:rPr>
              <w:t>Renal hypoperfusion drives ischaemic acute tubular necrosis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creatine kinase (CK)</w:t>
            </w:r>
          </w:p>
        </w:tc>
        <w:tc>
          <w:tcPr>
            <w:tcW w:type="dxa" w:w="1655"/>
            <w:vAlign w:val="top"/>
          </w:tcPr>
          <w:p>
            <w:pPr>
              <w:spacing w:after="40" w:before="0" w:line="259" w:lineRule="auto"/>
            </w:pPr>
            <w:r>
              <w:rPr>
                <w:rFonts w:ascii="Calibri" w:hAnsi="Calibri"/>
                <w:b w:val="0"/>
                <w:i w:val="0"/>
                <w:color w:val="212121"/>
                <w:sz w:val="19"/>
              </w:rPr>
              <w:t>Crush, exertional or heat injury</w:t>
            </w:r>
          </w:p>
        </w:tc>
        <w:tc>
          <w:tcPr>
            <w:tcW w:type="dxa" w:w="1512"/>
            <w:vAlign w:val="top"/>
          </w:tcPr>
          <w:p>
            <w:pPr>
              <w:spacing w:after="40" w:before="0" w:line="259" w:lineRule="auto"/>
            </w:pPr>
            <w:r>
              <w:rPr>
                <w:rFonts w:ascii="Calibri" w:hAnsi="Calibri"/>
                <w:b w:val="0"/>
                <w:i w:val="0"/>
                <w:color w:val="212121"/>
                <w:sz w:val="19"/>
              </w:rPr>
              <w:t>&lt; 200 U/L</w:t>
            </w:r>
          </w:p>
        </w:tc>
        <w:tc>
          <w:tcPr>
            <w:tcW w:type="dxa" w:w="1512"/>
            <w:vAlign w:val="top"/>
          </w:tcPr>
          <w:p>
            <w:pPr>
              <w:spacing w:after="40" w:before="0" w:line="259" w:lineRule="auto"/>
            </w:pPr>
            <w:r>
              <w:rPr>
                <w:rFonts w:ascii="Calibri" w:hAnsi="Calibri"/>
                <w:b w:val="0"/>
                <w:i w:val="0"/>
                <w:color w:val="212121"/>
                <w:sz w:val="19"/>
              </w:rPr>
              <w:t>&gt; 5× upper limit (rhabdomyolysis)</w:t>
            </w:r>
          </w:p>
        </w:tc>
        <w:tc>
          <w:tcPr>
            <w:tcW w:type="dxa" w:w="1468"/>
            <w:vAlign w:val="top"/>
          </w:tcPr>
          <w:p>
            <w:pPr>
              <w:spacing w:after="40" w:before="0" w:line="259" w:lineRule="auto"/>
            </w:pPr>
            <w:r>
              <w:rPr>
                <w:rFonts w:ascii="Calibri" w:hAnsi="Calibri"/>
                <w:b w:val="0"/>
                <w:i w:val="0"/>
                <w:color w:val="212121"/>
                <w:sz w:val="19"/>
              </w:rPr>
              <w:t>Pigment nephropathy risk; needs aggressive fluids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Perioperative / contrast-exposed</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Worsens vascular injury and delays tubular recovery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Binge alcohol intake</w:t>
            </w:r>
          </w:p>
        </w:tc>
        <w:tc>
          <w:tcPr>
            <w:tcW w:type="dxa" w:w="1655"/>
            <w:vAlign w:val="top"/>
          </w:tcPr>
          <w:p>
            <w:pPr>
              <w:spacing w:after="40" w:before="0" w:line="259" w:lineRule="auto"/>
            </w:pPr>
            <w:r>
              <w:rPr>
                <w:rFonts w:ascii="Calibri" w:hAnsi="Calibri"/>
                <w:b w:val="0"/>
                <w:i w:val="0"/>
                <w:color w:val="212121"/>
                <w:sz w:val="19"/>
              </w:rPr>
              <w:t>At-risk adults</w:t>
            </w:r>
          </w:p>
        </w:tc>
        <w:tc>
          <w:tcPr>
            <w:tcW w:type="dxa" w:w="1512"/>
            <w:vAlign w:val="top"/>
          </w:tcPr>
          <w:p>
            <w:pPr>
              <w:spacing w:after="40" w:before="0" w:line="259" w:lineRule="auto"/>
            </w:pPr>
            <w:r>
              <w:rPr>
                <w:rFonts w:ascii="Calibri" w:hAnsi="Calibri"/>
                <w:b w:val="0"/>
                <w:i w:val="0"/>
                <w:color w:val="212121"/>
                <w:sz w:val="19"/>
              </w:rPr>
              <w:t>Nil to minimal</w:t>
            </w:r>
          </w:p>
        </w:tc>
        <w:tc>
          <w:tcPr>
            <w:tcW w:type="dxa" w:w="1512"/>
            <w:vAlign w:val="top"/>
          </w:tcPr>
          <w:p>
            <w:pPr>
              <w:spacing w:after="40" w:before="0" w:line="259" w:lineRule="auto"/>
            </w:pPr>
            <w:r>
              <w:rPr>
                <w:rFonts w:ascii="Calibri" w:hAnsi="Calibri"/>
                <w:b w:val="0"/>
                <w:i w:val="0"/>
                <w:color w:val="212121"/>
                <w:sz w:val="19"/>
              </w:rPr>
              <w:t>Binge or heavy regular intake</w:t>
            </w:r>
          </w:p>
        </w:tc>
        <w:tc>
          <w:tcPr>
            <w:tcW w:type="dxa" w:w="1468"/>
            <w:vAlign w:val="top"/>
          </w:tcPr>
          <w:p>
            <w:pPr>
              <w:spacing w:after="40" w:before="0" w:line="259" w:lineRule="auto"/>
            </w:pPr>
            <w:r>
              <w:rPr>
                <w:rFonts w:ascii="Calibri" w:hAnsi="Calibri"/>
                <w:b w:val="0"/>
                <w:i w:val="0"/>
                <w:color w:val="212121"/>
                <w:sz w:val="19"/>
              </w:rPr>
              <w:t>Precipitates rhabdomyolysis, volume depletion and hepatorenal syndrome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&amp; estimated 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Creatinine 0.6-1.2 mg/dL; eGFR ≥ 90</w:t>
            </w:r>
          </w:p>
        </w:tc>
        <w:tc>
          <w:tcPr>
            <w:tcW w:type="dxa" w:w="950"/>
            <w:vAlign w:val="top"/>
          </w:tcPr>
          <w:p>
            <w:pPr>
              <w:spacing w:after="40" w:before="0" w:line="259" w:lineRule="auto"/>
            </w:pPr>
            <w:r>
              <w:rPr>
                <w:rFonts w:ascii="Calibri" w:hAnsi="Calibri"/>
                <w:b w:val="0"/>
                <w:i w:val="0"/>
                <w:color w:val="212121"/>
                <w:sz w:val="16"/>
              </w:rPr>
              <w:t>≥ 0.3 mg/dL rise/48 h or ≥ 1.5× baseline</w:t>
            </w:r>
          </w:p>
        </w:tc>
        <w:tc>
          <w:tcPr>
            <w:tcW w:type="dxa" w:w="1036"/>
            <w:vAlign w:val="top"/>
          </w:tcPr>
          <w:p>
            <w:pPr>
              <w:spacing w:after="40" w:before="0" w:line="259" w:lineRule="auto"/>
            </w:pPr>
            <w:r>
              <w:rPr>
                <w:rFonts w:ascii="Calibri" w:hAnsi="Calibri"/>
                <w:b w:val="0"/>
                <w:i w:val="0"/>
                <w:color w:val="212121"/>
                <w:sz w:val="16"/>
              </w:rPr>
              <w:t>Defines and stages AKI; trend is more useful than a single value</w:t>
            </w:r>
          </w:p>
        </w:tc>
        <w:tc>
          <w:tcPr>
            <w:tcW w:type="dxa" w:w="1036"/>
            <w:vAlign w:val="top"/>
          </w:tcPr>
          <w:p>
            <w:pPr>
              <w:spacing w:after="40" w:before="0" w:line="259" w:lineRule="auto"/>
            </w:pPr>
            <w:r>
              <w:rPr>
                <w:rFonts w:ascii="Calibri" w:hAnsi="Calibri"/>
                <w:b w:val="0"/>
                <w:i w:val="0"/>
                <w:color w:val="212121"/>
                <w:sz w:val="16"/>
              </w:rPr>
              <w:t>All at-risk and hospitalised patients</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Compare with baseline; creatinine lags behind real-time GFR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urea / BUN &amp; urea:creatinine ratio</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Urea 15-40 mg/dL</w:t>
            </w:r>
          </w:p>
        </w:tc>
        <w:tc>
          <w:tcPr>
            <w:tcW w:type="dxa" w:w="950"/>
            <w:vAlign w:val="top"/>
          </w:tcPr>
          <w:p>
            <w:pPr>
              <w:spacing w:after="40" w:before="0" w:line="259" w:lineRule="auto"/>
            </w:pPr>
            <w:r>
              <w:rPr>
                <w:rFonts w:ascii="Calibri" w:hAnsi="Calibri"/>
                <w:b w:val="0"/>
                <w:i w:val="0"/>
                <w:color w:val="212121"/>
                <w:sz w:val="16"/>
              </w:rPr>
              <w:t>Elevated; high urea:creatinine ratio</w:t>
            </w:r>
          </w:p>
        </w:tc>
        <w:tc>
          <w:tcPr>
            <w:tcW w:type="dxa" w:w="1036"/>
            <w:vAlign w:val="top"/>
          </w:tcPr>
          <w:p>
            <w:pPr>
              <w:spacing w:after="40" w:before="0" w:line="259" w:lineRule="auto"/>
            </w:pPr>
            <w:r>
              <w:rPr>
                <w:rFonts w:ascii="Calibri" w:hAnsi="Calibri"/>
                <w:b w:val="0"/>
                <w:i w:val="0"/>
                <w:color w:val="212121"/>
                <w:sz w:val="16"/>
              </w:rPr>
              <w:t>Nitrogen retention; a high ratio suggests pre-renal cause</w:t>
            </w:r>
          </w:p>
        </w:tc>
        <w:tc>
          <w:tcPr>
            <w:tcW w:type="dxa" w:w="1036"/>
            <w:vAlign w:val="top"/>
          </w:tcPr>
          <w:p>
            <w:pPr>
              <w:spacing w:after="40" w:before="0" w:line="259" w:lineRule="auto"/>
            </w:pPr>
            <w:r>
              <w:rPr>
                <w:rFonts w:ascii="Calibri" w:hAnsi="Calibri"/>
                <w:b w:val="0"/>
                <w:i w:val="0"/>
                <w:color w:val="212121"/>
                <w:sz w:val="16"/>
              </w:rPr>
              <w:t>AKI, volume-depleted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Rises with catabolism, GI bleeding, steroids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&amp; bicarbonate</w:t>
            </w:r>
          </w:p>
        </w:tc>
        <w:tc>
          <w:tcPr>
            <w:tcW w:type="dxa" w:w="892"/>
            <w:vAlign w:val="top"/>
          </w:tcPr>
          <w:p>
            <w:pPr>
              <w:spacing w:after="40" w:before="0" w:line="259" w:lineRule="auto"/>
            </w:pPr>
            <w:r>
              <w:rPr>
                <w:rFonts w:ascii="Calibri" w:hAnsi="Calibri"/>
                <w:b w:val="0"/>
                <w:i w:val="0"/>
                <w:color w:val="212121"/>
                <w:sz w:val="16"/>
              </w:rPr>
              <w:t>Electrolytes / acid-base</w:t>
            </w:r>
          </w:p>
        </w:tc>
        <w:tc>
          <w:tcPr>
            <w:tcW w:type="dxa" w:w="950"/>
            <w:vAlign w:val="top"/>
          </w:tcPr>
          <w:p>
            <w:pPr>
              <w:spacing w:after="40" w:before="0" w:line="259" w:lineRule="auto"/>
            </w:pPr>
            <w:r>
              <w:rPr>
                <w:rFonts w:ascii="Calibri" w:hAnsi="Calibri"/>
                <w:b w:val="0"/>
                <w:i w:val="0"/>
                <w:color w:val="212121"/>
                <w:sz w:val="16"/>
              </w:rPr>
              <w:t>K⁺ 3.5-5.0 mmol/L; HCO₃⁻ 22-28</w:t>
            </w:r>
          </w:p>
        </w:tc>
        <w:tc>
          <w:tcPr>
            <w:tcW w:type="dxa" w:w="950"/>
            <w:vAlign w:val="top"/>
          </w:tcPr>
          <w:p>
            <w:pPr>
              <w:spacing w:after="40" w:before="0" w:line="259" w:lineRule="auto"/>
            </w:pPr>
            <w:r>
              <w:rPr>
                <w:rFonts w:ascii="Calibri" w:hAnsi="Calibri"/>
                <w:b w:val="0"/>
                <w:i w:val="0"/>
                <w:color w:val="212121"/>
                <w:sz w:val="16"/>
              </w:rPr>
              <w:t>K⁺ &gt; 6.0; HCO₃⁻ &lt; 15</w:t>
            </w:r>
          </w:p>
        </w:tc>
        <w:tc>
          <w:tcPr>
            <w:tcW w:type="dxa" w:w="1036"/>
            <w:vAlign w:val="top"/>
          </w:tcPr>
          <w:p>
            <w:pPr>
              <w:spacing w:after="40" w:before="0" w:line="259" w:lineRule="auto"/>
            </w:pPr>
            <w:r>
              <w:rPr>
                <w:rFonts w:ascii="Calibri" w:hAnsi="Calibri"/>
                <w:b w:val="0"/>
                <w:i w:val="0"/>
                <w:color w:val="212121"/>
                <w:sz w:val="16"/>
              </w:rPr>
              <w:t>Detects life-threatening hyperkalaemia and metabolic acidosis</w:t>
            </w:r>
          </w:p>
        </w:tc>
        <w:tc>
          <w:tcPr>
            <w:tcW w:type="dxa" w:w="1036"/>
            <w:vAlign w:val="top"/>
          </w:tcPr>
          <w:p>
            <w:pPr>
              <w:spacing w:after="40" w:before="0" w:line="259" w:lineRule="auto"/>
            </w:pPr>
            <w:r>
              <w:rPr>
                <w:rFonts w:ascii="Calibri" w:hAnsi="Calibri"/>
                <w:b w:val="0"/>
                <w:i w:val="0"/>
                <w:color w:val="212121"/>
                <w:sz w:val="16"/>
              </w:rPr>
              <w:t>Oligo-anuric AKI</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Peaked T waves on ECG; emergency dialysis indication if refractory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Urinalysis &amp; microscopy</w:t>
            </w:r>
          </w:p>
        </w:tc>
        <w:tc>
          <w:tcPr>
            <w:tcW w:type="dxa" w:w="892"/>
            <w:vAlign w:val="top"/>
          </w:tcPr>
          <w:p>
            <w:pPr>
              <w:spacing w:after="40" w:before="0" w:line="259" w:lineRule="auto"/>
            </w:pPr>
            <w:r>
              <w:rPr>
                <w:rFonts w:ascii="Calibri" w:hAnsi="Calibri"/>
                <w:b w:val="0"/>
                <w:i w:val="0"/>
                <w:color w:val="212121"/>
                <w:sz w:val="16"/>
              </w:rPr>
              <w:t>Urine examination</w:t>
            </w:r>
          </w:p>
        </w:tc>
        <w:tc>
          <w:tcPr>
            <w:tcW w:type="dxa" w:w="950"/>
            <w:vAlign w:val="top"/>
          </w:tcPr>
          <w:p>
            <w:pPr>
              <w:spacing w:after="40" w:before="0" w:line="259" w:lineRule="auto"/>
            </w:pPr>
            <w:r>
              <w:rPr>
                <w:rFonts w:ascii="Calibri" w:hAnsi="Calibri"/>
                <w:b w:val="0"/>
                <w:i w:val="0"/>
                <w:color w:val="212121"/>
                <w:sz w:val="16"/>
              </w:rPr>
              <w:t>Bland sediment; no casts</w:t>
            </w:r>
          </w:p>
        </w:tc>
        <w:tc>
          <w:tcPr>
            <w:tcW w:type="dxa" w:w="950"/>
            <w:vAlign w:val="top"/>
          </w:tcPr>
          <w:p>
            <w:pPr>
              <w:spacing w:after="40" w:before="0" w:line="259" w:lineRule="auto"/>
            </w:pPr>
            <w:r>
              <w:rPr>
                <w:rFonts w:ascii="Calibri" w:hAnsi="Calibri"/>
                <w:b w:val="0"/>
                <w:i w:val="0"/>
                <w:color w:val="212121"/>
                <w:sz w:val="16"/>
              </w:rPr>
              <w:t>Muddy-brown, RBC or WBC casts; proteinuria/haematuria</w:t>
            </w:r>
          </w:p>
        </w:tc>
        <w:tc>
          <w:tcPr>
            <w:tcW w:type="dxa" w:w="1036"/>
            <w:vAlign w:val="top"/>
          </w:tcPr>
          <w:p>
            <w:pPr>
              <w:spacing w:after="40" w:before="0" w:line="259" w:lineRule="auto"/>
            </w:pPr>
            <w:r>
              <w:rPr>
                <w:rFonts w:ascii="Calibri" w:hAnsi="Calibri"/>
                <w:b w:val="0"/>
                <w:i w:val="0"/>
                <w:color w:val="212121"/>
                <w:sz w:val="16"/>
              </w:rPr>
              <w:t>Localises cause: ATN vs glomerulonephritis vs interstitial nephritis</w:t>
            </w:r>
          </w:p>
        </w:tc>
        <w:tc>
          <w:tcPr>
            <w:tcW w:type="dxa" w:w="1036"/>
            <w:vAlign w:val="top"/>
          </w:tcPr>
          <w:p>
            <w:pPr>
              <w:spacing w:after="40" w:before="0" w:line="259" w:lineRule="auto"/>
            </w:pPr>
            <w:r>
              <w:rPr>
                <w:rFonts w:ascii="Calibri" w:hAnsi="Calibri"/>
                <w:b w:val="0"/>
                <w:i w:val="0"/>
                <w:color w:val="212121"/>
                <w:sz w:val="16"/>
              </w:rPr>
              <w:t>All AKI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Fresh sample; eosinophiluria suggests AIN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Urine sodium &amp; fractional excretion of sodium (FeNa)</w:t>
            </w:r>
          </w:p>
        </w:tc>
        <w:tc>
          <w:tcPr>
            <w:tcW w:type="dxa" w:w="892"/>
            <w:vAlign w:val="top"/>
          </w:tcPr>
          <w:p>
            <w:pPr>
              <w:spacing w:after="40" w:before="0" w:line="259" w:lineRule="auto"/>
            </w:pPr>
            <w:r>
              <w:rPr>
                <w:rFonts w:ascii="Calibri" w:hAnsi="Calibri"/>
                <w:b w:val="0"/>
                <w:i w:val="0"/>
                <w:color w:val="212121"/>
                <w:sz w:val="16"/>
              </w:rPr>
              <w:t>Urinary indices</w:t>
            </w:r>
          </w:p>
        </w:tc>
        <w:tc>
          <w:tcPr>
            <w:tcW w:type="dxa" w:w="950"/>
            <w:vAlign w:val="top"/>
          </w:tcPr>
          <w:p>
            <w:pPr>
              <w:spacing w:after="40" w:before="0" w:line="259" w:lineRule="auto"/>
            </w:pPr>
            <w:r>
              <w:rPr>
                <w:rFonts w:ascii="Calibri" w:hAnsi="Calibri"/>
                <w:b w:val="0"/>
                <w:i w:val="0"/>
                <w:color w:val="212121"/>
                <w:sz w:val="16"/>
              </w:rPr>
              <w:t>Context-dependent</w:t>
            </w:r>
          </w:p>
        </w:tc>
        <w:tc>
          <w:tcPr>
            <w:tcW w:type="dxa" w:w="950"/>
            <w:vAlign w:val="top"/>
          </w:tcPr>
          <w:p>
            <w:pPr>
              <w:spacing w:after="40" w:before="0" w:line="259" w:lineRule="auto"/>
            </w:pPr>
            <w:r>
              <w:rPr>
                <w:rFonts w:ascii="Calibri" w:hAnsi="Calibri"/>
                <w:b w:val="0"/>
                <w:i w:val="0"/>
                <w:color w:val="212121"/>
                <w:sz w:val="16"/>
              </w:rPr>
              <w:t>FeNa &lt; 1% (pre-renal) vs &gt; 2% (ATN)</w:t>
            </w:r>
          </w:p>
        </w:tc>
        <w:tc>
          <w:tcPr>
            <w:tcW w:type="dxa" w:w="1036"/>
            <w:vAlign w:val="top"/>
          </w:tcPr>
          <w:p>
            <w:pPr>
              <w:spacing w:after="40" w:before="0" w:line="259" w:lineRule="auto"/>
            </w:pPr>
            <w:r>
              <w:rPr>
                <w:rFonts w:ascii="Calibri" w:hAnsi="Calibri"/>
                <w:b w:val="0"/>
                <w:i w:val="0"/>
                <w:color w:val="212121"/>
                <w:sz w:val="16"/>
              </w:rPr>
              <w:t>Distinguishes pre-renal azotaemia from established tubular necrosis</w:t>
            </w:r>
          </w:p>
        </w:tc>
        <w:tc>
          <w:tcPr>
            <w:tcW w:type="dxa" w:w="1036"/>
            <w:vAlign w:val="top"/>
          </w:tcPr>
          <w:p>
            <w:pPr>
              <w:spacing w:after="40" w:before="0" w:line="259" w:lineRule="auto"/>
            </w:pPr>
            <w:r>
              <w:rPr>
                <w:rFonts w:ascii="Calibri" w:hAnsi="Calibri"/>
                <w:b w:val="0"/>
                <w:i w:val="0"/>
                <w:color w:val="212121"/>
                <w:sz w:val="16"/>
              </w:rPr>
              <w:t>Oliguric AKI before diuretics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Unreliable after diuretics or in CKD/contrast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CBC &amp; peripheral smear</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Normal counts &amp; smear</w:t>
            </w:r>
          </w:p>
        </w:tc>
        <w:tc>
          <w:tcPr>
            <w:tcW w:type="dxa" w:w="950"/>
            <w:vAlign w:val="top"/>
          </w:tcPr>
          <w:p>
            <w:pPr>
              <w:spacing w:after="40" w:before="0" w:line="259" w:lineRule="auto"/>
            </w:pPr>
            <w:r>
              <w:rPr>
                <w:rFonts w:ascii="Calibri" w:hAnsi="Calibri"/>
                <w:b w:val="0"/>
                <w:i w:val="0"/>
                <w:color w:val="212121"/>
                <w:sz w:val="16"/>
              </w:rPr>
              <w:t>Anaemia, thrombocytopenia, schistocytes, malaria parasites</w:t>
            </w:r>
          </w:p>
        </w:tc>
        <w:tc>
          <w:tcPr>
            <w:tcW w:type="dxa" w:w="1036"/>
            <w:vAlign w:val="top"/>
          </w:tcPr>
          <w:p>
            <w:pPr>
              <w:spacing w:after="40" w:before="0" w:line="259" w:lineRule="auto"/>
            </w:pPr>
            <w:r>
              <w:rPr>
                <w:rFonts w:ascii="Calibri" w:hAnsi="Calibri"/>
                <w:b w:val="0"/>
                <w:i w:val="0"/>
                <w:color w:val="212121"/>
                <w:sz w:val="16"/>
              </w:rPr>
              <w:t>Points to haemolysis, TMA/HUS, malaria or sepsis</w:t>
            </w:r>
          </w:p>
        </w:tc>
        <w:tc>
          <w:tcPr>
            <w:tcW w:type="dxa" w:w="1036"/>
            <w:vAlign w:val="top"/>
          </w:tcPr>
          <w:p>
            <w:pPr>
              <w:spacing w:after="40" w:before="0" w:line="259" w:lineRule="auto"/>
            </w:pPr>
            <w:r>
              <w:rPr>
                <w:rFonts w:ascii="Calibri" w:hAnsi="Calibri"/>
                <w:b w:val="0"/>
                <w:i w:val="0"/>
                <w:color w:val="212121"/>
                <w:sz w:val="16"/>
              </w:rPr>
              <w:t>Febrile, haemolytic or obstetric AKI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Schistocytes suggest thrombotic microangiopathy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 / biochemical</w:t>
            </w:r>
          </w:p>
        </w:tc>
        <w:tc>
          <w:tcPr>
            <w:tcW w:type="dxa" w:w="1036"/>
            <w:vAlign w:val="top"/>
          </w:tcPr>
          <w:p>
            <w:pPr>
              <w:spacing w:after="40" w:before="0" w:line="259" w:lineRule="auto"/>
            </w:pPr>
            <w:r>
              <w:rPr>
                <w:rFonts w:ascii="Calibri" w:hAnsi="Calibri"/>
                <w:b w:val="0"/>
                <w:i w:val="0"/>
                <w:color w:val="212121"/>
                <w:sz w:val="16"/>
              </w:rPr>
              <w:t>Cause-specific work-up</w:t>
            </w:r>
          </w:p>
        </w:tc>
        <w:tc>
          <w:tcPr>
            <w:tcW w:type="dxa" w:w="892"/>
            <w:vAlign w:val="top"/>
          </w:tcPr>
          <w:p>
            <w:pPr>
              <w:spacing w:after="40" w:before="0" w:line="259" w:lineRule="auto"/>
            </w:pPr>
            <w:r>
              <w:rPr>
                <w:rFonts w:ascii="Calibri" w:hAnsi="Calibri"/>
                <w:b w:val="0"/>
                <w:i w:val="0"/>
                <w:color w:val="212121"/>
                <w:sz w:val="16"/>
              </w:rPr>
              <w:t>Aetiology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malaria RDT/smear, dengue NS1, leptospira, blood cultures, high CK/LDH/bilirubin</w:t>
            </w:r>
          </w:p>
        </w:tc>
        <w:tc>
          <w:tcPr>
            <w:tcW w:type="dxa" w:w="1036"/>
            <w:vAlign w:val="top"/>
          </w:tcPr>
          <w:p>
            <w:pPr>
              <w:spacing w:after="40" w:before="0" w:line="259" w:lineRule="auto"/>
            </w:pPr>
            <w:r>
              <w:rPr>
                <w:rFonts w:ascii="Calibri" w:hAnsi="Calibri"/>
                <w:b w:val="0"/>
                <w:i w:val="0"/>
                <w:color w:val="212121"/>
                <w:sz w:val="16"/>
              </w:rPr>
              <w:t>Identifies treatable infective, haemolytic or pigment causes</w:t>
            </w:r>
          </w:p>
        </w:tc>
        <w:tc>
          <w:tcPr>
            <w:tcW w:type="dxa" w:w="1036"/>
            <w:vAlign w:val="top"/>
          </w:tcPr>
          <w:p>
            <w:pPr>
              <w:spacing w:after="40" w:before="0" w:line="259" w:lineRule="auto"/>
            </w:pPr>
            <w:r>
              <w:rPr>
                <w:rFonts w:ascii="Calibri" w:hAnsi="Calibri"/>
                <w:b w:val="0"/>
                <w:i w:val="0"/>
                <w:color w:val="212121"/>
                <w:sz w:val="16"/>
              </w:rPr>
              <w:t>Monsoon/tropical, envenomation, sepsis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Early targeted therapy is often curative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Renal ultrasound (size &amp; obstruction)</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Normal-sized kidneys (9-12 cm); no hydronephrosis</w:t>
            </w:r>
          </w:p>
        </w:tc>
        <w:tc>
          <w:tcPr>
            <w:tcW w:type="dxa" w:w="950"/>
            <w:vAlign w:val="top"/>
          </w:tcPr>
          <w:p>
            <w:pPr>
              <w:spacing w:after="40" w:before="0" w:line="259" w:lineRule="auto"/>
            </w:pPr>
            <w:r>
              <w:rPr>
                <w:rFonts w:ascii="Calibri" w:hAnsi="Calibri"/>
                <w:b w:val="0"/>
                <w:i w:val="0"/>
                <w:color w:val="212121"/>
                <w:sz w:val="16"/>
              </w:rPr>
              <w:t>Hydronephrosis (obstruction); small echogenic kidneys (CKD)</w:t>
            </w:r>
          </w:p>
        </w:tc>
        <w:tc>
          <w:tcPr>
            <w:tcW w:type="dxa" w:w="1036"/>
            <w:vAlign w:val="top"/>
          </w:tcPr>
          <w:p>
            <w:pPr>
              <w:spacing w:after="40" w:before="0" w:line="259" w:lineRule="auto"/>
            </w:pPr>
            <w:r>
              <w:rPr>
                <w:rFonts w:ascii="Calibri" w:hAnsi="Calibri"/>
                <w:b w:val="0"/>
                <w:i w:val="0"/>
                <w:color w:val="212121"/>
                <w:sz w:val="16"/>
              </w:rPr>
              <w:t>Excludes reversible post-renal obstruction and confirms acuity vs chronicity</w:t>
            </w:r>
          </w:p>
        </w:tc>
        <w:tc>
          <w:tcPr>
            <w:tcW w:type="dxa" w:w="1036"/>
            <w:vAlign w:val="top"/>
          </w:tcPr>
          <w:p>
            <w:pPr>
              <w:spacing w:after="40" w:before="0" w:line="259" w:lineRule="auto"/>
            </w:pPr>
            <w:r>
              <w:rPr>
                <w:rFonts w:ascii="Calibri" w:hAnsi="Calibri"/>
                <w:b w:val="0"/>
                <w:i w:val="0"/>
                <w:color w:val="212121"/>
                <w:sz w:val="16"/>
              </w:rPr>
              <w:t>All AKI, especially anuric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Bladder scan and prostate assessment for outflow obstruction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Calcium, phosphate &amp; uric acid</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Normal ranges</w:t>
            </w:r>
          </w:p>
        </w:tc>
        <w:tc>
          <w:tcPr>
            <w:tcW w:type="dxa" w:w="950"/>
            <w:vAlign w:val="top"/>
          </w:tcPr>
          <w:p>
            <w:pPr>
              <w:spacing w:after="40" w:before="0" w:line="259" w:lineRule="auto"/>
            </w:pPr>
            <w:r>
              <w:rPr>
                <w:rFonts w:ascii="Calibri" w:hAnsi="Calibri"/>
                <w:b w:val="0"/>
                <w:i w:val="0"/>
                <w:color w:val="212121"/>
                <w:sz w:val="16"/>
              </w:rPr>
              <w:t>Hyperphosphataemia, hypocalcaemia, hyperuricaemia</w:t>
            </w:r>
          </w:p>
        </w:tc>
        <w:tc>
          <w:tcPr>
            <w:tcW w:type="dxa" w:w="1036"/>
            <w:vAlign w:val="top"/>
          </w:tcPr>
          <w:p>
            <w:pPr>
              <w:spacing w:after="40" w:before="0" w:line="259" w:lineRule="auto"/>
            </w:pPr>
            <w:r>
              <w:rPr>
                <w:rFonts w:ascii="Calibri" w:hAnsi="Calibri"/>
                <w:b w:val="0"/>
                <w:i w:val="0"/>
                <w:color w:val="212121"/>
                <w:sz w:val="16"/>
              </w:rPr>
              <w:t>Support tumour-lysis, rhabdomyolysis and severity assessment</w:t>
            </w:r>
          </w:p>
        </w:tc>
        <w:tc>
          <w:tcPr>
            <w:tcW w:type="dxa" w:w="1036"/>
            <w:vAlign w:val="top"/>
          </w:tcPr>
          <w:p>
            <w:pPr>
              <w:spacing w:after="40" w:before="0" w:line="259" w:lineRule="auto"/>
            </w:pPr>
            <w:r>
              <w:rPr>
                <w:rFonts w:ascii="Calibri" w:hAnsi="Calibri"/>
                <w:b w:val="0"/>
                <w:i w:val="0"/>
                <w:color w:val="212121"/>
                <w:sz w:val="16"/>
              </w:rPr>
              <w:t>Rhabdomyolysis, tumour lysis, severe AKI</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Guides supportive and dialysis decisions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Reduced urine output, swelling, breathlessness, nausea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Signal acute decline in kidney function and possible fluid overload</w:t>
            </w:r>
          </w:p>
        </w:tc>
        <w:tc>
          <w:tcPr>
            <w:tcW w:type="dxa" w:w="1036"/>
            <w:vAlign w:val="top"/>
          </w:tcPr>
          <w:p>
            <w:pPr>
              <w:spacing w:after="40" w:before="0" w:line="259" w:lineRule="auto"/>
            </w:pPr>
            <w:r>
              <w:rPr>
                <w:rFonts w:ascii="Calibri" w:hAnsi="Calibri"/>
                <w:b w:val="0"/>
                <w:i w:val="0"/>
                <w:color w:val="212121"/>
                <w:sz w:val="16"/>
              </w:rPr>
              <w:t>Acutely ill, febrile, post-operative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Oliguria may be subtle; quantify with a fluid chart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Precipitant history</w:t>
            </w:r>
          </w:p>
        </w:tc>
        <w:tc>
          <w:tcPr>
            <w:tcW w:type="dxa" w:w="979"/>
            <w:vAlign w:val="top"/>
          </w:tcPr>
          <w:p>
            <w:pPr>
              <w:spacing w:after="40" w:before="0" w:line="259" w:lineRule="auto"/>
            </w:pPr>
            <w:r>
              <w:rPr>
                <w:rFonts w:ascii="Calibri" w:hAnsi="Calibri"/>
                <w:b w:val="0"/>
                <w:i w:val="0"/>
                <w:color w:val="212121"/>
                <w:sz w:val="16"/>
              </w:rPr>
              <w:t>Diarrhoea/vomiting, fever, obstetric event, snakebite, NSAID/herbal/contrast use</w:t>
            </w:r>
          </w:p>
        </w:tc>
        <w:tc>
          <w:tcPr>
            <w:tcW w:type="dxa" w:w="950"/>
            <w:vAlign w:val="top"/>
          </w:tcPr>
          <w:p>
            <w:pPr>
              <w:spacing w:after="40" w:before="0" w:line="259" w:lineRule="auto"/>
            </w:pPr>
            <w:r>
              <w:rPr>
                <w:rFonts w:ascii="Calibri" w:hAnsi="Calibri"/>
                <w:b w:val="0"/>
                <w:i w:val="0"/>
                <w:color w:val="212121"/>
                <w:sz w:val="16"/>
              </w:rPr>
              <w:t>No identifiable trigger</w:t>
            </w:r>
          </w:p>
        </w:tc>
        <w:tc>
          <w:tcPr>
            <w:tcW w:type="dxa" w:w="950"/>
            <w:vAlign w:val="top"/>
          </w:tcPr>
          <w:p>
            <w:pPr>
              <w:spacing w:after="40" w:before="0" w:line="259" w:lineRule="auto"/>
            </w:pPr>
            <w:r>
              <w:rPr>
                <w:rFonts w:ascii="Calibri" w:hAnsi="Calibri"/>
                <w:b w:val="0"/>
                <w:i w:val="0"/>
                <w:color w:val="212121"/>
                <w:sz w:val="16"/>
              </w:rPr>
              <w:t>Recent volume loss, infection, nephrotoxin or envenomation</w:t>
            </w:r>
          </w:p>
        </w:tc>
        <w:tc>
          <w:tcPr>
            <w:tcW w:type="dxa" w:w="1036"/>
            <w:vAlign w:val="top"/>
          </w:tcPr>
          <w:p>
            <w:pPr>
              <w:spacing w:after="40" w:before="0" w:line="259" w:lineRule="auto"/>
            </w:pPr>
            <w:r>
              <w:rPr>
                <w:rFonts w:ascii="Calibri" w:hAnsi="Calibri"/>
                <w:b w:val="0"/>
                <w:i w:val="0"/>
                <w:color w:val="212121"/>
                <w:sz w:val="16"/>
              </w:rPr>
              <w:t>Identifies the reversible cause — the key to management</w:t>
            </w:r>
          </w:p>
        </w:tc>
        <w:tc>
          <w:tcPr>
            <w:tcW w:type="dxa" w:w="1036"/>
            <w:vAlign w:val="top"/>
          </w:tcPr>
          <w:p>
            <w:pPr>
              <w:spacing w:after="40" w:before="0" w:line="259" w:lineRule="auto"/>
            </w:pPr>
            <w:r>
              <w:rPr>
                <w:rFonts w:ascii="Calibri" w:hAnsi="Calibri"/>
                <w:b w:val="0"/>
                <w:i w:val="0"/>
                <w:color w:val="212121"/>
                <w:sz w:val="16"/>
              </w:rPr>
              <w:t>Community-acquired AKI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specifically about indigenous/OTC medicines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baseline</w:t>
            </w:r>
          </w:p>
        </w:tc>
        <w:tc>
          <w:tcPr>
            <w:tcW w:type="dxa" w:w="979"/>
            <w:vAlign w:val="top"/>
          </w:tcPr>
          <w:p>
            <w:pPr>
              <w:spacing w:after="40" w:before="0" w:line="259" w:lineRule="auto"/>
            </w:pPr>
            <w:r>
              <w:rPr>
                <w:rFonts w:ascii="Calibri" w:hAnsi="Calibri"/>
                <w:b w:val="0"/>
                <w:i w:val="0"/>
                <w:color w:val="212121"/>
                <w:sz w:val="16"/>
              </w:rPr>
              <w:t>CKD, diabetes, hypertension, heart failure, cirrhosis</w:t>
            </w:r>
          </w:p>
        </w:tc>
        <w:tc>
          <w:tcPr>
            <w:tcW w:type="dxa" w:w="950"/>
            <w:vAlign w:val="top"/>
          </w:tcPr>
          <w:p>
            <w:pPr>
              <w:spacing w:after="40" w:before="0" w:line="259" w:lineRule="auto"/>
            </w:pPr>
            <w:r>
              <w:rPr>
                <w:rFonts w:ascii="Calibri" w:hAnsi="Calibri"/>
                <w:b w:val="0"/>
                <w:i w:val="0"/>
                <w:color w:val="212121"/>
                <w:sz w:val="16"/>
              </w:rPr>
              <w:t>No pre-existing renal or cardiac disease</w:t>
            </w:r>
          </w:p>
        </w:tc>
        <w:tc>
          <w:tcPr>
            <w:tcW w:type="dxa" w:w="950"/>
            <w:vAlign w:val="top"/>
          </w:tcPr>
          <w:p>
            <w:pPr>
              <w:spacing w:after="40" w:before="0" w:line="259" w:lineRule="auto"/>
            </w:pPr>
            <w:r>
              <w:rPr>
                <w:rFonts w:ascii="Calibri" w:hAnsi="Calibri"/>
                <w:b w:val="0"/>
                <w:i w:val="0"/>
                <w:color w:val="212121"/>
                <w:sz w:val="16"/>
              </w:rPr>
              <w:t>Pre-existing CKD or cardiovascular disease</w:t>
            </w:r>
          </w:p>
        </w:tc>
        <w:tc>
          <w:tcPr>
            <w:tcW w:type="dxa" w:w="1036"/>
            <w:vAlign w:val="top"/>
          </w:tcPr>
          <w:p>
            <w:pPr>
              <w:spacing w:after="40" w:before="0" w:line="259" w:lineRule="auto"/>
            </w:pPr>
            <w:r>
              <w:rPr>
                <w:rFonts w:ascii="Calibri" w:hAnsi="Calibri"/>
                <w:b w:val="0"/>
                <w:i w:val="0"/>
                <w:color w:val="212121"/>
                <w:sz w:val="16"/>
              </w:rPr>
              <w:t>Flags acute-on-chronic injury and poorer prognosis</w:t>
            </w:r>
          </w:p>
        </w:tc>
        <w:tc>
          <w:tcPr>
            <w:tcW w:type="dxa" w:w="1036"/>
            <w:vAlign w:val="top"/>
          </w:tcPr>
          <w:p>
            <w:pPr>
              <w:spacing w:after="40" w:before="0" w:line="259" w:lineRule="auto"/>
            </w:pPr>
            <w:r>
              <w:rPr>
                <w:rFonts w:ascii="Calibri" w:hAnsi="Calibri"/>
                <w:b w:val="0"/>
                <w:i w:val="0"/>
                <w:color w:val="212121"/>
                <w:sz w:val="16"/>
              </w:rPr>
              <w:t>Elderly, diabetics, cardiac/liver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Obtain prior creatinine values where possible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Volume status assessment</w:t>
            </w:r>
          </w:p>
        </w:tc>
        <w:tc>
          <w:tcPr>
            <w:tcW w:type="dxa" w:w="979"/>
            <w:vAlign w:val="top"/>
          </w:tcPr>
          <w:p>
            <w:pPr>
              <w:spacing w:after="40" w:before="0" w:line="259" w:lineRule="auto"/>
            </w:pPr>
            <w:r>
              <w:rPr>
                <w:rFonts w:ascii="Calibri" w:hAnsi="Calibri"/>
                <w:b w:val="0"/>
                <w:i w:val="0"/>
                <w:color w:val="212121"/>
                <w:sz w:val="16"/>
              </w:rPr>
              <w:t>Blood pressure, pulse, JVP, skin turgor, mucous membranes, oedema</w:t>
            </w:r>
          </w:p>
        </w:tc>
        <w:tc>
          <w:tcPr>
            <w:tcW w:type="dxa" w:w="950"/>
            <w:vAlign w:val="top"/>
          </w:tcPr>
          <w:p>
            <w:pPr>
              <w:spacing w:after="40" w:before="0" w:line="259" w:lineRule="auto"/>
            </w:pPr>
            <w:r>
              <w:rPr>
                <w:rFonts w:ascii="Calibri" w:hAnsi="Calibri"/>
                <w:b w:val="0"/>
                <w:i w:val="0"/>
                <w:color w:val="212121"/>
                <w:sz w:val="16"/>
              </w:rPr>
              <w:t>Euvolaemic</w:t>
            </w:r>
          </w:p>
        </w:tc>
        <w:tc>
          <w:tcPr>
            <w:tcW w:type="dxa" w:w="950"/>
            <w:vAlign w:val="top"/>
          </w:tcPr>
          <w:p>
            <w:pPr>
              <w:spacing w:after="40" w:before="0" w:line="259" w:lineRule="auto"/>
            </w:pPr>
            <w:r>
              <w:rPr>
                <w:rFonts w:ascii="Calibri" w:hAnsi="Calibri"/>
                <w:b w:val="0"/>
                <w:i w:val="0"/>
                <w:color w:val="212121"/>
                <w:sz w:val="16"/>
              </w:rPr>
              <w:t>Hypovolaemia (dry, tachycardic, hypotensive) or overload (raised JVP, oedema, crepitations)</w:t>
            </w:r>
          </w:p>
        </w:tc>
        <w:tc>
          <w:tcPr>
            <w:tcW w:type="dxa" w:w="1036"/>
            <w:vAlign w:val="top"/>
          </w:tcPr>
          <w:p>
            <w:pPr>
              <w:spacing w:after="40" w:before="0" w:line="259" w:lineRule="auto"/>
            </w:pPr>
            <w:r>
              <w:rPr>
                <w:rFonts w:ascii="Calibri" w:hAnsi="Calibri"/>
                <w:b w:val="0"/>
                <w:i w:val="0"/>
                <w:color w:val="212121"/>
                <w:sz w:val="16"/>
              </w:rPr>
              <w:t>Distinguishes pre-renal depletion from fluid overload and directs fluid therapy</w:t>
            </w:r>
          </w:p>
        </w:tc>
        <w:tc>
          <w:tcPr>
            <w:tcW w:type="dxa" w:w="1036"/>
            <w:vAlign w:val="top"/>
          </w:tcPr>
          <w:p>
            <w:pPr>
              <w:spacing w:after="40" w:before="0" w:line="259" w:lineRule="auto"/>
            </w:pPr>
            <w:r>
              <w:rPr>
                <w:rFonts w:ascii="Calibri" w:hAnsi="Calibri"/>
                <w:b w:val="0"/>
                <w:i w:val="0"/>
                <w:color w:val="212121"/>
                <w:sz w:val="16"/>
              </w:rPr>
              <w:t>All AKI patients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Serial assessment guides fluids vs diuretics/ultrafiltration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Lower urinary tract examination</w:t>
            </w:r>
          </w:p>
        </w:tc>
        <w:tc>
          <w:tcPr>
            <w:tcW w:type="dxa" w:w="979"/>
            <w:vAlign w:val="top"/>
          </w:tcPr>
          <w:p>
            <w:pPr>
              <w:spacing w:after="40" w:before="0" w:line="259" w:lineRule="auto"/>
            </w:pPr>
            <w:r>
              <w:rPr>
                <w:rFonts w:ascii="Calibri" w:hAnsi="Calibri"/>
                <w:b w:val="0"/>
                <w:i w:val="0"/>
                <w:color w:val="212121"/>
                <w:sz w:val="16"/>
              </w:rPr>
              <w:t>Palpable bladder, prostate size (PR), pelvic/flank mass</w:t>
            </w:r>
          </w:p>
        </w:tc>
        <w:tc>
          <w:tcPr>
            <w:tcW w:type="dxa" w:w="950"/>
            <w:vAlign w:val="top"/>
          </w:tcPr>
          <w:p>
            <w:pPr>
              <w:spacing w:after="40" w:before="0" w:line="259" w:lineRule="auto"/>
            </w:pPr>
            <w:r>
              <w:rPr>
                <w:rFonts w:ascii="Calibri" w:hAnsi="Calibri"/>
                <w:b w:val="0"/>
                <w:i w:val="0"/>
                <w:color w:val="212121"/>
                <w:sz w:val="16"/>
              </w:rPr>
              <w:t>Empty bladder, normal prostate</w:t>
            </w:r>
          </w:p>
        </w:tc>
        <w:tc>
          <w:tcPr>
            <w:tcW w:type="dxa" w:w="950"/>
            <w:vAlign w:val="top"/>
          </w:tcPr>
          <w:p>
            <w:pPr>
              <w:spacing w:after="40" w:before="0" w:line="259" w:lineRule="auto"/>
            </w:pPr>
            <w:r>
              <w:rPr>
                <w:rFonts w:ascii="Calibri" w:hAnsi="Calibri"/>
                <w:b w:val="0"/>
                <w:i w:val="0"/>
                <w:color w:val="212121"/>
                <w:sz w:val="16"/>
              </w:rPr>
              <w:t>Distended bladder or enlarged obstructing prostate</w:t>
            </w:r>
          </w:p>
        </w:tc>
        <w:tc>
          <w:tcPr>
            <w:tcW w:type="dxa" w:w="1036"/>
            <w:vAlign w:val="top"/>
          </w:tcPr>
          <w:p>
            <w:pPr>
              <w:spacing w:after="40" w:before="0" w:line="259" w:lineRule="auto"/>
            </w:pPr>
            <w:r>
              <w:rPr>
                <w:rFonts w:ascii="Calibri" w:hAnsi="Calibri"/>
                <w:b w:val="0"/>
                <w:i w:val="0"/>
                <w:color w:val="212121"/>
                <w:sz w:val="16"/>
              </w:rPr>
              <w:t>Detects reversible post-renal obstruction</w:t>
            </w:r>
          </w:p>
        </w:tc>
        <w:tc>
          <w:tcPr>
            <w:tcW w:type="dxa" w:w="1036"/>
            <w:vAlign w:val="top"/>
          </w:tcPr>
          <w:p>
            <w:pPr>
              <w:spacing w:after="40" w:before="0" w:line="259" w:lineRule="auto"/>
            </w:pPr>
            <w:r>
              <w:rPr>
                <w:rFonts w:ascii="Calibri" w:hAnsi="Calibri"/>
                <w:b w:val="0"/>
                <w:i w:val="0"/>
                <w:color w:val="212121"/>
                <w:sz w:val="16"/>
              </w:rPr>
              <w:t>Elderly men, anuric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Bladder catheterisation is both diagnostic and therapeutic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Systemic examination</w:t>
            </w:r>
          </w:p>
        </w:tc>
        <w:tc>
          <w:tcPr>
            <w:tcW w:type="dxa" w:w="979"/>
            <w:vAlign w:val="top"/>
          </w:tcPr>
          <w:p>
            <w:pPr>
              <w:spacing w:after="40" w:before="0" w:line="259" w:lineRule="auto"/>
            </w:pPr>
            <w:r>
              <w:rPr>
                <w:rFonts w:ascii="Calibri" w:hAnsi="Calibri"/>
                <w:b w:val="0"/>
                <w:i w:val="0"/>
                <w:color w:val="212121"/>
                <w:sz w:val="16"/>
              </w:rPr>
              <w:t>Pallor, jaundice, petechiae/bite-site bleeding, rash, fever, asterixis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Clues to haemolysis, malaria, envenomation, TMA and uraemia</w:t>
            </w:r>
          </w:p>
        </w:tc>
        <w:tc>
          <w:tcPr>
            <w:tcW w:type="dxa" w:w="1036"/>
            <w:vAlign w:val="top"/>
          </w:tcPr>
          <w:p>
            <w:pPr>
              <w:spacing w:after="40" w:before="0" w:line="259" w:lineRule="auto"/>
            </w:pPr>
            <w:r>
              <w:rPr>
                <w:rFonts w:ascii="Calibri" w:hAnsi="Calibri"/>
                <w:b w:val="0"/>
                <w:i w:val="0"/>
                <w:color w:val="212121"/>
                <w:sz w:val="16"/>
              </w:rPr>
              <w:t>Febrile, haemolytic, envenomation AKI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Bleeding and petechiae suggest haemotoxic snakebite or TMA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Monitoring</w:t>
            </w:r>
          </w:p>
        </w:tc>
        <w:tc>
          <w:tcPr>
            <w:tcW w:type="dxa" w:w="950"/>
            <w:vAlign w:val="top"/>
          </w:tcPr>
          <w:p>
            <w:pPr>
              <w:spacing w:after="40" w:before="0" w:line="259" w:lineRule="auto"/>
            </w:pPr>
            <w:r>
              <w:rPr>
                <w:rFonts w:ascii="Calibri" w:hAnsi="Calibri"/>
                <w:b w:val="0"/>
                <w:i w:val="0"/>
                <w:color w:val="212121"/>
                <w:sz w:val="16"/>
              </w:rPr>
              <w:t>Fluid balance &amp; daily weight</w:t>
            </w:r>
          </w:p>
        </w:tc>
        <w:tc>
          <w:tcPr>
            <w:tcW w:type="dxa" w:w="979"/>
            <w:vAlign w:val="top"/>
          </w:tcPr>
          <w:p>
            <w:pPr>
              <w:spacing w:after="40" w:before="0" w:line="259" w:lineRule="auto"/>
            </w:pPr>
            <w:r>
              <w:rPr>
                <w:rFonts w:ascii="Calibri" w:hAnsi="Calibri"/>
                <w:b w:val="0"/>
                <w:i w:val="0"/>
                <w:color w:val="212121"/>
                <w:sz w:val="16"/>
              </w:rPr>
              <w:t>Input-output chart and daily body weight</w:t>
            </w:r>
          </w:p>
        </w:tc>
        <w:tc>
          <w:tcPr>
            <w:tcW w:type="dxa" w:w="950"/>
            <w:vAlign w:val="top"/>
          </w:tcPr>
          <w:p>
            <w:pPr>
              <w:spacing w:after="40" w:before="0" w:line="259" w:lineRule="auto"/>
            </w:pPr>
            <w:r>
              <w:rPr>
                <w:rFonts w:ascii="Calibri" w:hAnsi="Calibri"/>
                <w:b w:val="0"/>
                <w:i w:val="0"/>
                <w:color w:val="212121"/>
                <w:sz w:val="16"/>
              </w:rPr>
              <w:t>Balanced I/O; stable weight</w:t>
            </w:r>
          </w:p>
        </w:tc>
        <w:tc>
          <w:tcPr>
            <w:tcW w:type="dxa" w:w="950"/>
            <w:vAlign w:val="top"/>
          </w:tcPr>
          <w:p>
            <w:pPr>
              <w:spacing w:after="40" w:before="0" w:line="259" w:lineRule="auto"/>
            </w:pPr>
            <w:r>
              <w:rPr>
                <w:rFonts w:ascii="Calibri" w:hAnsi="Calibri"/>
                <w:b w:val="0"/>
                <w:i w:val="0"/>
                <w:color w:val="212121"/>
                <w:sz w:val="16"/>
              </w:rPr>
              <w:t>Progressive positive balance or weight gain</w:t>
            </w:r>
          </w:p>
        </w:tc>
        <w:tc>
          <w:tcPr>
            <w:tcW w:type="dxa" w:w="1036"/>
            <w:vAlign w:val="top"/>
          </w:tcPr>
          <w:p>
            <w:pPr>
              <w:spacing w:after="40" w:before="0" w:line="259" w:lineRule="auto"/>
            </w:pPr>
            <w:r>
              <w:rPr>
                <w:rFonts w:ascii="Calibri" w:hAnsi="Calibri"/>
                <w:b w:val="0"/>
                <w:i w:val="0"/>
                <w:color w:val="212121"/>
                <w:sz w:val="16"/>
              </w:rPr>
              <w:t>Tracks oliguria, fluid overload and response to therapy</w:t>
            </w:r>
          </w:p>
        </w:tc>
        <w:tc>
          <w:tcPr>
            <w:tcW w:type="dxa" w:w="1036"/>
            <w:vAlign w:val="top"/>
          </w:tcPr>
          <w:p>
            <w:pPr>
              <w:spacing w:after="40" w:before="0" w:line="259" w:lineRule="auto"/>
            </w:pPr>
            <w:r>
              <w:rPr>
                <w:rFonts w:ascii="Calibri" w:hAnsi="Calibri"/>
                <w:b w:val="0"/>
                <w:i w:val="0"/>
                <w:color w:val="212121"/>
                <w:sz w:val="16"/>
              </w:rPr>
              <w:t>Hospitalised / ICU AKI</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Cornerstone of inpatient AKI management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Decreased urine output (oliguria/anuria)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AKI; some tubular and non-oliguric forms preserve output despite rising creatinine.</w:t>
            </w:r>
          </w:p>
        </w:tc>
      </w:tr>
      <w:tr>
        <w:trPr>
          <w:cantSplit/>
        </w:trPr>
        <w:tc>
          <w:tcPr>
            <w:tcW w:type="dxa" w:w="2304"/>
            <w:vAlign w:val="top"/>
          </w:tcPr>
          <w:p>
            <w:pPr>
              <w:spacing w:after="40" w:before="0" w:line="259" w:lineRule="auto"/>
            </w:pPr>
            <w:r>
              <w:rPr>
                <w:rFonts w:ascii="Calibri" w:hAnsi="Calibri"/>
                <w:b/>
                <w:i w:val="0"/>
                <w:color w:val="212121"/>
                <w:sz w:val="19"/>
              </w:rPr>
              <w:t>Swelling of legs, face or around the eyes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Sodium and fluid retention from reduced excretion causing peripheral and periorbital oedema.</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uraemia, anaemia, acidosis and the underlying illness.</w:t>
            </w:r>
          </w:p>
        </w:tc>
      </w:tr>
      <w:tr>
        <w:trPr>
          <w:cantSplit/>
        </w:trPr>
        <w:tc>
          <w:tcPr>
            <w:tcW w:type="dxa" w:w="2304"/>
            <w:vAlign w:val="top"/>
          </w:tcPr>
          <w:p>
            <w:pPr>
              <w:spacing w:after="40" w:before="0" w:line="259" w:lineRule="auto"/>
            </w:pPr>
            <w:r>
              <w:rPr>
                <w:rFonts w:ascii="Calibri" w:hAnsi="Calibri"/>
                <w:b/>
                <w:i w:val="0"/>
                <w:color w:val="212121"/>
                <w:sz w:val="19"/>
              </w:rPr>
              <w:t>Nausea, vomiting and loss of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Uraemic gastrointestinal effects that worsen dehydration and nutrition.</w:t>
            </w:r>
          </w:p>
        </w:tc>
      </w:tr>
      <w:tr>
        <w:trPr>
          <w:cantSplit/>
        </w:trPr>
        <w:tc>
          <w:tcPr>
            <w:tcW w:type="dxa" w:w="2304"/>
            <w:vAlign w:val="top"/>
          </w:tcPr>
          <w:p>
            <w:pPr>
              <w:spacing w:after="40" w:before="0" w:line="259" w:lineRule="auto"/>
            </w:pPr>
            <w:r>
              <w:rPr>
                <w:rFonts w:ascii="Calibri" w:hAnsi="Calibri"/>
                <w:b/>
                <w:i w:val="0"/>
                <w:color w:val="212121"/>
                <w:sz w:val="19"/>
              </w:rPr>
              <w:t>Breathlessness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fluid overload/pulmonary oedema, severe anaemia or metabolic acidosis.</w:t>
            </w:r>
          </w:p>
        </w:tc>
      </w:tr>
      <w:tr>
        <w:trPr>
          <w:cantSplit/>
        </w:trPr>
        <w:tc>
          <w:tcPr>
            <w:tcW w:type="dxa" w:w="2304"/>
            <w:vAlign w:val="top"/>
          </w:tcPr>
          <w:p>
            <w:pPr>
              <w:spacing w:after="40" w:before="0" w:line="259" w:lineRule="auto"/>
            </w:pPr>
            <w:r>
              <w:rPr>
                <w:rFonts w:ascii="Calibri" w:hAnsi="Calibri"/>
                <w:b/>
                <w:i w:val="0"/>
                <w:color w:val="212121"/>
                <w:sz w:val="19"/>
              </w:rPr>
              <w:t>Reduced concentration, drowsiness or confusion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uraemic encephalopathy from accumulating toxins and electrolyte shifts.</w:t>
            </w:r>
          </w:p>
        </w:tc>
      </w:tr>
      <w:tr>
        <w:trPr>
          <w:cantSplit/>
        </w:trPr>
        <w:tc>
          <w:tcPr>
            <w:tcW w:type="dxa" w:w="2304"/>
            <w:vAlign w:val="top"/>
          </w:tcPr>
          <w:p>
            <w:pPr>
              <w:spacing w:after="40" w:before="0" w:line="259" w:lineRule="auto"/>
            </w:pPr>
            <w:r>
              <w:rPr>
                <w:rFonts w:ascii="Calibri" w:hAnsi="Calibri"/>
                <w:b/>
                <w:i w:val="0"/>
                <w:color w:val="212121"/>
                <w:sz w:val="19"/>
              </w:rPr>
              <w:t>Flank or loin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obstruction, stones, pyelonephritis or, rarely, renal infarction.</w:t>
            </w:r>
          </w:p>
        </w:tc>
      </w:tr>
      <w:tr>
        <w:trPr>
          <w:cantSplit/>
        </w:trPr>
        <w:tc>
          <w:tcPr>
            <w:tcW w:type="dxa" w:w="2304"/>
            <w:vAlign w:val="top"/>
          </w:tcPr>
          <w:p>
            <w:pPr>
              <w:spacing w:after="40" w:before="0" w:line="259" w:lineRule="auto"/>
            </w:pPr>
            <w:r>
              <w:rPr>
                <w:rFonts w:ascii="Calibri" w:hAnsi="Calibri"/>
                <w:b/>
                <w:i w:val="0"/>
                <w:color w:val="212121"/>
                <w:sz w:val="19"/>
              </w:rPr>
              <w:t>Reddish, tea-coloured or cola-coloured urine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Haematuria, myoglobinuria or haemoglobinuria in glomerular disease or pigment nephropathy.</w:t>
            </w:r>
          </w:p>
        </w:tc>
      </w:tr>
      <w:tr>
        <w:trPr>
          <w:cantSplit/>
        </w:trPr>
        <w:tc>
          <w:tcPr>
            <w:tcW w:type="dxa" w:w="2304"/>
            <w:vAlign w:val="top"/>
          </w:tcPr>
          <w:p>
            <w:pPr>
              <w:spacing w:after="40" w:before="0" w:line="259" w:lineRule="auto"/>
            </w:pPr>
            <w:r>
              <w:rPr>
                <w:rFonts w:ascii="Calibri" w:hAnsi="Calibri"/>
                <w:b/>
                <w:i w:val="0"/>
                <w:color w:val="212121"/>
                <w:sz w:val="19"/>
              </w:rPr>
              <w:t>Muscle cramps and twitching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Electrolyte disturbances — hyperkalaemia, hypocalcaemia — and volume shifts.</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Uraemic and phosphate-related, usually in more prolonged or severe AKI.</w:t>
            </w:r>
          </w:p>
        </w:tc>
      </w:tr>
      <w:tr>
        <w:trPr>
          <w:cantSplit/>
        </w:trPr>
        <w:tc>
          <w:tcPr>
            <w:tcW w:type="dxa" w:w="2304"/>
            <w:vAlign w:val="top"/>
          </w:tcPr>
          <w:p>
            <w:pPr>
              <w:spacing w:after="40" w:before="0" w:line="259" w:lineRule="auto"/>
            </w:pPr>
            <w:r>
              <w:rPr>
                <w:rFonts w:ascii="Calibri" w:hAnsi="Calibri"/>
                <w:b/>
                <w:i w:val="0"/>
                <w:color w:val="212121"/>
                <w:sz w:val="19"/>
              </w:rPr>
              <w:t>Hiccups and metallic taste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Uraemic features that reduce oral intake.</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From severe uraemia, hyponatraemia or hypertensive/eclamptic encephalopathy — an emergency.</w:t>
            </w:r>
          </w:p>
        </w:tc>
      </w:tr>
      <w:tr>
        <w:trPr>
          <w:cantSplit/>
        </w:trPr>
        <w:tc>
          <w:tcPr>
            <w:tcW w:type="dxa" w:w="2304"/>
            <w:vAlign w:val="top"/>
          </w:tcPr>
          <w:p>
            <w:pPr>
              <w:spacing w:after="40" w:before="0" w:line="259" w:lineRule="auto"/>
            </w:pPr>
            <w:r>
              <w:rPr>
                <w:rFonts w:ascii="Calibri" w:hAnsi="Calibri"/>
                <w:b/>
                <w:i w:val="0"/>
                <w:color w:val="212121"/>
                <w:sz w:val="19"/>
              </w:rPr>
              <w:t>Chest pain from pericarditis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Uraemic pericarditis in advanced, untreated AKI — an indication for urgent dialysis.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urine output on catheter/fluid chart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oliguria (&lt; 0.5 mL/kg/h) or anuria; part of KDIGO staging.</w:t>
            </w:r>
          </w:p>
        </w:tc>
      </w:tr>
      <w:tr>
        <w:trPr>
          <w:cantSplit/>
        </w:trPr>
        <w:tc>
          <w:tcPr>
            <w:tcW w:type="dxa" w:w="3456"/>
            <w:vAlign w:val="top"/>
          </w:tcPr>
          <w:p>
            <w:pPr>
              <w:spacing w:after="40" w:before="0" w:line="259" w:lineRule="auto"/>
            </w:pPr>
            <w:r>
              <w:rPr>
                <w:rFonts w:ascii="Calibri" w:hAnsi="Calibri"/>
                <w:b/>
                <w:i w:val="0"/>
                <w:color w:val="212121"/>
                <w:sz w:val="19"/>
              </w:rPr>
              <w:t>Signs of hypovolaemia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Dry mucous membranes, tachycardia, postural or frank hypotension and reduced skin turgor in pre-renal AKI.</w:t>
            </w:r>
          </w:p>
        </w:tc>
      </w:tr>
      <w:tr>
        <w:trPr>
          <w:cantSplit/>
        </w:trPr>
        <w:tc>
          <w:tcPr>
            <w:tcW w:type="dxa" w:w="3456"/>
            <w:vAlign w:val="top"/>
          </w:tcPr>
          <w:p>
            <w:pPr>
              <w:spacing w:after="40" w:before="0" w:line="259" w:lineRule="auto"/>
            </w:pPr>
            <w:r>
              <w:rPr>
                <w:rFonts w:ascii="Calibri" w:hAnsi="Calibri"/>
                <w:b/>
                <w:i w:val="0"/>
                <w:color w:val="212121"/>
                <w:sz w:val="19"/>
              </w:rPr>
              <w:t>Signs of fluid overload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JVP, pedal and sacral oedema and basal lung crepitations when output falls.</w:t>
            </w:r>
          </w:p>
        </w:tc>
      </w:tr>
      <w:tr>
        <w:trPr>
          <w:cantSplit/>
        </w:trPr>
        <w:tc>
          <w:tcPr>
            <w:tcW w:type="dxa" w:w="3456"/>
            <w:vAlign w:val="top"/>
          </w:tcPr>
          <w:p>
            <w:pPr>
              <w:spacing w:after="40" w:before="0" w:line="259" w:lineRule="auto"/>
            </w:pPr>
            <w:r>
              <w:rPr>
                <w:rFonts w:ascii="Calibri" w:hAnsi="Calibri"/>
                <w:b/>
                <w:i w:val="0"/>
                <w:color w:val="212121"/>
                <w:sz w:val="19"/>
              </w:rPr>
              <w:t>Hypertension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sodium and fluid retention and renin-angiotensin activation; may be severe in glomerular causes.</w:t>
            </w:r>
          </w:p>
        </w:tc>
      </w:tr>
      <w:tr>
        <w:trPr>
          <w:cantSplit/>
        </w:trPr>
        <w:tc>
          <w:tcPr>
            <w:tcW w:type="dxa" w:w="3456"/>
            <w:vAlign w:val="top"/>
          </w:tcPr>
          <w:p>
            <w:pPr>
              <w:spacing w:after="40" w:before="0" w:line="259" w:lineRule="auto"/>
            </w:pPr>
            <w:r>
              <w:rPr>
                <w:rFonts w:ascii="Calibri" w:hAnsi="Calibri"/>
                <w:b/>
                <w:i w:val="0"/>
                <w:color w:val="212121"/>
                <w:sz w:val="19"/>
              </w:rPr>
              <w:t>Palpable distended bladder or enlarged prostate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post-renal obstruction; relief by catheterisation is diagnostic and therapeutic.</w:t>
            </w:r>
          </w:p>
        </w:tc>
      </w:tr>
      <w:tr>
        <w:trPr>
          <w:cantSplit/>
        </w:trPr>
        <w:tc>
          <w:tcPr>
            <w:tcW w:type="dxa" w:w="3456"/>
            <w:vAlign w:val="top"/>
          </w:tcPr>
          <w:p>
            <w:pPr>
              <w:spacing w:after="40" w:before="0" w:line="259" w:lineRule="auto"/>
            </w:pPr>
            <w:r>
              <w:rPr>
                <w:rFonts w:ascii="Calibri" w:hAnsi="Calibri"/>
                <w:b/>
                <w:i w:val="0"/>
                <w:color w:val="212121"/>
                <w:sz w:val="19"/>
              </w:rPr>
              <w:t>Pallor or jaundice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haemolysis, malaria, thrombotic microangiopathy or coexisting liver disease.</w:t>
            </w:r>
          </w:p>
        </w:tc>
      </w:tr>
      <w:tr>
        <w:trPr>
          <w:cantSplit/>
        </w:trPr>
        <w:tc>
          <w:tcPr>
            <w:tcW w:type="dxa" w:w="3456"/>
            <w:vAlign w:val="top"/>
          </w:tcPr>
          <w:p>
            <w:pPr>
              <w:spacing w:after="40" w:before="0" w:line="259" w:lineRule="auto"/>
            </w:pPr>
            <w:r>
              <w:rPr>
                <w:rFonts w:ascii="Calibri" w:hAnsi="Calibri"/>
                <w:b/>
                <w:i w:val="0"/>
                <w:color w:val="212121"/>
                <w:sz w:val="19"/>
              </w:rPr>
              <w:t>Petechiae, ecchymoses or bleeding from a bite site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haemotoxic snake envenomation or thrombotic microangiopathy/DIC.</w:t>
            </w:r>
          </w:p>
        </w:tc>
      </w:tr>
      <w:tr>
        <w:trPr>
          <w:cantSplit/>
        </w:trPr>
        <w:tc>
          <w:tcPr>
            <w:tcW w:type="dxa" w:w="3456"/>
            <w:vAlign w:val="top"/>
          </w:tcPr>
          <w:p>
            <w:pPr>
              <w:spacing w:after="40" w:before="0" w:line="259" w:lineRule="auto"/>
            </w:pPr>
            <w:r>
              <w:rPr>
                <w:rFonts w:ascii="Calibri" w:hAnsi="Calibri"/>
                <w:b/>
                <w:i w:val="0"/>
                <w:color w:val="212121"/>
                <w:sz w:val="19"/>
              </w:rPr>
              <w:t>Asterixis (flapping tremor)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uraemic encephalopathy in advanced AKI.</w:t>
            </w:r>
          </w:p>
        </w:tc>
      </w:tr>
      <w:tr>
        <w:trPr>
          <w:cantSplit/>
        </w:trPr>
        <w:tc>
          <w:tcPr>
            <w:tcW w:type="dxa" w:w="3456"/>
            <w:vAlign w:val="top"/>
          </w:tcPr>
          <w:p>
            <w:pPr>
              <w:spacing w:after="40" w:before="0" w:line="259" w:lineRule="auto"/>
            </w:pPr>
            <w:r>
              <w:rPr>
                <w:rFonts w:ascii="Calibri" w:hAnsi="Calibri"/>
                <w:b/>
                <w:i w:val="0"/>
                <w:color w:val="212121"/>
                <w:sz w:val="19"/>
              </w:rPr>
              <w:t>Kussmaul (deep, laboured) breathing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Respiratory compensation for severe metabolic acidosis.</w:t>
            </w:r>
          </w:p>
        </w:tc>
      </w:tr>
      <w:tr>
        <w:trPr>
          <w:cantSplit/>
        </w:trPr>
        <w:tc>
          <w:tcPr>
            <w:tcW w:type="dxa" w:w="3456"/>
            <w:vAlign w:val="top"/>
          </w:tcPr>
          <w:p>
            <w:pPr>
              <w:spacing w:after="40" w:before="0" w:line="259" w:lineRule="auto"/>
            </w:pPr>
            <w:r>
              <w:rPr>
                <w:rFonts w:ascii="Calibri" w:hAnsi="Calibri"/>
                <w:b/>
                <w:i w:val="0"/>
                <w:color w:val="212121"/>
                <w:sz w:val="19"/>
              </w:rPr>
              <w:t>Uraemic fetor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Ammoniacal breath odour from marked nitrogen retention.</w:t>
            </w:r>
          </w:p>
        </w:tc>
      </w:tr>
      <w:tr>
        <w:trPr>
          <w:cantSplit/>
        </w:trPr>
        <w:tc>
          <w:tcPr>
            <w:tcW w:type="dxa" w:w="3456"/>
            <w:vAlign w:val="top"/>
          </w:tcPr>
          <w:p>
            <w:pPr>
              <w:spacing w:after="40" w:before="0" w:line="259" w:lineRule="auto"/>
            </w:pPr>
            <w:r>
              <w:rPr>
                <w:rFonts w:ascii="Calibri" w:hAnsi="Calibri"/>
                <w:b/>
                <w:i w:val="0"/>
                <w:color w:val="212121"/>
                <w:sz w:val="19"/>
              </w:rPr>
              <w:t>Pericardial friction rub</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Uraemic pericarditis — an indication for urgent renal replacement therapy.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Hyperkalaemia with risk of fatal cardiac arrhythmia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acidosis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 overload and pulmonary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Uraemia and uraemic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Hyponatraemia, hypocalcaemia and hyperphosphataemia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Uraemic pericarditis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Uraemic bleeding tendency (platelet dysfunction)</w:t>
            </w:r>
          </w:p>
        </w:tc>
        <w:tc>
          <w:tcPr>
            <w:tcW w:type="dxa" w:w="2980"/>
            <w:vAlign w:val="top"/>
          </w:tcPr>
          <w:p>
            <w:pPr>
              <w:spacing w:after="40" w:before="0" w:line="259" w:lineRule="auto"/>
            </w:pPr>
            <w:r>
              <w:rPr>
                <w:rFonts w:ascii="Calibri" w:hAnsi="Calibri"/>
                <w:b w:val="0"/>
                <w:i w:val="0"/>
                <w:color w:val="212121"/>
                <w:sz w:val="19"/>
              </w:rPr>
              <w:t>Direct metabolic, volume and uraemic derangements of failing kidneys that may demand urgent dialysis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renal replacement therapy (haemodialysis, peritoneal dialysis or CRRT)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infections and sepsis (immune dysfunction, catheters)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and drug-accumulation 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Protein-energy wasting and catabolism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Multi-organ dysfunction in the critically ill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Renal cortical necrosis (notably obstetric and envenomation AKI)</w:t>
            </w:r>
          </w:p>
        </w:tc>
        <w:tc>
          <w:tcPr>
            <w:tcW w:type="dxa" w:w="2980"/>
            <w:vAlign w:val="top"/>
          </w:tcPr>
          <w:p>
            <w:pPr>
              <w:spacing w:after="40" w:before="0" w:line="259" w:lineRule="auto"/>
            </w:pPr>
            <w:r>
              <w:rPr>
                <w:rFonts w:ascii="Calibri" w:hAnsi="Calibri"/>
                <w:b w:val="0"/>
                <w:i w:val="0"/>
                <w:color w:val="212121"/>
                <w:sz w:val="19"/>
              </w:rPr>
              <w:t>Systemic consequences of sustained azotaemia, fluid-electrolyte disturbance and the underlying critical illness plus treatment-related risks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or acceleration of 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requiring maintenance dialysis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renal failure from cortical necrosis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AKI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long-term cardiovascular disease and mortality</w:t>
            </w:r>
          </w:p>
        </w:tc>
        <w:tc>
          <w:tcPr>
            <w:tcW w:type="dxa" w:w="2980"/>
            <w:vAlign w:val="top"/>
          </w:tcPr>
          <w:p>
            <w:pPr>
              <w:spacing w:after="40" w:before="0" w:line="259" w:lineRule="auto"/>
            </w:pPr>
            <w:r>
              <w:rPr>
                <w:rFonts w:ascii="Calibri" w:hAnsi="Calibri"/>
                <w:b w:val="0"/>
                <w:i w:val="0"/>
                <w:color w:val="212121"/>
                <w:sz w:val="19"/>
              </w:rPr>
              <w:t>Irreversible, long-term outcomes; AKI raises the pooled adjusted hazard of CKD ~8.8-fold and of ESRD ~3.1-fold</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Pre-existing CKD is the strongest predisposing factor for AKI (acute-on-chronic), and each AKI episode accelerates nephron loss; the relationship is bidirectional (pooled adjusted HR ~8.8 for CKD, ~3.1 for ESRD after AKI).</w:t>
            </w:r>
          </w:p>
          <w:p>
            <w:pPr>
              <w:spacing w:after="40" w:before="0" w:line="259" w:lineRule="auto"/>
            </w:pPr>
            <w:r>
              <w:rPr>
                <w:rFonts w:ascii="Calibri" w:hAnsi="Calibri"/>
                <w:b/>
                <w:i w:val="0"/>
                <w:color w:val="212121"/>
                <w:sz w:val="19"/>
              </w:rPr>
              <w:t>HR ~8.8 for CKD</w:t>
            </w:r>
          </w:p>
        </w:tc>
      </w:tr>
      <w:tr>
        <w:trPr>
          <w:cantSplit/>
        </w:trPr>
        <w:tc>
          <w:tcPr>
            <w:tcW w:type="dxa" w:w="2232"/>
            <w:vAlign w:val="top"/>
          </w:tcPr>
          <w:p>
            <w:pPr>
              <w:spacing w:after="40" w:before="0" w:line="259" w:lineRule="auto"/>
            </w:pPr>
            <w:r>
              <w:rPr>
                <w:rFonts w:ascii="Calibri" w:hAnsi="Calibri"/>
                <w:b/>
                <w:i w:val="0"/>
                <w:color w:val="212121"/>
                <w:sz w:val="19"/>
              </w:rPr>
              <w:t>Sepsis / septic shock</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leading cause of AKI in hospitalised and critically ill patients, and AKI in turn worsens sepsis outcomes; both share inflammatory and microcirculatory pathways.</w:t>
            </w:r>
          </w:p>
          <w:p>
            <w:pPr>
              <w:spacing w:after="40" w:before="0" w:line="259" w:lineRule="auto"/>
            </w:pPr>
            <w:r>
              <w:rPr>
                <w:rFonts w:ascii="Calibri" w:hAnsi="Calibri"/>
                <w:b/>
                <w:i w:val="0"/>
                <w:color w:val="212121"/>
                <w:sz w:val="19"/>
              </w:rPr>
              <w:t>~38-62% of ICU AKI</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Impairs renal autoregulation and microvasculature and coexists with hypertension, increasing susceptibility to ischaemic, septic and contrast-induced AKI and recurrence.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predisposes to AKI and complicates it through fluid retention and RAAS activation; underlying hypertension independently predicts higher in-hospital mortality in Indian AKI cohorts.</w:t>
            </w:r>
          </w:p>
        </w:tc>
      </w:tr>
      <w:tr>
        <w:trPr>
          <w:cantSplit/>
        </w:trPr>
        <w:tc>
          <w:tcPr>
            <w:tcW w:type="dxa" w:w="2232"/>
            <w:vAlign w:val="top"/>
          </w:tcPr>
          <w:p>
            <w:pPr>
              <w:spacing w:after="40" w:before="0" w:line="259" w:lineRule="auto"/>
            </w:pPr>
            <w:r>
              <w:rPr>
                <w:rFonts w:ascii="Calibri" w:hAnsi="Calibri"/>
                <w:b/>
                <w:i w:val="0"/>
                <w:color w:val="212121"/>
                <w:sz w:val="19"/>
              </w:rPr>
              <w:t>Heart failure (cardiorenal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cardiac output and venous congestion cause type-1 cardiorenal AKI, and diuretic/RAAS therapy must be balanced against perfusion.</w:t>
            </w:r>
          </w:p>
        </w:tc>
      </w:tr>
      <w:tr>
        <w:trPr>
          <w:cantSplit/>
        </w:trPr>
        <w:tc>
          <w:tcPr>
            <w:tcW w:type="dxa" w:w="2232"/>
            <w:vAlign w:val="top"/>
          </w:tcPr>
          <w:p>
            <w:pPr>
              <w:spacing w:after="40" w:before="0" w:line="259" w:lineRule="auto"/>
            </w:pPr>
            <w:r>
              <w:rPr>
                <w:rFonts w:ascii="Calibri" w:hAnsi="Calibri"/>
                <w:b/>
                <w:i w:val="0"/>
                <w:color w:val="212121"/>
                <w:sz w:val="19"/>
              </w:rPr>
              <w:t>Liver disease / cirrhosis (hepatorenal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Advanced liver disease with splanchnic vasodilatation produces hepatorenal-type AKI; volume and vasoconstrictor management is distinct.</w:t>
            </w:r>
          </w:p>
        </w:tc>
      </w:tr>
      <w:tr>
        <w:trPr>
          <w:cantSplit/>
        </w:trPr>
        <w:tc>
          <w:tcPr>
            <w:tcW w:type="dxa" w:w="2232"/>
            <w:vAlign w:val="top"/>
          </w:tcPr>
          <w:p>
            <w:pPr>
              <w:spacing w:after="40" w:before="0" w:line="259" w:lineRule="auto"/>
            </w:pPr>
            <w:r>
              <w:rPr>
                <w:rFonts w:ascii="Calibri" w:hAnsi="Calibri"/>
                <w:b/>
                <w:i w:val="0"/>
                <w:color w:val="212121"/>
                <w:sz w:val="19"/>
              </w:rPr>
              <w:t>Malaria &amp; tropical infections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Falciparum malaria, dengue and leptospirosis are leading community causes of AKI in India; early specific treatment is often curative.</w:t>
            </w:r>
          </w:p>
          <w:p>
            <w:pPr>
              <w:spacing w:after="40" w:before="0" w:line="259" w:lineRule="auto"/>
            </w:pPr>
            <w:r>
              <w:rPr>
                <w:rFonts w:ascii="Calibri" w:hAnsi="Calibri"/>
                <w:b/>
                <w:i w:val="0"/>
                <w:color w:val="212121"/>
                <w:sz w:val="19"/>
              </w:rPr>
              <w:t>Malaria ~28% of monsoon AKI</w:t>
            </w:r>
          </w:p>
        </w:tc>
      </w:tr>
      <w:tr>
        <w:trPr>
          <w:cantSplit/>
        </w:trPr>
        <w:tc>
          <w:tcPr>
            <w:tcW w:type="dxa" w:w="2232"/>
            <w:vAlign w:val="top"/>
          </w:tcPr>
          <w:p>
            <w:pPr>
              <w:spacing w:after="40" w:before="0" w:line="259" w:lineRule="auto"/>
            </w:pPr>
            <w:r>
              <w:rPr>
                <w:rFonts w:ascii="Calibri" w:hAnsi="Calibri"/>
                <w:b/>
                <w:i w:val="0"/>
                <w:color w:val="212121"/>
                <w:sz w:val="19"/>
              </w:rPr>
              <w:t>Obstetric complications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Puerperal sepsis, postpartum haemorrhage and pre-eclampsia/eclampsia cause pregnancy-related AKI, sometimes with cortical necrosis and high maternal mortality.</w:t>
            </w:r>
          </w:p>
          <w:p>
            <w:pPr>
              <w:spacing w:after="40" w:before="0" w:line="259" w:lineRule="auto"/>
            </w:pPr>
            <w:r>
              <w:rPr>
                <w:rFonts w:ascii="Calibri" w:hAnsi="Calibri"/>
                <w:b/>
                <w:i w:val="0"/>
                <w:color w:val="212121"/>
                <w:sz w:val="19"/>
              </w:rPr>
              <w:t>~1.6% of all AKI</w:t>
            </w:r>
          </w:p>
        </w:tc>
      </w:tr>
      <w:tr>
        <w:trPr>
          <w:cantSplit/>
        </w:trPr>
        <w:tc>
          <w:tcPr>
            <w:tcW w:type="dxa" w:w="2232"/>
            <w:vAlign w:val="top"/>
          </w:tcPr>
          <w:p>
            <w:pPr>
              <w:spacing w:after="40" w:before="0" w:line="259" w:lineRule="auto"/>
            </w:pPr>
            <w:r>
              <w:rPr>
                <w:rFonts w:ascii="Calibri" w:hAnsi="Calibri"/>
                <w:b/>
                <w:i w:val="0"/>
                <w:color w:val="212121"/>
                <w:sz w:val="19"/>
              </w:rPr>
              <w:t>Rhabdomyolysis &amp; haemolysis (pigment nephropathy)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Snakebite, crush/exertional injury and intravascular haemolysis release myoglobin/haemoglobin that injure tubules; aggressive fluids are protective.</w:t>
            </w:r>
          </w:p>
        </w:tc>
      </w:tr>
      <w:tr>
        <w:trPr>
          <w:cantSplit/>
        </w:trPr>
        <w:tc>
          <w:tcPr>
            <w:tcW w:type="dxa" w:w="2232"/>
            <w:vAlign w:val="top"/>
          </w:tcPr>
          <w:p>
            <w:pPr>
              <w:spacing w:after="40" w:before="0" w:line="259" w:lineRule="auto"/>
            </w:pPr>
            <w:r>
              <w:rPr>
                <w:rFonts w:ascii="Calibri" w:hAnsi="Calibri"/>
                <w:b/>
                <w:i w:val="0"/>
                <w:color w:val="212121"/>
                <w:sz w:val="19"/>
              </w:rPr>
              <w:t>Urinary obstruction (stones / BPH)</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Bilateral stones, prostatic enlargement or pelvic tumours cause reversible post-renal AKI; relief of obstruction restores function.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during heat, fever, vomiting or diarrhoea, and seek early oral rehydration or medical care for dehydrating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nephrotoxins — over-the-counter NSAIDs/painkillers, unregulated herbal, Ayurvedic or heavy-metal remedies, and unnecessary contrast or aminoglycosides.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infections such as malaria, dengue, leptospirosis and gastroenteritis promptly, especially during the monsoon.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early antenatal care and deliver in a facility to reduce obstetric AKI from sepsis, haemorrhage and eclampsia.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outdoor workers: ensure shade, rest and fluids, and get immediate care with anti-snake-venom after any snakebite.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reduced urine, swelling, breathlessness, persistent vomiting — and seek urgent review, particularly in the elderly, diabetics and those with CKD.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Outdoor/agricultural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Monsoon-belt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Acclimatise gradually and hydrate well before unaccustomed strenuous exertion or work in the heat to prevent exertional rhabdomyolysis.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breaks, shade and fluids during heavy outdoor labour to avoid heat- and volume-related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regular moderate activity to control the diabetes and hypertension that raise AKI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high-dose creatine and unregulated performance supplements, which can precipitate muscle and kidney injury.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and field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gym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Military and outdoor trainees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established or oliguric AKI, restrict dietary potassium (bananas, coconut water, citrus, potatoes) and avoid salt substitutes to prevent hyperkalaemia.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dietary sodium and match fluid intake to urine output plus losses to control overload once the patient is oliguric.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energy and appropriate protein (0.8-1.0 g/kg/day, or 1.0-1.5 g/kg/day on dialysis) to limit catabolism, guided by a renal dietitian.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directly nephrotoxic foods such as star fruit (carambola) and djenkol bean, especially when dehydrated or with existing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oral rehydration solution early in diarrhoeal illness to prevent pre-renal AKI.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phosphate-rich processed foods and use binders if hyperphosphataemia develops.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Oliguric AKI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dialysis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hyperkalaemia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AKI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restful sleep in hospitalised patients by clustering care, controlling pain and limiting night-time disturbance to reduce delirium.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contributes to the hypertension and cardiovascular disease that raise AKI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fluid balance and uraemia control, which improves sleep quality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ICU/hospitalised AKI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AKI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protect the renal microvasculature and improve recovery from tubular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counselling and pharmacotherapy, and avoid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cessation before elective surgery or contrast procedures to lower peri-procedural AKI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diabetes/hypertension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and contrast-procedure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 who smoke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can cause rhabdomyolysis, dehydration and acute-on-chronic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intake minimal, particularly with liver disease, to reduce hepatorenal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and never combine heavy alcohol with NSAIDs or other nephrotoxins.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on nephrotoxic medication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Discourage self-medication and analgesic (NSAID) overuse driven by stress, anxiety or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clear information, since most community-acquired AKI recovers with timely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delirium, anxiety and depression during and after critical illness and dialysis.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renal function and levels in patients on lithium or other renally handled psychotropics.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lithium/psychotropics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ademic.oup.com/ckj/article/6/2/150/380328" TargetMode="External"/><Relationship Id="rId10" Type="http://schemas.openxmlformats.org/officeDocument/2006/relationships/hyperlink" Target="https://indianjnephrol.org/spectrum-of-acute-kidney-injury-in-critically-ill-patients-a-single-center-study-from-south-india/" TargetMode="External"/><Relationship Id="rId11" Type="http://schemas.openxmlformats.org/officeDocument/2006/relationships/hyperlink" Target="https://pmc.ncbi.nlm.nih.gov/articles/PMC5001661/" TargetMode="External"/><Relationship Id="rId12" Type="http://schemas.openxmlformats.org/officeDocument/2006/relationships/hyperlink" Target="https://indianjnephrol.org/acute-kidney-injury-of-infectious-etiology-in-monsoon-season-a-prospective-study-using-acute-kidney-injury-network-criteria/" TargetMode="External"/><Relationship Id="rId13" Type="http://schemas.openxmlformats.org/officeDocument/2006/relationships/hyperlink" Target="https://indianjnephrol.org/natures-cure-or-kidney-curse-the-nephrotoxic-potential-of-indigenous-remedies/" TargetMode="External"/><Relationship Id="rId14" Type="http://schemas.openxmlformats.org/officeDocument/2006/relationships/hyperlink" Target="https://pubmed.ncbi.nlm.nih.gov/22113526/" TargetMode="External"/><Relationship Id="rId15" Type="http://schemas.openxmlformats.org/officeDocument/2006/relationships/hyperlink" Target="https://indianjnephrol.org/epidemiology-and-outcome-of-acute-kidney-injury-in-critical-care-unit-a-prospective-observational-study/" TargetMode="External"/><Relationship Id="rId16" Type="http://schemas.openxmlformats.org/officeDocument/2006/relationships/hyperlink" Target="https://indianjnephrol.org/pregnancy-related-acute-kidney-injury-an-analysis-of-165-cases/" TargetMode="External"/><Relationship Id="rId17" Type="http://schemas.openxmlformats.org/officeDocument/2006/relationships/hyperlink" Target="https://kdigo.org/wp-content/uploads/2016/10/KDIGO-2012-AKI-Guideline-Englis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