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Nephrotic Syndrome</w:t>
      </w:r>
    </w:p>
    <w:p>
      <w:pPr>
        <w:spacing w:before="0" w:after="160"/>
      </w:pPr>
      <w:r>
        <w:rPr>
          <w:rFonts w:ascii="Calibri" w:hAnsi="Calibri"/>
          <w:b/>
          <w:i w:val="0"/>
          <w:color w:val="212121"/>
          <w:sz w:val="22"/>
        </w:rPr>
        <w:t xml:space="preserve">AKA </w:t>
      </w:r>
      <w:r>
        <w:rPr>
          <w:rFonts w:ascii="Calibri" w:hAnsi="Calibri"/>
          <w:b w:val="0"/>
          <w:i w:val="0"/>
          <w:color w:val="212121"/>
          <w:sz w:val="22"/>
        </w:rPr>
        <w:t>i.e., Nephrosis, Nephrotic-range proteinuria; (in children) Idiopathic / Minimal change nephrotic syndrome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Nephrotic syndrome is a clinical syndrome of the kidney's glomerular filter defined by heavy (nephrotic-range) proteinuria that leads to hypoalbuminemia, generalized edema and hyperlipidemia. It arises when injury to the glomerular basement membrane and podocytes increases permeability to plasma proteins, so large amounts of albumin are lost in the urine. It is the most common chronic glomerular disorder of childhood (usually minimal change disease), while in adults it is more often caused by focal segmental glomerulosclerosis, membranous nephropathy or a systemic disease such as diabetes or lupus.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Nephrotic syndrome is predominantly a disease of childhood, with an annual incidence of about 1-3 new cases per 100,000 children and a prevalence near 16 per 100,000. South Asian (including Indian) children carry roughly a six-fold higher incidence than European children, with reported rates of 7.4-16.9 per 100,000. In Indian children minimal change disease accounts for 80-90% of cases and about 80% are steroid-sensitive, whereas in Indian adults focal segmental glomerulosclerosis (~30%) and membranous nephropathy (~24%) dominate, membranous disease being most common after age 40.</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Nephrotic syndrome is diagnosed clinically and biochemically by the classic tetrad, confirmed on quantified proteinuria and serum albumin: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Nephrotic-range proteinuria: &gt;= 3.5 g per 24 hours in adults (in children &gt;= 40 mg/m2/hour, or spot urine protein:creatinine ratio &gt; 2 mg/mg, or early-morning dipstick 3+ to 4+);</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Hypoalbuminemia: serum albumin &lt; 3.0 g/dL (Indian pediatric guidelines use a cut-off of &lt; 2.5 g/dL);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Hyperlipidemia: elevated total cholesterol (typically &gt; 200 mg/dL, often &gt; 350 mg/dL), triglycerides and LDL, with lipiduria (oval fat bodies, fatty and waxy casts on microscopy);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Generalized edema: periorbital and dependent pitting edema progressing to ascites and anasarca, with weight gain.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Nephrotic syndrome is classified by whether the glomerular injury is primary (idiopathic) or secondary to a systemic disease, by the underlying histopathology on renal biopsy, and clinically (in children) by the response to corticosteroids:</w:t>
      </w:r>
    </w:p>
    <w:p>
      <w:pPr>
        <w:spacing w:before="0" w:after="80"/>
      </w:pPr>
      <w:r>
        <w:rPr>
          <w:rFonts w:ascii="Calibri" w:hAnsi="Calibri"/>
          <w:b w:val="0"/>
          <w:i w:val="0"/>
          <w:color w:val="212121"/>
          <w:sz w:val="21"/>
        </w:rPr>
        <w:t>(1) Primary / idiopathic glomerular disease - minimal change disease (the predominant lesion in children, ~80-90%), focal segmental glomerulosclerosis (FSGS), membranous nephropathy (the classic adult lesion, linked to anti-PLA2R antibodies) and membranoproliferative / mesangiocapillary glomerulonephritis;</w:t>
      </w:r>
    </w:p>
    <w:p>
      <w:pPr>
        <w:spacing w:before="0" w:after="80"/>
      </w:pPr>
      <w:r>
        <w:rPr>
          <w:rFonts w:ascii="Calibri" w:hAnsi="Calibri"/>
          <w:b w:val="0"/>
          <w:i w:val="0"/>
          <w:color w:val="212121"/>
          <w:sz w:val="21"/>
        </w:rPr>
        <w:t>(2) Secondary nephrotic syndrome - diabetic nephropathy (the commonest secondary cause in adults), lupus nephritis, infection-related disease (hepatitis B and C, HIV, malaria, syphilis, post-streptococcal), amyloidosis (often secondary to chronic infection such as tuberculosis in India), drug-induced disease (NSAIDs, gold, penicillamine, lithium) and malignancy-associated glomerulopathy;</w:t>
      </w:r>
    </w:p>
    <w:p>
      <w:pPr>
        <w:spacing w:before="0" w:after="80"/>
      </w:pPr>
      <w:r>
        <w:rPr>
          <w:rFonts w:ascii="Calibri" w:hAnsi="Calibri"/>
          <w:b w:val="0"/>
          <w:i w:val="0"/>
          <w:color w:val="212121"/>
          <w:sz w:val="21"/>
        </w:rPr>
        <w:t>(3) Congenital and infantile nephrotic syndrome - presenting within the first 3 months to 1 year of life (e.g., Finnish-type from NPHS1 mutations, diffuse mesangial sclerosis), usually genetic and steroid-resistant;</w:t>
      </w:r>
    </w:p>
    <w:p>
      <w:pPr>
        <w:spacing w:before="0" w:after="80"/>
      </w:pPr>
      <w:r>
        <w:rPr>
          <w:rFonts w:ascii="Calibri" w:hAnsi="Calibri"/>
          <w:b w:val="0"/>
          <w:i w:val="0"/>
          <w:color w:val="212121"/>
          <w:sz w:val="21"/>
        </w:rPr>
        <w:t>(4) Clinical classification by steroid response (central to childhood management) - steroid-sensitive (about 80% of children), frequently relapsing, steroid-dependent, and steroid-resistant nephrotic syndrome (reported in 20-39% of South Asian children).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Podocyte injury and immune dysregulation: T-cell-derived circulating permeability factors and cytoskeletal damage to podocytes efface the foot processes and increase glomerular permeability to albumin (minimal change disease, FSGS).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Immune-complex and autoantibody deposition: subepithelial immune-complex formation, including anti-PLA2R antibodies in primary membranous nephropathy and immune deposits in lupus nephritis.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Genetic / monogenic podocytopathy: mutations in NPHS1 (nephrin), NPHS2 (podocin), WT1 and related genes cause congenital and steroid-resistant forms.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Metabolic disease: chronic hyperglycemia in diabetes drives nodular glomerulosclerosis (diabetic nephropathy), the leading secondary cause of nephrotic syndrome in adults.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Infection-related glomerular injury: hepatitis B and C, HIV, malaria and streptococcal infection trigger secondary membranous or FSGS-type disease, an important cause in the Indian context.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Drugs and toxins: NSAIDs, gold salts, penicillamine, lithium and interferon can induce nephrotic-range proteinuria.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Relapse triggers: intercurrent viral upper-respiratory and other infections commonly precipitate relapses in childhood nephrotic syndrome.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(2-8 years)</w:t>
            </w:r>
          </w:p>
        </w:tc>
        <w:tc>
          <w:tcPr>
            <w:tcW w:type="dxa" w:w="4276"/>
            <w:vAlign w:val="top"/>
          </w:tcPr>
          <w:p>
            <w:pPr>
              <w:spacing w:after="60" w:line="259" w:lineRule="auto"/>
            </w:pPr>
            <w:r>
              <w:rPr>
                <w:rFonts w:ascii="Calibri" w:hAnsi="Calibri"/>
                <w:b w:val="0"/>
                <w:i w:val="0"/>
                <w:color w:val="212121"/>
                <w:sz w:val="19"/>
              </w:rPr>
              <w:t>Idiopathic nephrotic syndrome peaks in early childhood, when the podocyte is uniquely susceptible to immune-mediated minimal change disease. Most children present between 2 and 8 years with abrupt periorbital and generalized edema.</w:t>
            </w:r>
          </w:p>
          <w:p>
            <w:pPr>
              <w:spacing w:after="40" w:before="60" w:line="259" w:lineRule="auto"/>
            </w:pPr>
            <w:r>
              <w:rPr>
                <w:rFonts w:ascii="Calibri" w:hAnsi="Calibri"/>
                <w:b w:val="0"/>
                <w:i w:val="0"/>
                <w:color w:val="212121"/>
                <w:sz w:val="19"/>
              </w:rPr>
              <w:t>Minimal change disease accounts for 80-90% of cases in young children and roughly 80% respond to corticosteroids; global incidence is about 1-3 per 100,000 children per year.</w:t>
            </w:r>
          </w:p>
          <w:p>
            <w:pPr>
              <w:spacing w:after="40" w:line="252" w:lineRule="auto"/>
            </w:pPr>
            <w:hyperlink r:id="rId9">
              <w:r>
                <w:rPr>
                  <w:rFonts w:ascii="Calibri" w:hAnsi="Calibri" w:cs="Calibri"/>
                  <w:sz w:val="18"/>
                  <w:color w:val="1155CC"/>
                  <w:u w:val="single"/>
                </w:rPr>
                <w:t xml:space="preserve">pmc.ncbi.nlm.nih.gov — nephrotic syndrome in children: a review</w:t>
              </w:r>
            </w:hyperlink>
          </w:p>
          <w:p>
            <w:pPr>
              <w:spacing w:before="60" w:after="40"/>
            </w:pPr>
            <w:r>
              <w:rPr>
                <w:rFonts w:ascii="Calibri" w:hAnsi="Calibri"/>
                <w:b w:val="0"/>
                <w:i w:val="0"/>
                <w:color w:val="5A5A5A"/>
                <w:sz w:val="18"/>
              </w:rPr>
              <w:t>#minimalchange  #childhood  #steroidsensitive  #podocyte  #pediatricnephrology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In adults the histologic pattern shifts to FSGS and membranous nephropathy, and secondary causes (diabetes, lupus, infections) become far more frequent, so renal biopsy is usually required.</w:t>
            </w:r>
          </w:p>
          <w:p>
            <w:pPr>
              <w:spacing w:after="40" w:before="60" w:line="259" w:lineRule="auto"/>
            </w:pPr>
            <w:r>
              <w:rPr>
                <w:rFonts w:ascii="Calibri" w:hAnsi="Calibri"/>
                <w:b w:val="0"/>
                <w:i w:val="0"/>
                <w:color w:val="212121"/>
                <w:sz w:val="19"/>
              </w:rPr>
              <w:t>In a north-Indian series of 364 adults, FSGS was the commonest primary lesion (30.6%) followed by membranous nephropathy (24.4%) and mesangiocapillary GN (17.9%); mean age was 31.5 years.</w:t>
            </w:r>
          </w:p>
          <w:p>
            <w:pPr>
              <w:spacing w:after="40" w:line="252" w:lineRule="auto"/>
            </w:pPr>
            <w:hyperlink r:id="rId10">
              <w:r>
                <w:rPr>
                  <w:rFonts w:ascii="Calibri" w:hAnsi="Calibri" w:cs="Calibri"/>
                  <w:sz w:val="18"/>
                  <w:color w:val="1155CC"/>
                  <w:u w:val="single"/>
                </w:rPr>
                <w:t xml:space="preserve">indianjnephrol.org — changing histologic spectrum of adult NS, north India</w:t>
              </w:r>
            </w:hyperlink>
          </w:p>
          <w:p>
            <w:pPr>
              <w:spacing w:before="60" w:after="40"/>
            </w:pPr>
            <w:r>
              <w:rPr>
                <w:rFonts w:ascii="Calibri" w:hAnsi="Calibri"/>
                <w:b w:val="0"/>
                <w:i w:val="0"/>
                <w:color w:val="5A5A5A"/>
                <w:sz w:val="18"/>
              </w:rPr>
              <w:t>#FSGS  #membranous  #adults  #renalbiopsy  #glomerulonephritis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(&gt;40 years)</w:t>
            </w:r>
          </w:p>
        </w:tc>
        <w:tc>
          <w:tcPr>
            <w:tcW w:type="dxa" w:w="4276"/>
            <w:vAlign w:val="top"/>
          </w:tcPr>
          <w:p>
            <w:pPr>
              <w:spacing w:after="60" w:line="259" w:lineRule="auto"/>
            </w:pPr>
            <w:r>
              <w:rPr>
                <w:rFonts w:ascii="Calibri" w:hAnsi="Calibri"/>
                <w:b w:val="0"/>
                <w:i w:val="0"/>
                <w:color w:val="212121"/>
                <w:sz w:val="19"/>
              </w:rPr>
              <w:t>After age 40 membranous nephropathy predominates and secondary causes - diabetes, amyloidosis and underlying malignancy - must be actively excluded, altering workup and prognosis.</w:t>
            </w:r>
          </w:p>
          <w:p>
            <w:pPr>
              <w:spacing w:after="40" w:before="60" w:line="259" w:lineRule="auto"/>
            </w:pPr>
            <w:r>
              <w:rPr>
                <w:rFonts w:ascii="Calibri" w:hAnsi="Calibri"/>
                <w:b w:val="0"/>
                <w:i w:val="0"/>
                <w:color w:val="212121"/>
                <w:sz w:val="19"/>
              </w:rPr>
              <w:t>In patients over 40 years, membranous nephropathy was the most common lesion (32.5%), with FSGS second (27.7%).</w:t>
            </w:r>
          </w:p>
          <w:p>
            <w:pPr>
              <w:spacing w:after="40" w:line="252" w:lineRule="auto"/>
            </w:pPr>
            <w:hyperlink r:id="rId10">
              <w:r>
                <w:rPr>
                  <w:rFonts w:ascii="Calibri" w:hAnsi="Calibri" w:cs="Calibri"/>
                  <w:sz w:val="18"/>
                  <w:color w:val="1155CC"/>
                  <w:u w:val="single"/>
                </w:rPr>
                <w:t xml:space="preserve">indianjnephrol.org — adult NS spectrum by age, north India</w:t>
              </w:r>
            </w:hyperlink>
          </w:p>
          <w:p>
            <w:pPr>
              <w:spacing w:before="60" w:after="40"/>
            </w:pPr>
            <w:r>
              <w:rPr>
                <w:rFonts w:ascii="Calibri" w:hAnsi="Calibri"/>
                <w:b w:val="0"/>
                <w:i w:val="0"/>
                <w:color w:val="5A5A5A"/>
                <w:sz w:val="18"/>
              </w:rPr>
              <w:t>#membranous  #elderly  #malignancyscreen  #amyloidosis  #secondaryNS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(children and adults)</w:t>
            </w:r>
          </w:p>
        </w:tc>
        <w:tc>
          <w:tcPr>
            <w:tcW w:type="dxa" w:w="4276"/>
            <w:vAlign w:val="top"/>
          </w:tcPr>
          <w:p>
            <w:pPr>
              <w:spacing w:after="60" w:line="259" w:lineRule="auto"/>
            </w:pPr>
            <w:r>
              <w:rPr>
                <w:rFonts w:ascii="Calibri" w:hAnsi="Calibri"/>
                <w:b w:val="0"/>
                <w:i w:val="0"/>
                <w:color w:val="212121"/>
                <w:sz w:val="19"/>
              </w:rPr>
              <w:t>Boys are affected roughly twice as often as girls in early childhood (the difference equalizes by adolescence), and most adult primary glomerular disease is also male-predominant.</w:t>
            </w:r>
          </w:p>
          <w:p>
            <w:pPr>
              <w:spacing w:after="40" w:before="60" w:line="259" w:lineRule="auto"/>
            </w:pPr>
            <w:r>
              <w:rPr>
                <w:rFonts w:ascii="Calibri" w:hAnsi="Calibri"/>
                <w:b w:val="0"/>
                <w:i w:val="0"/>
                <w:color w:val="212121"/>
                <w:sz w:val="19"/>
              </w:rPr>
              <w:t>Males made up 60.2% of a 364-patient adult nephrotic-syndrome cohort in north India; all primary glomerular diseases except lupus nephritis were more common in males.</w:t>
            </w:r>
          </w:p>
          <w:p>
            <w:pPr>
              <w:spacing w:after="40" w:line="252" w:lineRule="auto"/>
            </w:pPr>
            <w:hyperlink r:id="rId10">
              <w:r>
                <w:rPr>
                  <w:rFonts w:ascii="Calibri" w:hAnsi="Calibri" w:cs="Calibri"/>
                  <w:sz w:val="18"/>
                  <w:color w:val="1155CC"/>
                  <w:u w:val="single"/>
                </w:rPr>
                <w:t xml:space="preserve">indianjnephrol.org — sex distribution, adult NS north India</w:t>
              </w:r>
            </w:hyperlink>
          </w:p>
          <w:p>
            <w:pPr>
              <w:spacing w:before="60" w:after="40"/>
            </w:pPr>
            <w:r>
              <w:rPr>
                <w:rFonts w:ascii="Calibri" w:hAnsi="Calibri"/>
                <w:b w:val="0"/>
                <w:i w:val="0"/>
                <w:color w:val="5A5A5A"/>
                <w:sz w:val="18"/>
              </w:rPr>
              <w:t>#malepredominance  #sexdifference  #pediatric  #glomerular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households</w:t>
            </w:r>
          </w:p>
        </w:tc>
        <w:tc>
          <w:tcPr>
            <w:tcW w:type="dxa" w:w="4276"/>
            <w:vAlign w:val="top"/>
          </w:tcPr>
          <w:p>
            <w:pPr>
              <w:spacing w:after="60" w:line="259" w:lineRule="auto"/>
            </w:pPr>
            <w:r>
              <w:rPr>
                <w:rFonts w:ascii="Calibri" w:hAnsi="Calibri"/>
                <w:b w:val="0"/>
                <w:i w:val="0"/>
                <w:color w:val="212121"/>
                <w:sz w:val="19"/>
              </w:rPr>
              <w:t>Poverty concentrates infection-related and untreated secondary nephrotic syndrome, delays diagnosis, and limits access to biopsy, immunosuppression and follow-up, worsening relapse and complication rates.</w:t>
            </w:r>
          </w:p>
          <w:p>
            <w:pPr>
              <w:spacing w:after="40" w:before="60" w:line="259" w:lineRule="auto"/>
            </w:pPr>
            <w:r>
              <w:rPr>
                <w:rFonts w:ascii="Calibri" w:hAnsi="Calibri"/>
                <w:b w:val="0"/>
                <w:i w:val="0"/>
                <w:color w:val="212121"/>
                <w:sz w:val="19"/>
              </w:rPr>
              <w:t>Overcrowding and chronic infection burden increase infection-associated glomerular disease and amyloidosis in low-resource Indian settings (general clinical observation).</w:t>
            </w:r>
          </w:p>
          <w:p>
            <w:pPr>
              <w:spacing w:before="60" w:after="40"/>
            </w:pPr>
            <w:r>
              <w:rPr>
                <w:rFonts w:ascii="Calibri" w:hAnsi="Calibri"/>
                <w:b w:val="0"/>
                <w:i w:val="0"/>
                <w:color w:val="5A5A5A"/>
                <w:sz w:val="18"/>
              </w:rPr>
              <w:t>#healthaccess  #infectionburden  #lowincome  #delayeddiagnosis  #outofpocket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 / Indian children</w:t>
            </w:r>
          </w:p>
        </w:tc>
        <w:tc>
          <w:tcPr>
            <w:tcW w:type="dxa" w:w="4276"/>
            <w:vAlign w:val="top"/>
          </w:tcPr>
          <w:p>
            <w:pPr>
              <w:spacing w:after="60" w:line="259" w:lineRule="auto"/>
            </w:pPr>
            <w:r>
              <w:rPr>
                <w:rFonts w:ascii="Calibri" w:hAnsi="Calibri"/>
                <w:b w:val="0"/>
                <w:i w:val="0"/>
                <w:color w:val="212121"/>
                <w:sz w:val="19"/>
              </w:rPr>
              <w:t>South Asian children have a markedly higher incidence of idiopathic nephrotic syndrome and a greater tendency to steroid resistance, reflecting genetic podocyte susceptibility.</w:t>
            </w:r>
          </w:p>
          <w:p>
            <w:pPr>
              <w:spacing w:after="40" w:before="60" w:line="259" w:lineRule="auto"/>
            </w:pPr>
            <w:r>
              <w:rPr>
                <w:rFonts w:ascii="Calibri" w:hAnsi="Calibri"/>
                <w:b w:val="0"/>
                <w:i w:val="0"/>
                <w:color w:val="212121"/>
                <w:sz w:val="19"/>
              </w:rPr>
              <w:t>South Asians have roughly six-fold higher incidence than Europeans (7.4-16.9 per 100,000), with steroid resistance reported in 20-39% versus about 20% in Europeans.</w:t>
            </w:r>
          </w:p>
          <w:p>
            <w:pPr>
              <w:spacing w:after="40" w:line="252" w:lineRule="auto"/>
            </w:pPr>
            <w:hyperlink r:id="rId11">
              <w:r>
                <w:rPr>
                  <w:rFonts w:ascii="Calibri" w:hAnsi="Calibri" w:cs="Calibri"/>
                  <w:sz w:val="18"/>
                  <w:color w:val="1155CC"/>
                  <w:u w:val="single"/>
                </w:rPr>
                <w:t xml:space="preserve">frontiersin.org — ethnic differences in childhood nephrotic syndrome</w:t>
              </w:r>
            </w:hyperlink>
          </w:p>
          <w:p>
            <w:pPr>
              <w:spacing w:before="60" w:after="40"/>
            </w:pPr>
            <w:r>
              <w:rPr>
                <w:rFonts w:ascii="Calibri" w:hAnsi="Calibri"/>
                <w:b w:val="0"/>
                <w:i w:val="0"/>
                <w:color w:val="5A5A5A"/>
                <w:sz w:val="18"/>
              </w:rPr>
              <w:t>#southasian  #ethnicity  #steroidresistance  #genetics  #incidence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Tropical / endemic-infection areas of India</w:t>
            </w:r>
          </w:p>
        </w:tc>
        <w:tc>
          <w:tcPr>
            <w:tcW w:type="dxa" w:w="4276"/>
            <w:vAlign w:val="top"/>
          </w:tcPr>
          <w:p>
            <w:pPr>
              <w:spacing w:after="60" w:line="259" w:lineRule="auto"/>
            </w:pPr>
            <w:r>
              <w:rPr>
                <w:rFonts w:ascii="Calibri" w:hAnsi="Calibri"/>
                <w:b w:val="0"/>
                <w:i w:val="0"/>
                <w:color w:val="212121"/>
                <w:sz w:val="19"/>
              </w:rPr>
              <w:t>In regions with endemic malaria, hepatitis B/C, HIV and tuberculosis, secondary nephrotic syndrome from infection-related glomerulonephritis and AA amyloidosis is proportionately more common.</w:t>
            </w:r>
          </w:p>
          <w:p>
            <w:pPr>
              <w:spacing w:after="40" w:before="60" w:line="259" w:lineRule="auto"/>
            </w:pPr>
            <w:r>
              <w:rPr>
                <w:rFonts w:ascii="Calibri" w:hAnsi="Calibri"/>
                <w:b w:val="0"/>
                <w:i w:val="0"/>
                <w:color w:val="212121"/>
                <w:sz w:val="19"/>
              </w:rPr>
              <w:t>Infection-related and secondary glomerular disease form an important share of Indian nephrotic syndrome, particularly where chronic infection is endemic (general clinical statement).</w:t>
            </w:r>
          </w:p>
          <w:p>
            <w:pPr>
              <w:spacing w:before="60" w:after="40"/>
            </w:pPr>
            <w:r>
              <w:rPr>
                <w:rFonts w:ascii="Calibri" w:hAnsi="Calibri"/>
                <w:b w:val="0"/>
                <w:i w:val="0"/>
                <w:color w:val="5A5A5A"/>
                <w:sz w:val="18"/>
              </w:rPr>
              <w:t>#tropical  #malaria  #hepatitisB  #amyloidosis  #endemicinfection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Immobility / Sedentary</w:t>
            </w:r>
          </w:p>
        </w:tc>
        <w:tc>
          <w:tcPr>
            <w:tcW w:type="dxa" w:w="2160"/>
            <w:vAlign w:val="top"/>
          </w:tcPr>
          <w:p>
            <w:pPr>
              <w:spacing w:after="40" w:before="0" w:line="259" w:lineRule="auto"/>
            </w:pPr>
            <w:r>
              <w:rPr>
                <w:rFonts w:ascii="Calibri" w:hAnsi="Calibri"/>
                <w:b w:val="0"/>
                <w:i w:val="0"/>
                <w:color w:val="212121"/>
                <w:sz w:val="19"/>
              </w:rPr>
              <w:t>Bed-bound or hospitalized patients</w:t>
            </w:r>
          </w:p>
        </w:tc>
        <w:tc>
          <w:tcPr>
            <w:tcW w:type="dxa" w:w="4276"/>
            <w:vAlign w:val="top"/>
          </w:tcPr>
          <w:p>
            <w:pPr>
              <w:spacing w:after="60" w:line="259" w:lineRule="auto"/>
            </w:pPr>
            <w:r>
              <w:rPr>
                <w:rFonts w:ascii="Calibri" w:hAnsi="Calibri"/>
                <w:b w:val="0"/>
                <w:i w:val="0"/>
                <w:color w:val="212121"/>
                <w:sz w:val="19"/>
              </w:rPr>
              <w:t>Nephrotic syndrome is a hypercoagulable state from urinary loss of antithrombin III and other regulatory proteins; venous stasis from immobility compounds the already high thrombosis risk.</w:t>
            </w:r>
          </w:p>
          <w:p>
            <w:pPr>
              <w:spacing w:after="40" w:before="60" w:line="259" w:lineRule="auto"/>
            </w:pPr>
            <w:r>
              <w:rPr>
                <w:rFonts w:ascii="Calibri" w:hAnsi="Calibri"/>
                <w:b w:val="0"/>
                <w:i w:val="0"/>
                <w:color w:val="212121"/>
                <w:sz w:val="19"/>
              </w:rPr>
              <w:t>Venous thromboembolism risk rises steeply with hypoalbuminemia - overall event rate ~2.25%, reaching an adjusted hazard ratio of 2.79 and ~4.1% event rate when serum albumin is below 2.5 g/dL.</w:t>
            </w:r>
          </w:p>
          <w:p>
            <w:pPr>
              <w:spacing w:after="40" w:line="252" w:lineRule="auto"/>
            </w:pPr>
            <w:hyperlink r:id="rId12">
              <w:r>
                <w:rPr>
                  <w:rFonts w:ascii="Calibri" w:hAnsi="Calibri" w:cs="Calibri"/>
                  <w:sz w:val="18"/>
                  <w:color w:val="1155CC"/>
                  <w:u w:val="single"/>
                </w:rPr>
                <w:t xml:space="preserve">academic.oup.com/ndt — serum albumin and VTE in nephrotic syndrome</w:t>
              </w:r>
            </w:hyperlink>
          </w:p>
          <w:p>
            <w:pPr>
              <w:spacing w:before="60" w:after="40"/>
            </w:pPr>
            <w:r>
              <w:rPr>
                <w:rFonts w:ascii="Calibri" w:hAnsi="Calibri"/>
                <w:b w:val="0"/>
                <w:i w:val="0"/>
                <w:color w:val="5A5A5A"/>
                <w:sz w:val="18"/>
              </w:rPr>
              <w:t>#thrombosis  #immobility  #hypercoagulable  #antithrombin  #VTE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Adult smokers with proteinuria</w:t>
            </w:r>
          </w:p>
        </w:tc>
        <w:tc>
          <w:tcPr>
            <w:tcW w:type="dxa" w:w="4276"/>
            <w:vAlign w:val="top"/>
          </w:tcPr>
          <w:p>
            <w:pPr>
              <w:spacing w:after="60" w:line="259" w:lineRule="auto"/>
            </w:pPr>
            <w:r>
              <w:rPr>
                <w:rFonts w:ascii="Calibri" w:hAnsi="Calibri"/>
                <w:b w:val="0"/>
                <w:i w:val="0"/>
                <w:color w:val="212121"/>
                <w:sz w:val="19"/>
              </w:rPr>
              <w:t>Smoking accelerates proteinuria and progression of glomerular disease to chronic kidney disease and magnifies the cardiovascular risk already driven by nephrotic dyslipidemia.</w:t>
            </w:r>
          </w:p>
          <w:p>
            <w:pPr>
              <w:spacing w:after="40" w:before="60" w:line="259" w:lineRule="auto"/>
            </w:pPr>
            <w:r>
              <w:rPr>
                <w:rFonts w:ascii="Calibri" w:hAnsi="Calibri"/>
                <w:b w:val="0"/>
                <w:i w:val="0"/>
                <w:color w:val="212121"/>
                <w:sz w:val="19"/>
              </w:rPr>
              <w:t>Smoking is an established modifiable accelerator of proteinuric kidney-disease progression and cardiovascular events (general clinical statement).</w:t>
            </w:r>
          </w:p>
          <w:p>
            <w:pPr>
              <w:spacing w:before="60" w:after="40"/>
            </w:pPr>
            <w:r>
              <w:rPr>
                <w:rFonts w:ascii="Calibri" w:hAnsi="Calibri"/>
                <w:b w:val="0"/>
                <w:i w:val="0"/>
                <w:color w:val="5A5A5A"/>
                <w:sz w:val="18"/>
              </w:rPr>
              <w:t>#smoking  #CKDprogression  #cardiovascular  #proteinuria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 salt intake</w:t>
            </w:r>
          </w:p>
        </w:tc>
        <w:tc>
          <w:tcPr>
            <w:tcW w:type="dxa" w:w="2160"/>
            <w:vAlign w:val="top"/>
          </w:tcPr>
          <w:p>
            <w:pPr>
              <w:spacing w:after="40" w:before="0" w:line="259" w:lineRule="auto"/>
            </w:pPr>
            <w:r>
              <w:rPr>
                <w:rFonts w:ascii="Calibri" w:hAnsi="Calibri"/>
                <w:b w:val="0"/>
                <w:i w:val="0"/>
                <w:color w:val="212121"/>
                <w:sz w:val="19"/>
              </w:rPr>
              <w:t>High-sodium diet</w:t>
            </w:r>
          </w:p>
        </w:tc>
        <w:tc>
          <w:tcPr>
            <w:tcW w:type="dxa" w:w="4276"/>
            <w:vAlign w:val="top"/>
          </w:tcPr>
          <w:p>
            <w:pPr>
              <w:spacing w:after="60" w:line="259" w:lineRule="auto"/>
            </w:pPr>
            <w:r>
              <w:rPr>
                <w:rFonts w:ascii="Calibri" w:hAnsi="Calibri"/>
                <w:b w:val="0"/>
                <w:i w:val="0"/>
                <w:color w:val="212121"/>
                <w:sz w:val="19"/>
              </w:rPr>
              <w:t>Dietary sodium drives fluid retention, worsening edema and hypertension; salt restriction is a cornerstone of edema control in nephrotic syndrome, especially with typical high-salt Indian diets.</w:t>
            </w:r>
          </w:p>
          <w:p>
            <w:pPr>
              <w:spacing w:after="40" w:before="60" w:line="259" w:lineRule="auto"/>
            </w:pPr>
            <w:r>
              <w:rPr>
                <w:rFonts w:ascii="Calibri" w:hAnsi="Calibri"/>
                <w:b w:val="0"/>
                <w:i w:val="0"/>
                <w:color w:val="212121"/>
                <w:sz w:val="19"/>
              </w:rPr>
              <w:t>Indian pediatric guidelines recommend reducing salt intake to about 1-2 g/day during persistent edema.</w:t>
            </w:r>
          </w:p>
          <w:p>
            <w:pPr>
              <w:spacing w:after="40" w:line="252" w:lineRule="auto"/>
            </w:pPr>
            <w:hyperlink r:id="rId13">
              <w:r>
                <w:rPr>
                  <w:rFonts w:ascii="Calibri" w:hAnsi="Calibri" w:cs="Calibri"/>
                  <w:sz w:val="18"/>
                  <w:color w:val="1155CC"/>
                  <w:u w:val="single"/>
                </w:rPr>
                <w:t xml:space="preserve">indianjnephrol.org — SSNS management guidelines (diet)</w:t>
              </w:r>
            </w:hyperlink>
          </w:p>
          <w:p>
            <w:pPr>
              <w:spacing w:before="60" w:after="40"/>
            </w:pPr>
            <w:r>
              <w:rPr>
                <w:rFonts w:ascii="Calibri" w:hAnsi="Calibri"/>
                <w:b w:val="0"/>
                <w:i w:val="0"/>
                <w:color w:val="5A5A5A"/>
                <w:sz w:val="18"/>
              </w:rPr>
              <w:t>#saltrestriction  #edema  #sodium  #hypertension  #fluidretention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 saturated fat</w:t>
            </w:r>
          </w:p>
        </w:tc>
        <w:tc>
          <w:tcPr>
            <w:tcW w:type="dxa" w:w="2160"/>
            <w:vAlign w:val="top"/>
          </w:tcPr>
          <w:p>
            <w:pPr>
              <w:spacing w:after="40" w:before="0" w:line="259" w:lineRule="auto"/>
            </w:pPr>
            <w:r>
              <w:rPr>
                <w:rFonts w:ascii="Calibri" w:hAnsi="Calibri"/>
                <w:b w:val="0"/>
                <w:i w:val="0"/>
                <w:color w:val="212121"/>
                <w:sz w:val="19"/>
              </w:rPr>
              <w:t>Diet high in saturated fat and refined carbohydrate</w:t>
            </w:r>
          </w:p>
        </w:tc>
        <w:tc>
          <w:tcPr>
            <w:tcW w:type="dxa" w:w="4276"/>
            <w:vAlign w:val="top"/>
          </w:tcPr>
          <w:p>
            <w:pPr>
              <w:spacing w:after="60" w:line="259" w:lineRule="auto"/>
            </w:pPr>
            <w:r>
              <w:rPr>
                <w:rFonts w:ascii="Calibri" w:hAnsi="Calibri"/>
                <w:b w:val="0"/>
                <w:i w:val="0"/>
                <w:color w:val="212121"/>
                <w:sz w:val="19"/>
              </w:rPr>
              <w:t>Nephrotic hyperlipidemia is aggravated by saturated-fat and high-glycemic diets, accelerating atherosclerosis; guidelines cap fat at under 30% of calories.</w:t>
            </w:r>
          </w:p>
          <w:p>
            <w:pPr>
              <w:spacing w:after="40" w:before="60" w:line="259" w:lineRule="auto"/>
            </w:pPr>
            <w:r>
              <w:rPr>
                <w:rFonts w:ascii="Calibri" w:hAnsi="Calibri"/>
                <w:b w:val="0"/>
                <w:i w:val="0"/>
                <w:color w:val="212121"/>
                <w:sz w:val="19"/>
              </w:rPr>
              <w:t>In childhood nephrotic syndrome in eastern India, mean total cholesterol at presentation was 419 mg/dL with LDL ~200 mg/dL, improving significantly after treatment.</w:t>
            </w:r>
          </w:p>
          <w:p>
            <w:pPr>
              <w:spacing w:after="40" w:line="252" w:lineRule="auto"/>
            </w:pPr>
            <w:hyperlink r:id="rId14">
              <w:r>
                <w:rPr>
                  <w:rFonts w:ascii="Calibri" w:hAnsi="Calibri" w:cs="Calibri"/>
                  <w:sz w:val="18"/>
                  <w:color w:val="1155CC"/>
                  <w:u w:val="single"/>
                </w:rPr>
                <w:t xml:space="preserve">healthcare-bulletin.co.uk — CVD risk factors in childhood NS, eastern India</w:t>
              </w:r>
            </w:hyperlink>
          </w:p>
          <w:p>
            <w:pPr>
              <w:spacing w:before="60" w:after="40"/>
            </w:pPr>
            <w:r>
              <w:rPr>
                <w:rFonts w:ascii="Calibri" w:hAnsi="Calibri"/>
                <w:b w:val="0"/>
                <w:i w:val="0"/>
                <w:color w:val="5A5A5A"/>
                <w:sz w:val="18"/>
              </w:rPr>
              <w:t>#dyslipidemia  #saturatedfat  #atherosclerosis  #cholesterol  #hyperlipidemia</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nephrotic syndrome / SRNS</w:t>
            </w:r>
          </w:p>
        </w:tc>
        <w:tc>
          <w:tcPr>
            <w:tcW w:type="dxa" w:w="4276"/>
            <w:vAlign w:val="top"/>
          </w:tcPr>
          <w:p>
            <w:pPr>
              <w:spacing w:after="60" w:line="259" w:lineRule="auto"/>
            </w:pPr>
            <w:r>
              <w:rPr>
                <w:rFonts w:ascii="Calibri" w:hAnsi="Calibri"/>
                <w:b w:val="0"/>
                <w:i w:val="0"/>
                <w:color w:val="212121"/>
                <w:sz w:val="19"/>
              </w:rPr>
              <w:t>A family history of nephrotic syndrome, especially steroid-resistant disease, points to inherited podocyte-gene defects and predicts a more resistant, biopsy-defined course.</w:t>
            </w:r>
          </w:p>
          <w:p>
            <w:pPr>
              <w:spacing w:after="40" w:before="60" w:line="259" w:lineRule="auto"/>
            </w:pPr>
            <w:r>
              <w:rPr>
                <w:rFonts w:ascii="Calibri" w:hAnsi="Calibri"/>
                <w:b w:val="0"/>
                <w:i w:val="0"/>
                <w:color w:val="212121"/>
                <w:sz w:val="19"/>
              </w:rPr>
              <w:t>Familial and monogenic forms (NPHS1, NPHS2/podocin, WT1) are enriched among steroid-resistant and consanguineous families (general clinical statement).</w:t>
            </w:r>
          </w:p>
          <w:p>
            <w:pPr>
              <w:spacing w:before="60" w:after="40"/>
            </w:pPr>
            <w:r>
              <w:rPr>
                <w:rFonts w:ascii="Calibri" w:hAnsi="Calibri"/>
                <w:b w:val="0"/>
                <w:i w:val="0"/>
                <w:color w:val="5A5A5A"/>
                <w:sz w:val="18"/>
              </w:rPr>
              <w:t>#familyhistory  #NPHS2  #podocin  #hereditary  #SRNS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Monogenic podocyte gene mutation</w:t>
            </w:r>
          </w:p>
        </w:tc>
        <w:tc>
          <w:tcPr>
            <w:tcW w:type="dxa" w:w="2160"/>
            <w:vAlign w:val="top"/>
          </w:tcPr>
          <w:p>
            <w:pPr>
              <w:spacing w:after="40" w:before="0" w:line="259" w:lineRule="auto"/>
            </w:pPr>
            <w:r>
              <w:rPr>
                <w:rFonts w:ascii="Calibri" w:hAnsi="Calibri"/>
                <w:b w:val="0"/>
                <w:i w:val="0"/>
                <w:color w:val="212121"/>
                <w:sz w:val="19"/>
              </w:rPr>
              <w:t>Infants with congenital nephrotic syndrome</w:t>
            </w:r>
          </w:p>
        </w:tc>
        <w:tc>
          <w:tcPr>
            <w:tcW w:type="dxa" w:w="4276"/>
            <w:vAlign w:val="top"/>
          </w:tcPr>
          <w:p>
            <w:pPr>
              <w:spacing w:after="60" w:line="259" w:lineRule="auto"/>
            </w:pPr>
            <w:r>
              <w:rPr>
                <w:rFonts w:ascii="Calibri" w:hAnsi="Calibri"/>
                <w:b w:val="0"/>
                <w:i w:val="0"/>
                <w:color w:val="212121"/>
                <w:sz w:val="19"/>
              </w:rPr>
              <w:t>Congenital nephrotic syndrome presenting in the first months of life is almost always genetic (e.g., NPHS1 Finnish type) and steroid-resistant, requiring supportive and transplant-oriented care.</w:t>
            </w:r>
          </w:p>
          <w:p>
            <w:pPr>
              <w:spacing w:after="40" w:before="60" w:line="259" w:lineRule="auto"/>
            </w:pPr>
            <w:r>
              <w:rPr>
                <w:rFonts w:ascii="Calibri" w:hAnsi="Calibri"/>
                <w:b w:val="0"/>
                <w:i w:val="0"/>
                <w:color w:val="212121"/>
                <w:sz w:val="19"/>
              </w:rPr>
              <w:t>Congenital/infantile onset (&lt;3 months) is predominantly monogenic and does not respond to steroids (general clinical statement).</w:t>
            </w:r>
          </w:p>
          <w:p>
            <w:pPr>
              <w:spacing w:before="60" w:after="40"/>
            </w:pPr>
            <w:r>
              <w:rPr>
                <w:rFonts w:ascii="Calibri" w:hAnsi="Calibri"/>
                <w:b w:val="0"/>
                <w:i w:val="0"/>
                <w:color w:val="5A5A5A"/>
                <w:sz w:val="18"/>
              </w:rPr>
              <w:t>#congenital  #NPHS1  #Finnishtype  #infantile  #steroidresistant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diabetic nephropathy</w:t>
            </w:r>
          </w:p>
        </w:tc>
        <w:tc>
          <w:tcPr>
            <w:tcW w:type="dxa" w:w="4276"/>
            <w:vAlign w:val="top"/>
          </w:tcPr>
          <w:p>
            <w:pPr>
              <w:spacing w:after="60" w:line="259" w:lineRule="auto"/>
            </w:pPr>
            <w:r>
              <w:rPr>
                <w:rFonts w:ascii="Calibri" w:hAnsi="Calibri"/>
                <w:b w:val="0"/>
                <w:i w:val="0"/>
                <w:color w:val="212121"/>
                <w:sz w:val="19"/>
              </w:rPr>
              <w:t>Long-standing type 2 diabetes causes glomerulosclerosis and nephrotic-range proteinuria and is the single most common secondary cause of nephrotic syndrome in adults.</w:t>
            </w:r>
          </w:p>
          <w:p>
            <w:pPr>
              <w:spacing w:after="40" w:before="60" w:line="259" w:lineRule="auto"/>
            </w:pPr>
            <w:r>
              <w:rPr>
                <w:rFonts w:ascii="Calibri" w:hAnsi="Calibri"/>
                <w:b w:val="0"/>
                <w:i w:val="0"/>
                <w:color w:val="212121"/>
                <w:sz w:val="19"/>
              </w:rPr>
              <w:t>Diabetic nephropathy is the leading secondary cause of adult nephrotic-range proteinuria; India's large diabetes burden makes it a dominant contributor (general clinical statement).</w:t>
            </w:r>
          </w:p>
          <w:p>
            <w:pPr>
              <w:spacing w:after="40" w:line="252" w:lineRule="auto"/>
            </w:pPr>
            <w:hyperlink r:id="rId15">
              <w:r>
                <w:rPr>
                  <w:rFonts w:ascii="Calibri" w:hAnsi="Calibri" w:cs="Calibri"/>
                  <w:sz w:val="18"/>
                  <w:color w:val="1155CC"/>
                  <w:u w:val="single"/>
                </w:rPr>
                <w:t xml:space="preserve">ncbi.nlm.nih.gov — Nephrotic Syndrome (StatPearls)</w:t>
              </w:r>
            </w:hyperlink>
          </w:p>
          <w:p>
            <w:pPr>
              <w:spacing w:before="60" w:after="40"/>
            </w:pPr>
            <w:r>
              <w:rPr>
                <w:rFonts w:ascii="Calibri" w:hAnsi="Calibri"/>
                <w:b w:val="0"/>
                <w:i w:val="0"/>
                <w:color w:val="5A5A5A"/>
                <w:sz w:val="18"/>
              </w:rPr>
              <w:t>#diabeticnephropathy  #type2diabetes  #secondaryNS  #glomerulosclerosis  #proteinuria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Systemic lupus erythematosus</w:t>
            </w:r>
          </w:p>
        </w:tc>
        <w:tc>
          <w:tcPr>
            <w:tcW w:type="dxa" w:w="2160"/>
            <w:vAlign w:val="top"/>
          </w:tcPr>
          <w:p>
            <w:pPr>
              <w:spacing w:after="40" w:before="0" w:line="259" w:lineRule="auto"/>
            </w:pPr>
            <w:r>
              <w:rPr>
                <w:rFonts w:ascii="Calibri" w:hAnsi="Calibri"/>
                <w:b w:val="0"/>
                <w:i w:val="0"/>
                <w:color w:val="212121"/>
                <w:sz w:val="19"/>
              </w:rPr>
              <w:t>Women with lupus nephritis</w:t>
            </w:r>
          </w:p>
        </w:tc>
        <w:tc>
          <w:tcPr>
            <w:tcW w:type="dxa" w:w="4276"/>
            <w:vAlign w:val="top"/>
          </w:tcPr>
          <w:p>
            <w:pPr>
              <w:spacing w:after="60" w:line="259" w:lineRule="auto"/>
            </w:pPr>
            <w:r>
              <w:rPr>
                <w:rFonts w:ascii="Calibri" w:hAnsi="Calibri"/>
                <w:b w:val="0"/>
                <w:i w:val="0"/>
                <w:color w:val="212121"/>
                <w:sz w:val="19"/>
              </w:rPr>
              <w:t>Lupus nephritis (especially WHO Class IV/V) is the commonest secondary immune cause of nephrotic syndrome, is female-predominant, and mandates immunosuppressive rather than steroid-only therapy.</w:t>
            </w:r>
          </w:p>
          <w:p>
            <w:pPr>
              <w:spacing w:after="40" w:before="60" w:line="259" w:lineRule="auto"/>
            </w:pPr>
            <w:r>
              <w:rPr>
                <w:rFonts w:ascii="Calibri" w:hAnsi="Calibri"/>
                <w:b w:val="0"/>
                <w:i w:val="0"/>
                <w:color w:val="212121"/>
                <w:sz w:val="19"/>
              </w:rPr>
              <w:t>Lupus nephritis accounted for 11% of adult nephrotic syndrome (the commonest secondary cause) in a north-Indian series, with Class IV most frequent (60%).</w:t>
            </w:r>
          </w:p>
          <w:p>
            <w:pPr>
              <w:spacing w:after="40" w:line="252" w:lineRule="auto"/>
            </w:pPr>
            <w:hyperlink r:id="rId10">
              <w:r>
                <w:rPr>
                  <w:rFonts w:ascii="Calibri" w:hAnsi="Calibri" w:cs="Calibri"/>
                  <w:sz w:val="18"/>
                  <w:color w:val="1155CC"/>
                  <w:u w:val="single"/>
                </w:rPr>
                <w:t xml:space="preserve">indianjnephrol.org — lupus nephritis share, adult NS north India</w:t>
              </w:r>
            </w:hyperlink>
          </w:p>
          <w:p>
            <w:pPr>
              <w:spacing w:before="60" w:after="40"/>
            </w:pPr>
            <w:r>
              <w:rPr>
                <w:rFonts w:ascii="Calibri" w:hAnsi="Calibri"/>
                <w:b w:val="0"/>
                <w:i w:val="0"/>
                <w:color w:val="5A5A5A"/>
                <w:sz w:val="18"/>
              </w:rPr>
              <w:t>#lupusnephritis  #SLE  #autoimmune  #classIV  #femalepredominance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viral infection</w:t>
            </w:r>
          </w:p>
        </w:tc>
        <w:tc>
          <w:tcPr>
            <w:tcW w:type="dxa" w:w="2160"/>
            <w:vAlign w:val="top"/>
          </w:tcPr>
          <w:p>
            <w:pPr>
              <w:spacing w:after="40" w:before="0" w:line="259" w:lineRule="auto"/>
            </w:pPr>
            <w:r>
              <w:rPr>
                <w:rFonts w:ascii="Calibri" w:hAnsi="Calibri"/>
                <w:b w:val="0"/>
                <w:i w:val="0"/>
                <w:color w:val="212121"/>
                <w:sz w:val="19"/>
              </w:rPr>
              <w:t>Hepatitis B/C or HIV positive patients</w:t>
            </w:r>
          </w:p>
        </w:tc>
        <w:tc>
          <w:tcPr>
            <w:tcW w:type="dxa" w:w="4276"/>
            <w:vAlign w:val="top"/>
          </w:tcPr>
          <w:p>
            <w:pPr>
              <w:spacing w:after="60" w:line="259" w:lineRule="auto"/>
            </w:pPr>
            <w:r>
              <w:rPr>
                <w:rFonts w:ascii="Calibri" w:hAnsi="Calibri"/>
                <w:b w:val="0"/>
                <w:i w:val="0"/>
                <w:color w:val="212121"/>
                <w:sz w:val="19"/>
              </w:rPr>
              <w:t>Hepatitis B is classically linked to secondary membranous nephropathy, hepatitis C to cryoglobulinemic MPGN, and HIV to collapsing FSGS - important in high-prevalence Indian populations.</w:t>
            </w:r>
          </w:p>
          <w:p>
            <w:pPr>
              <w:spacing w:after="40" w:before="60" w:line="259" w:lineRule="auto"/>
            </w:pPr>
            <w:r>
              <w:rPr>
                <w:rFonts w:ascii="Calibri" w:hAnsi="Calibri"/>
                <w:b w:val="0"/>
                <w:i w:val="0"/>
                <w:color w:val="212121"/>
                <w:sz w:val="19"/>
              </w:rPr>
              <w:t>Viral serology (HBsAg, anti-HCV, HIV) is part of the standard secondary-cause workup for nephrotic syndrome (general clinical statement).</w:t>
            </w:r>
          </w:p>
          <w:p>
            <w:pPr>
              <w:spacing w:after="40" w:line="252" w:lineRule="auto"/>
            </w:pPr>
            <w:hyperlink r:id="rId15">
              <w:r>
                <w:rPr>
                  <w:rFonts w:ascii="Calibri" w:hAnsi="Calibri" w:cs="Calibri"/>
                  <w:sz w:val="18"/>
                  <w:color w:val="1155CC"/>
                  <w:u w:val="single"/>
                </w:rPr>
                <w:t xml:space="preserve">ncbi.nlm.nih.gov — secondary causes of NS (StatPearls)</w:t>
              </w:r>
            </w:hyperlink>
          </w:p>
          <w:p>
            <w:pPr>
              <w:spacing w:before="60" w:after="40"/>
            </w:pPr>
            <w:r>
              <w:rPr>
                <w:rFonts w:ascii="Calibri" w:hAnsi="Calibri"/>
                <w:b w:val="0"/>
                <w:i w:val="0"/>
                <w:color w:val="5A5A5A"/>
                <w:sz w:val="18"/>
              </w:rPr>
              <w:t>#hepatitisB  #HIV  #HCV  #membranous  #collapsingFSGS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Adults with obesity-related glomerulopathy</w:t>
            </w:r>
          </w:p>
        </w:tc>
        <w:tc>
          <w:tcPr>
            <w:tcW w:type="dxa" w:w="4276"/>
            <w:vAlign w:val="top"/>
          </w:tcPr>
          <w:p>
            <w:pPr>
              <w:spacing w:after="60" w:line="259" w:lineRule="auto"/>
            </w:pPr>
            <w:r>
              <w:rPr>
                <w:rFonts w:ascii="Calibri" w:hAnsi="Calibri"/>
                <w:b w:val="0"/>
                <w:i w:val="0"/>
                <w:color w:val="212121"/>
                <w:sz w:val="19"/>
              </w:rPr>
              <w:t>Obesity causes glomerular hyperfiltration and a secondary FSGS pattern with proteinuria, a growing contributor as obesity rises in urban India.</w:t>
            </w:r>
          </w:p>
          <w:p>
            <w:pPr>
              <w:spacing w:after="40" w:before="60" w:line="259" w:lineRule="auto"/>
            </w:pPr>
            <w:r>
              <w:rPr>
                <w:rFonts w:ascii="Calibri" w:hAnsi="Calibri"/>
                <w:b w:val="0"/>
                <w:i w:val="0"/>
                <w:color w:val="212121"/>
                <w:sz w:val="19"/>
              </w:rPr>
              <w:t>Obesity-related glomerulopathy presents with proteinuria and secondary FSGS on biopsy (general clinical statement).</w:t>
            </w:r>
          </w:p>
          <w:p>
            <w:pPr>
              <w:spacing w:before="60" w:after="40"/>
            </w:pPr>
            <w:r>
              <w:rPr>
                <w:rFonts w:ascii="Calibri" w:hAnsi="Calibri"/>
                <w:b w:val="0"/>
                <w:i w:val="0"/>
                <w:color w:val="5A5A5A"/>
                <w:sz w:val="18"/>
              </w:rPr>
              <w:t>#obesity  #hyperfiltration  #secondaryFSGS  #metabolic  #urbanindia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Amyloidosis</w:t>
            </w:r>
          </w:p>
        </w:tc>
        <w:tc>
          <w:tcPr>
            <w:tcW w:type="dxa" w:w="2160"/>
            <w:vAlign w:val="top"/>
          </w:tcPr>
          <w:p>
            <w:pPr>
              <w:spacing w:after="40" w:before="0" w:line="259" w:lineRule="auto"/>
            </w:pPr>
            <w:r>
              <w:rPr>
                <w:rFonts w:ascii="Calibri" w:hAnsi="Calibri"/>
                <w:b w:val="0"/>
                <w:i w:val="0"/>
                <w:color w:val="212121"/>
                <w:sz w:val="19"/>
              </w:rPr>
              <w:t>Patients with chronic infection / inflammation</w:t>
            </w:r>
          </w:p>
        </w:tc>
        <w:tc>
          <w:tcPr>
            <w:tcW w:type="dxa" w:w="4276"/>
            <w:vAlign w:val="top"/>
          </w:tcPr>
          <w:p>
            <w:pPr>
              <w:spacing w:after="60" w:line="259" w:lineRule="auto"/>
            </w:pPr>
            <w:r>
              <w:rPr>
                <w:rFonts w:ascii="Calibri" w:hAnsi="Calibri"/>
                <w:b w:val="0"/>
                <w:i w:val="0"/>
                <w:color w:val="212121"/>
                <w:sz w:val="19"/>
              </w:rPr>
              <w:t>AA (secondary) amyloidosis from chronic infections such as tuberculosis or bronchiectasis deposits in glomeruli and produces nephrotic-range proteinuria, a pattern still relevant in India.</w:t>
            </w:r>
          </w:p>
          <w:p>
            <w:pPr>
              <w:spacing w:after="40" w:before="60" w:line="259" w:lineRule="auto"/>
            </w:pPr>
            <w:r>
              <w:rPr>
                <w:rFonts w:ascii="Calibri" w:hAnsi="Calibri"/>
                <w:b w:val="0"/>
                <w:i w:val="0"/>
                <w:color w:val="212121"/>
                <w:sz w:val="19"/>
              </w:rPr>
              <w:t>Amyloidosis is a recognized secondary cause of nephrotic syndrome, particularly with chronic suppurative infection (general clinical statement).</w:t>
            </w:r>
          </w:p>
          <w:p>
            <w:pPr>
              <w:spacing w:before="60" w:after="40"/>
            </w:pPr>
            <w:r>
              <w:rPr>
                <w:rFonts w:ascii="Calibri" w:hAnsi="Calibri"/>
                <w:b w:val="0"/>
                <w:i w:val="0"/>
                <w:color w:val="5A5A5A"/>
                <w:sz w:val="18"/>
              </w:rPr>
              <w:t>#amyloidosis  #AAamyloid  #tuberculosis  #chronicinfection  #proteinuria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Nephrotic syndrome is a hypercoagulable state; immobility and prolonged bed rest add venous stasis and raise thromboembolism risk, while regular activity helps counter steroid-induced weight gain and cardiovascular risk. Early mobilization is advised once edema is controlled.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Dietary sodium directly drives edema and hypertension, and saturated-fat / high-glycemic intake aggravates nephrotic hyperlipidemia. Salt restriction (1-2 g/day) and adequate but not excessive protein are central to management.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direct link to disease onset; corticosteroid therapy commonly causes insomnia and disturbed sleep, which affects quality of life during active disease.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accelerates proteinuria and progression of glomerular disease to chronic kidney disease and amplifies the cardiovascular risk of nephrotic dyslipidemia.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role in nephrotic syndrome; heavy intake adds hepatotoxic and cardiovascular risk and may interact with immunosuppressive therapy.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 relapsing course, body-image change from edema and Cushingoid steroid effects, and caregiver burden cause anxiety and depression in children and families, affecting adherence.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Fluid balance is clinically important: fluid moderation and daily weight monitoring help control edema, while over-diuresis risks hypovolemia and acute kidney injury.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evidence linking caffeine intake to nephrotic syndrome onset, progression or relapse.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Patients are immunocompromised from urinary immunoglobulin loss and immunosuppressive drugs; good hygiene, skin care and prompt infection treatment reduce cellulitis, peritonitis and sepsis.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Intercurrent viral upper-respiratory and other infections are the commonest triggers of relapse in childhood nephrotic syndrome; NSAIDs and other nephrotoxins can also precipitate disease.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sodium (g/day)</w:t>
            </w:r>
          </w:p>
        </w:tc>
        <w:tc>
          <w:tcPr>
            <w:tcW w:type="dxa" w:w="1655"/>
            <w:vAlign w:val="top"/>
          </w:tcPr>
          <w:p>
            <w:pPr>
              <w:spacing w:after="40" w:before="0" w:line="259" w:lineRule="auto"/>
            </w:pPr>
            <w:r>
              <w:rPr>
                <w:rFonts w:ascii="Calibri" w:hAnsi="Calibri"/>
                <w:b w:val="0"/>
                <w:i w:val="0"/>
                <w:color w:val="212121"/>
                <w:sz w:val="19"/>
              </w:rPr>
              <w:t>Patients with edema</w:t>
            </w:r>
          </w:p>
        </w:tc>
        <w:tc>
          <w:tcPr>
            <w:tcW w:type="dxa" w:w="1512"/>
            <w:vAlign w:val="top"/>
          </w:tcPr>
          <w:p>
            <w:pPr>
              <w:spacing w:after="40" w:before="0" w:line="259" w:lineRule="auto"/>
            </w:pPr>
            <w:r>
              <w:rPr>
                <w:rFonts w:ascii="Calibri" w:hAnsi="Calibri"/>
                <w:b w:val="0"/>
                <w:i w:val="0"/>
                <w:color w:val="212121"/>
                <w:sz w:val="19"/>
              </w:rPr>
              <w:t>1-2 g/day during active edema</w:t>
            </w:r>
          </w:p>
        </w:tc>
        <w:tc>
          <w:tcPr>
            <w:tcW w:type="dxa" w:w="1512"/>
            <w:vAlign w:val="top"/>
          </w:tcPr>
          <w:p>
            <w:pPr>
              <w:spacing w:after="40" w:before="0" w:line="259" w:lineRule="auto"/>
            </w:pPr>
            <w:r>
              <w:rPr>
                <w:rFonts w:ascii="Calibri" w:hAnsi="Calibri"/>
                <w:b w:val="0"/>
                <w:i w:val="0"/>
                <w:color w:val="212121"/>
                <w:sz w:val="19"/>
              </w:rPr>
              <w:t>&gt; 2 g/day (worsens edema and hypertension)</w:t>
            </w:r>
          </w:p>
        </w:tc>
        <w:tc>
          <w:tcPr>
            <w:tcW w:type="dxa" w:w="1468"/>
            <w:vAlign w:val="top"/>
          </w:tcPr>
          <w:p>
            <w:pPr>
              <w:spacing w:after="60" w:line="259" w:lineRule="auto"/>
            </w:pPr>
            <w:r>
              <w:rPr>
                <w:rFonts w:ascii="Calibri" w:hAnsi="Calibri"/>
                <w:b w:val="0"/>
                <w:i w:val="0"/>
                <w:color w:val="212121"/>
                <w:sz w:val="19"/>
              </w:rPr>
              <w:t>Salt restriction is a cornerstone of edema control</w:t>
            </w:r>
          </w:p>
          <w:p>
            <w:pPr>
              <w:spacing w:after="40" w:line="252" w:lineRule="auto"/>
            </w:pPr>
            <w:hyperlink r:id="rId13">
              <w:r>
                <w:rPr>
                  <w:rFonts w:ascii="Calibri" w:hAnsi="Calibri" w:cs="Calibri"/>
                  <w:sz w:val="18"/>
                  <w:color w:val="1155CC"/>
                  <w:u w:val="single"/>
                </w:rPr>
                <w:t xml:space="preserve">https://indianjnephrol.org/revised-guidelines-for-management-of-steroid-sensitive-nephrotic-syndrome/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protein (g/kg/day)</w:t>
            </w:r>
          </w:p>
        </w:tc>
        <w:tc>
          <w:tcPr>
            <w:tcW w:type="dxa" w:w="1655"/>
            <w:vAlign w:val="top"/>
          </w:tcPr>
          <w:p>
            <w:pPr>
              <w:spacing w:after="40" w:before="0" w:line="259" w:lineRule="auto"/>
            </w:pPr>
            <w:r>
              <w:rPr>
                <w:rFonts w:ascii="Calibri" w:hAnsi="Calibri"/>
                <w:b w:val="0"/>
                <w:i w:val="0"/>
                <w:color w:val="212121"/>
                <w:sz w:val="19"/>
              </w:rPr>
              <w:t>Children with NS</w:t>
            </w:r>
          </w:p>
        </w:tc>
        <w:tc>
          <w:tcPr>
            <w:tcW w:type="dxa" w:w="1512"/>
            <w:vAlign w:val="top"/>
          </w:tcPr>
          <w:p>
            <w:pPr>
              <w:spacing w:after="40" w:before="0" w:line="259" w:lineRule="auto"/>
            </w:pPr>
            <w:r>
              <w:rPr>
                <w:rFonts w:ascii="Calibri" w:hAnsi="Calibri"/>
                <w:b w:val="0"/>
                <w:i w:val="0"/>
                <w:color w:val="212121"/>
                <w:sz w:val="19"/>
              </w:rPr>
              <w:t>1.5-2 g/kg/day (2-2.5 with heavy proteinuria)</w:t>
            </w:r>
          </w:p>
        </w:tc>
        <w:tc>
          <w:tcPr>
            <w:tcW w:type="dxa" w:w="1512"/>
            <w:vAlign w:val="top"/>
          </w:tcPr>
          <w:p>
            <w:pPr>
              <w:spacing w:after="40" w:before="0" w:line="259" w:lineRule="auto"/>
            </w:pPr>
            <w:r>
              <w:rPr>
                <w:rFonts w:ascii="Calibri" w:hAnsi="Calibri"/>
                <w:b w:val="0"/>
                <w:i w:val="0"/>
                <w:color w:val="212121"/>
                <w:sz w:val="19"/>
              </w:rPr>
              <w:t>Excessive restriction or very high intake</w:t>
            </w:r>
          </w:p>
        </w:tc>
        <w:tc>
          <w:tcPr>
            <w:tcW w:type="dxa" w:w="1468"/>
            <w:vAlign w:val="top"/>
          </w:tcPr>
          <w:p>
            <w:pPr>
              <w:spacing w:after="60" w:line="259" w:lineRule="auto"/>
            </w:pPr>
            <w:r>
              <w:rPr>
                <w:rFonts w:ascii="Calibri" w:hAnsi="Calibri"/>
                <w:b w:val="0"/>
                <w:i w:val="0"/>
                <w:color w:val="212121"/>
                <w:sz w:val="19"/>
              </w:rPr>
              <w:t>Adequate protein without overload; avoid malnutrition</w:t>
            </w:r>
          </w:p>
          <w:p>
            <w:pPr>
              <w:spacing w:after="40" w:line="252" w:lineRule="auto"/>
            </w:pPr>
            <w:hyperlink r:id="rId13">
              <w:r>
                <w:rPr>
                  <w:rFonts w:ascii="Calibri" w:hAnsi="Calibri" w:cs="Calibri"/>
                  <w:sz w:val="18"/>
                  <w:color w:val="1155CC"/>
                  <w:u w:val="single"/>
                </w:rPr>
                <w:t xml:space="preserve">https://indianjnephrol.org/revised-guidelines-for-management-of-steroid-sensitive-nephrotic-syndrome/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Fat as % of calories</w:t>
            </w:r>
          </w:p>
        </w:tc>
        <w:tc>
          <w:tcPr>
            <w:tcW w:type="dxa" w:w="1655"/>
            <w:vAlign w:val="top"/>
          </w:tcPr>
          <w:p>
            <w:pPr>
              <w:spacing w:after="40" w:before="0" w:line="259" w:lineRule="auto"/>
            </w:pPr>
            <w:r>
              <w:rPr>
                <w:rFonts w:ascii="Calibri" w:hAnsi="Calibri"/>
                <w:b w:val="0"/>
                <w:i w:val="0"/>
                <w:color w:val="212121"/>
                <w:sz w:val="19"/>
              </w:rPr>
              <w:t>Patients with hyperlipidemia</w:t>
            </w:r>
          </w:p>
        </w:tc>
        <w:tc>
          <w:tcPr>
            <w:tcW w:type="dxa" w:w="1512"/>
            <w:vAlign w:val="top"/>
          </w:tcPr>
          <w:p>
            <w:pPr>
              <w:spacing w:after="40" w:before="0" w:line="259" w:lineRule="auto"/>
            </w:pPr>
            <w:r>
              <w:rPr>
                <w:rFonts w:ascii="Calibri" w:hAnsi="Calibri"/>
                <w:b w:val="0"/>
                <w:i w:val="0"/>
                <w:color w:val="212121"/>
                <w:sz w:val="19"/>
              </w:rPr>
              <w:t>&lt; 30% of calories from fat</w:t>
            </w:r>
          </w:p>
        </w:tc>
        <w:tc>
          <w:tcPr>
            <w:tcW w:type="dxa" w:w="1512"/>
            <w:vAlign w:val="top"/>
          </w:tcPr>
          <w:p>
            <w:pPr>
              <w:spacing w:after="40" w:before="0" w:line="259" w:lineRule="auto"/>
            </w:pPr>
            <w:r>
              <w:rPr>
                <w:rFonts w:ascii="Calibri" w:hAnsi="Calibri"/>
                <w:b w:val="0"/>
                <w:i w:val="0"/>
                <w:color w:val="212121"/>
                <w:sz w:val="19"/>
              </w:rPr>
              <w:t>High saturated-fat, high-glycemic diet</w:t>
            </w:r>
          </w:p>
        </w:tc>
        <w:tc>
          <w:tcPr>
            <w:tcW w:type="dxa" w:w="1468"/>
            <w:vAlign w:val="top"/>
          </w:tcPr>
          <w:p>
            <w:pPr>
              <w:spacing w:after="60" w:line="259" w:lineRule="auto"/>
            </w:pPr>
            <w:r>
              <w:rPr>
                <w:rFonts w:ascii="Calibri" w:hAnsi="Calibri"/>
                <w:b w:val="0"/>
                <w:i w:val="0"/>
                <w:color w:val="212121"/>
                <w:sz w:val="19"/>
              </w:rPr>
              <w:t>Limits nephrotic dyslipidemia and atherogenesis</w:t>
            </w:r>
          </w:p>
          <w:p>
            <w:pPr>
              <w:spacing w:after="40" w:line="252" w:lineRule="auto"/>
            </w:pPr>
            <w:hyperlink r:id="rId13">
              <w:r>
                <w:rPr>
                  <w:rFonts w:ascii="Calibri" w:hAnsi="Calibri" w:cs="Calibri"/>
                  <w:sz w:val="18"/>
                  <w:color w:val="1155CC"/>
                  <w:u w:val="single"/>
                </w:rPr>
                <w:t xml:space="preserve">https://indianjnephrol.org/revised-guidelines-for-management-of-steroid-sensitive-nephrotic-syndrome/</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weight / fluid balance</w:t>
            </w:r>
          </w:p>
        </w:tc>
        <w:tc>
          <w:tcPr>
            <w:tcW w:type="dxa" w:w="1655"/>
            <w:vAlign w:val="top"/>
          </w:tcPr>
          <w:p>
            <w:pPr>
              <w:spacing w:after="40" w:before="0" w:line="259" w:lineRule="auto"/>
            </w:pPr>
            <w:r>
              <w:rPr>
                <w:rFonts w:ascii="Calibri" w:hAnsi="Calibri"/>
                <w:b w:val="0"/>
                <w:i w:val="0"/>
                <w:color w:val="212121"/>
                <w:sz w:val="19"/>
              </w:rPr>
              <w:t>Patients with active edema</w:t>
            </w:r>
          </w:p>
        </w:tc>
        <w:tc>
          <w:tcPr>
            <w:tcW w:type="dxa" w:w="1512"/>
            <w:vAlign w:val="top"/>
          </w:tcPr>
          <w:p>
            <w:pPr>
              <w:spacing w:after="40" w:before="0" w:line="259" w:lineRule="auto"/>
            </w:pPr>
            <w:r>
              <w:rPr>
                <w:rFonts w:ascii="Calibri" w:hAnsi="Calibri"/>
                <w:b w:val="0"/>
                <w:i w:val="0"/>
                <w:color w:val="212121"/>
                <w:sz w:val="19"/>
              </w:rPr>
              <w:t>Stable weight; fluid moderation (~1-1.5 L/day)</w:t>
            </w:r>
          </w:p>
        </w:tc>
        <w:tc>
          <w:tcPr>
            <w:tcW w:type="dxa" w:w="1512"/>
            <w:vAlign w:val="top"/>
          </w:tcPr>
          <w:p>
            <w:pPr>
              <w:spacing w:after="40" w:before="0" w:line="259" w:lineRule="auto"/>
            </w:pPr>
            <w:r>
              <w:rPr>
                <w:rFonts w:ascii="Calibri" w:hAnsi="Calibri"/>
                <w:b w:val="0"/>
                <w:i w:val="0"/>
                <w:color w:val="212121"/>
                <w:sz w:val="19"/>
              </w:rPr>
              <w:t>Rapid weight gain or oliguria</w:t>
            </w:r>
          </w:p>
        </w:tc>
        <w:tc>
          <w:tcPr>
            <w:tcW w:type="dxa" w:w="1468"/>
            <w:vAlign w:val="top"/>
          </w:tcPr>
          <w:p>
            <w:pPr>
              <w:spacing w:after="60" w:line="259" w:lineRule="auto"/>
            </w:pPr>
            <w:r>
              <w:rPr>
                <w:rFonts w:ascii="Calibri" w:hAnsi="Calibri"/>
                <w:b w:val="0"/>
                <w:i w:val="0"/>
                <w:color w:val="212121"/>
                <w:sz w:val="19"/>
              </w:rPr>
              <w:t>Track daily weight; over-diuresis risks hypovolemia and AKI</w:t>
            </w:r>
          </w:p>
          <w:p>
            <w:pPr>
              <w:spacing w:after="40" w:line="252" w:lineRule="auto"/>
            </w:pPr>
            <w:hyperlink r:id="rId16">
              <w:r>
                <w:rPr>
                  <w:rFonts w:ascii="Calibri" w:hAnsi="Calibri" w:cs="Calibri"/>
                  <w:sz w:val="18"/>
                  <w:color w:val="1155CC"/>
                  <w:u w:val="single"/>
                </w:rPr>
                <w:t xml:space="preserve">https://www.aafp.org/pubs/afp/issues/2016/0315/p479.html</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Patients on corticosteroids</w:t>
            </w:r>
          </w:p>
        </w:tc>
        <w:tc>
          <w:tcPr>
            <w:tcW w:type="dxa" w:w="1512"/>
            <w:vAlign w:val="top"/>
          </w:tcPr>
          <w:p>
            <w:pPr>
              <w:spacing w:after="40" w:before="0" w:line="259" w:lineRule="auto"/>
            </w:pPr>
            <w:r>
              <w:rPr>
                <w:rFonts w:ascii="Calibri" w:hAnsi="Calibri"/>
                <w:b w:val="0"/>
                <w:i w:val="0"/>
                <w:color w:val="212121"/>
                <w:sz w:val="19"/>
              </w:rPr>
              <w:t>18.5-24.9 kg/m2 (age-appropriate in children)</w:t>
            </w:r>
          </w:p>
        </w:tc>
        <w:tc>
          <w:tcPr>
            <w:tcW w:type="dxa" w:w="1512"/>
            <w:vAlign w:val="top"/>
          </w:tcPr>
          <w:p>
            <w:pPr>
              <w:spacing w:after="40" w:before="0" w:line="259" w:lineRule="auto"/>
            </w:pPr>
            <w:r>
              <w:rPr>
                <w:rFonts w:ascii="Calibri" w:hAnsi="Calibri"/>
                <w:b w:val="0"/>
                <w:i w:val="0"/>
                <w:color w:val="212121"/>
                <w:sz w:val="19"/>
              </w:rPr>
              <w:t>&gt;= 25 (steroid-induced weight gain)</w:t>
            </w:r>
          </w:p>
        </w:tc>
        <w:tc>
          <w:tcPr>
            <w:tcW w:type="dxa" w:w="1468"/>
            <w:vAlign w:val="top"/>
          </w:tcPr>
          <w:p>
            <w:pPr>
              <w:spacing w:after="40" w:before="0" w:line="259" w:lineRule="auto"/>
            </w:pPr>
            <w:r>
              <w:rPr>
                <w:rFonts w:ascii="Calibri" w:hAnsi="Calibri"/>
                <w:b w:val="0"/>
                <w:i w:val="0"/>
                <w:color w:val="212121"/>
                <w:sz w:val="19"/>
              </w:rPr>
              <w:t>Activity counters steroid weight gain and CVD risk</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with proteinuria</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Smoking accelerates proteinuria, CKD progression and CVD</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Minimal / none</w:t>
            </w:r>
          </w:p>
        </w:tc>
        <w:tc>
          <w:tcPr>
            <w:tcW w:type="dxa" w:w="1512"/>
            <w:vAlign w:val="top"/>
          </w:tcPr>
          <w:p>
            <w:pPr>
              <w:spacing w:after="40" w:before="0" w:line="259" w:lineRule="auto"/>
            </w:pPr>
            <w:r>
              <w:rPr>
                <w:rFonts w:ascii="Calibri" w:hAnsi="Calibri"/>
                <w:b w:val="0"/>
                <w:i w:val="0"/>
                <w:color w:val="212121"/>
                <w:sz w:val="19"/>
              </w:rPr>
              <w:t>Heavy intake</w:t>
            </w:r>
          </w:p>
        </w:tc>
        <w:tc>
          <w:tcPr>
            <w:tcW w:type="dxa" w:w="1468"/>
            <w:vAlign w:val="top"/>
          </w:tcPr>
          <w:p>
            <w:pPr>
              <w:spacing w:after="40" w:before="0" w:line="259" w:lineRule="auto"/>
            </w:pPr>
            <w:r>
              <w:rPr>
                <w:rFonts w:ascii="Calibri" w:hAnsi="Calibri"/>
                <w:b w:val="0"/>
                <w:i w:val="0"/>
                <w:color w:val="212121"/>
                <w:sz w:val="19"/>
              </w:rPr>
              <w:t>Adds hepatotoxic and cardiovascular risk; may interact with immunosuppression</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Quantity (hours/night)</w:t>
            </w:r>
          </w:p>
        </w:tc>
        <w:tc>
          <w:tcPr>
            <w:tcW w:type="dxa" w:w="1655"/>
            <w:vAlign w:val="top"/>
          </w:tcPr>
          <w:p>
            <w:pPr>
              <w:spacing w:after="40" w:before="0" w:line="259" w:lineRule="auto"/>
            </w:pPr>
            <w:r>
              <w:rPr>
                <w:rFonts w:ascii="Calibri" w:hAnsi="Calibri"/>
                <w:b w:val="0"/>
                <w:i w:val="0"/>
                <w:color w:val="212121"/>
                <w:sz w:val="19"/>
              </w:rPr>
              <w:t>Patients on steroids</w:t>
            </w:r>
          </w:p>
        </w:tc>
        <w:tc>
          <w:tcPr>
            <w:tcW w:type="dxa" w:w="1512"/>
            <w:vAlign w:val="top"/>
          </w:tcPr>
          <w:p>
            <w:pPr>
              <w:spacing w:after="40" w:before="0" w:line="259" w:lineRule="auto"/>
            </w:pPr>
            <w:r>
              <w:rPr>
                <w:rFonts w:ascii="Calibri" w:hAnsi="Calibri"/>
                <w:b w:val="0"/>
                <w:i w:val="0"/>
                <w:color w:val="212121"/>
                <w:sz w:val="19"/>
              </w:rPr>
              <w:t>7-9 h (age-appropriate in children)</w:t>
            </w:r>
          </w:p>
        </w:tc>
        <w:tc>
          <w:tcPr>
            <w:tcW w:type="dxa" w:w="1512"/>
            <w:vAlign w:val="top"/>
          </w:tcPr>
          <w:p>
            <w:pPr>
              <w:spacing w:after="40" w:before="0" w:line="259" w:lineRule="auto"/>
            </w:pPr>
            <w:r>
              <w:rPr>
                <w:rFonts w:ascii="Calibri" w:hAnsi="Calibri"/>
                <w:b w:val="0"/>
                <w:i w:val="0"/>
                <w:color w:val="212121"/>
                <w:sz w:val="19"/>
              </w:rPr>
              <w:t>&lt; 6 h with steroid insomnia</w:t>
            </w:r>
          </w:p>
        </w:tc>
        <w:tc>
          <w:tcPr>
            <w:tcW w:type="dxa" w:w="1468"/>
            <w:vAlign w:val="top"/>
          </w:tcPr>
          <w:p>
            <w:pPr>
              <w:spacing w:after="40" w:before="0" w:line="259" w:lineRule="auto"/>
            </w:pPr>
            <w:r>
              <w:rPr>
                <w:rFonts w:ascii="Calibri" w:hAnsi="Calibri"/>
                <w:b w:val="0"/>
                <w:i w:val="0"/>
                <w:color w:val="212121"/>
                <w:sz w:val="19"/>
              </w:rPr>
              <w:t>Morning steroid dosing helps limit insomnia</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albumin (g/dL)</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3.5-5.0 g/dL</w:t>
            </w:r>
          </w:p>
        </w:tc>
        <w:tc>
          <w:tcPr>
            <w:tcW w:type="dxa" w:w="1512"/>
            <w:vAlign w:val="top"/>
          </w:tcPr>
          <w:p>
            <w:pPr>
              <w:spacing w:after="40" w:before="0" w:line="259" w:lineRule="auto"/>
            </w:pPr>
            <w:r>
              <w:rPr>
                <w:rFonts w:ascii="Calibri" w:hAnsi="Calibri"/>
                <w:b w:val="0"/>
                <w:i w:val="0"/>
                <w:color w:val="212121"/>
                <w:sz w:val="19"/>
              </w:rPr>
              <w:t>&lt; 2.5 g/dL</w:t>
            </w:r>
          </w:p>
        </w:tc>
        <w:tc>
          <w:tcPr>
            <w:tcW w:type="dxa" w:w="1468"/>
            <w:vAlign w:val="top"/>
          </w:tcPr>
          <w:p>
            <w:pPr>
              <w:spacing w:after="60" w:line="259" w:lineRule="auto"/>
            </w:pPr>
            <w:r>
              <w:rPr>
                <w:rFonts w:ascii="Calibri" w:hAnsi="Calibri"/>
                <w:b w:val="0"/>
                <w:i w:val="0"/>
                <w:color w:val="212121"/>
                <w:sz w:val="19"/>
              </w:rPr>
              <w:t>Severe hypoalbuminemia predicts edema, infection and thrombosis risk</w:t>
            </w:r>
          </w:p>
          <w:p>
            <w:pPr>
              <w:spacing w:after="40" w:line="252" w:lineRule="auto"/>
            </w:pPr>
            <w:hyperlink r:id="rId12">
              <w:r>
                <w:rPr>
                  <w:rFonts w:ascii="Calibri" w:hAnsi="Calibri" w:cs="Calibri"/>
                  <w:sz w:val="18"/>
                  <w:color w:val="1155CC"/>
                  <w:u w:val="single"/>
                </w:rPr>
                <w:t xml:space="preserve">https://academic.oup.com/ndt/article/32/1/157/2931155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Urine protein:creatinine ratio (mg/mg)</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&lt; 0.2 (remission)</w:t>
            </w:r>
          </w:p>
        </w:tc>
        <w:tc>
          <w:tcPr>
            <w:tcW w:type="dxa" w:w="1512"/>
            <w:vAlign w:val="top"/>
          </w:tcPr>
          <w:p>
            <w:pPr>
              <w:spacing w:after="40" w:before="0" w:line="259" w:lineRule="auto"/>
            </w:pPr>
            <w:r>
              <w:rPr>
                <w:rFonts w:ascii="Calibri" w:hAnsi="Calibri"/>
                <w:b w:val="0"/>
                <w:i w:val="0"/>
                <w:color w:val="212121"/>
                <w:sz w:val="19"/>
              </w:rPr>
              <w:t>&gt; 2 (nephrotic range)</w:t>
            </w:r>
          </w:p>
        </w:tc>
        <w:tc>
          <w:tcPr>
            <w:tcW w:type="dxa" w:w="1468"/>
            <w:vAlign w:val="top"/>
          </w:tcPr>
          <w:p>
            <w:pPr>
              <w:spacing w:after="60" w:line="259" w:lineRule="auto"/>
            </w:pPr>
            <w:r>
              <w:rPr>
                <w:rFonts w:ascii="Calibri" w:hAnsi="Calibri"/>
                <w:b w:val="0"/>
                <w:i w:val="0"/>
                <w:color w:val="212121"/>
                <w:sz w:val="19"/>
              </w:rPr>
              <w:t>Key marker of disease activity and relapse; home dipstick aids monitoring</w:t>
            </w:r>
          </w:p>
          <w:p>
            <w:pPr>
              <w:spacing w:after="40" w:line="252" w:lineRule="auto"/>
            </w:pPr>
            <w:hyperlink r:id="rId15">
              <w:r>
                <w:rPr>
                  <w:rFonts w:ascii="Calibri" w:hAnsi="Calibri" w:cs="Calibri"/>
                  <w:sz w:val="18"/>
                  <w:color w:val="1155CC"/>
                  <w:u w:val="single"/>
                </w:rPr>
                <w:t xml:space="preserve">https://www.ncbi.nlm.nih.gov/books/NBK470444/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cholesterol (mg/dL)</w:t>
            </w:r>
          </w:p>
        </w:tc>
        <w:tc>
          <w:tcPr>
            <w:tcW w:type="dxa" w:w="1655"/>
            <w:vAlign w:val="top"/>
          </w:tcPr>
          <w:p>
            <w:pPr>
              <w:spacing w:after="40" w:before="0" w:line="259" w:lineRule="auto"/>
            </w:pPr>
            <w:r>
              <w:rPr>
                <w:rFonts w:ascii="Calibri" w:hAnsi="Calibri"/>
                <w:b w:val="0"/>
                <w:i w:val="0"/>
                <w:color w:val="212121"/>
                <w:sz w:val="19"/>
              </w:rPr>
              <w:t>Patients with active NS</w:t>
            </w:r>
          </w:p>
        </w:tc>
        <w:tc>
          <w:tcPr>
            <w:tcW w:type="dxa" w:w="1512"/>
            <w:vAlign w:val="top"/>
          </w:tcPr>
          <w:p>
            <w:pPr>
              <w:spacing w:after="40" w:before="0" w:line="259" w:lineRule="auto"/>
            </w:pPr>
            <w:r>
              <w:rPr>
                <w:rFonts w:ascii="Calibri" w:hAnsi="Calibri"/>
                <w:b w:val="0"/>
                <w:i w:val="0"/>
                <w:color w:val="212121"/>
                <w:sz w:val="19"/>
              </w:rPr>
              <w:t>&lt; 200 mg/dL</w:t>
            </w:r>
          </w:p>
        </w:tc>
        <w:tc>
          <w:tcPr>
            <w:tcW w:type="dxa" w:w="1512"/>
            <w:vAlign w:val="top"/>
          </w:tcPr>
          <w:p>
            <w:pPr>
              <w:spacing w:after="40" w:before="0" w:line="259" w:lineRule="auto"/>
            </w:pPr>
            <w:r>
              <w:rPr>
                <w:rFonts w:ascii="Calibri" w:hAnsi="Calibri"/>
                <w:b w:val="0"/>
                <w:i w:val="0"/>
                <w:color w:val="212121"/>
                <w:sz w:val="19"/>
              </w:rPr>
              <w:t>&gt; 240 mg/dL (often &gt; 350 in severe NS)</w:t>
            </w:r>
          </w:p>
        </w:tc>
        <w:tc>
          <w:tcPr>
            <w:tcW w:type="dxa" w:w="1468"/>
            <w:vAlign w:val="top"/>
          </w:tcPr>
          <w:p>
            <w:pPr>
              <w:spacing w:after="40" w:before="0" w:line="259" w:lineRule="auto"/>
            </w:pPr>
            <w:r>
              <w:rPr>
                <w:rFonts w:ascii="Calibri" w:hAnsi="Calibri"/>
                <w:b w:val="0"/>
                <w:i w:val="0"/>
                <w:color w:val="212121"/>
                <w:sz w:val="19"/>
              </w:rPr>
              <w:t>Reflects nephrotic hyperlipidemia and CVD risk</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eGFR (mL/min/1.73m2)</w:t>
            </w:r>
          </w:p>
        </w:tc>
        <w:tc>
          <w:tcPr>
            <w:tcW w:type="dxa" w:w="1655"/>
            <w:vAlign w:val="top"/>
          </w:tcPr>
          <w:p>
            <w:pPr>
              <w:spacing w:after="40" w:before="0" w:line="259" w:lineRule="auto"/>
            </w:pPr>
            <w:r>
              <w:rPr>
                <w:rFonts w:ascii="Calibri" w:hAnsi="Calibri"/>
                <w:b w:val="0"/>
                <w:i w:val="0"/>
                <w:color w:val="212121"/>
                <w:sz w:val="19"/>
              </w:rPr>
              <w:t>Adults / at-risk patients</w:t>
            </w:r>
          </w:p>
        </w:tc>
        <w:tc>
          <w:tcPr>
            <w:tcW w:type="dxa" w:w="1512"/>
            <w:vAlign w:val="top"/>
          </w:tcPr>
          <w:p>
            <w:pPr>
              <w:spacing w:after="40" w:before="0" w:line="259" w:lineRule="auto"/>
            </w:pPr>
            <w:r>
              <w:rPr>
                <w:rFonts w:ascii="Calibri" w:hAnsi="Calibri"/>
                <w:b w:val="0"/>
                <w:i w:val="0"/>
                <w:color w:val="212121"/>
                <w:sz w:val="19"/>
              </w:rPr>
              <w:t>&gt; 90</w:t>
            </w:r>
          </w:p>
        </w:tc>
        <w:tc>
          <w:tcPr>
            <w:tcW w:type="dxa" w:w="1512"/>
            <w:vAlign w:val="top"/>
          </w:tcPr>
          <w:p>
            <w:pPr>
              <w:spacing w:after="40" w:before="0" w:line="259" w:lineRule="auto"/>
            </w:pPr>
            <w:r>
              <w:rPr>
                <w:rFonts w:ascii="Calibri" w:hAnsi="Calibri"/>
                <w:b w:val="0"/>
                <w:i w:val="0"/>
                <w:color w:val="212121"/>
                <w:sz w:val="19"/>
              </w:rPr>
              <w:t>&lt; 60 (CKD) or acute fall (AKI)</w:t>
            </w:r>
          </w:p>
        </w:tc>
        <w:tc>
          <w:tcPr>
            <w:tcW w:type="dxa" w:w="1468"/>
            <w:vAlign w:val="top"/>
          </w:tcPr>
          <w:p>
            <w:pPr>
              <w:spacing w:after="40" w:before="0" w:line="259" w:lineRule="auto"/>
            </w:pPr>
            <w:r>
              <w:rPr>
                <w:rFonts w:ascii="Calibri" w:hAnsi="Calibri"/>
                <w:b w:val="0"/>
                <w:i w:val="0"/>
                <w:color w:val="212121"/>
                <w:sz w:val="19"/>
              </w:rPr>
              <w:t>Monitors progression and over-diuresis; guides drug dosing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24-hour urine protein / spot protein:creatinine ratio</w:t>
            </w:r>
          </w:p>
        </w:tc>
        <w:tc>
          <w:tcPr>
            <w:tcW w:type="dxa" w:w="892"/>
            <w:vAlign w:val="top"/>
          </w:tcPr>
          <w:p>
            <w:pPr>
              <w:spacing w:after="40" w:before="0" w:line="259" w:lineRule="auto"/>
            </w:pPr>
            <w:r>
              <w:rPr>
                <w:rFonts w:ascii="Calibri" w:hAnsi="Calibri"/>
                <w:b w:val="0"/>
                <w:i w:val="0"/>
                <w:color w:val="212121"/>
                <w:sz w:val="16"/>
              </w:rPr>
              <w:t>Quantitative proteinuria</w:t>
            </w:r>
          </w:p>
        </w:tc>
        <w:tc>
          <w:tcPr>
            <w:tcW w:type="dxa" w:w="950"/>
            <w:vAlign w:val="top"/>
          </w:tcPr>
          <w:p>
            <w:pPr>
              <w:spacing w:after="40" w:before="0" w:line="259" w:lineRule="auto"/>
            </w:pPr>
            <w:r>
              <w:rPr>
                <w:rFonts w:ascii="Calibri" w:hAnsi="Calibri"/>
                <w:b w:val="0"/>
                <w:i w:val="0"/>
                <w:color w:val="212121"/>
                <w:sz w:val="16"/>
              </w:rPr>
              <w:t>&lt; 150 mg/24h; UPCR &lt; 0.2</w:t>
            </w:r>
          </w:p>
        </w:tc>
        <w:tc>
          <w:tcPr>
            <w:tcW w:type="dxa" w:w="950"/>
            <w:vAlign w:val="top"/>
          </w:tcPr>
          <w:p>
            <w:pPr>
              <w:spacing w:after="40" w:before="0" w:line="259" w:lineRule="auto"/>
            </w:pPr>
            <w:r>
              <w:rPr>
                <w:rFonts w:ascii="Calibri" w:hAnsi="Calibri"/>
                <w:b w:val="0"/>
                <w:i w:val="0"/>
                <w:color w:val="212121"/>
                <w:sz w:val="16"/>
              </w:rPr>
              <w:t>&gt;= 3.5 g/24h; UPCR &gt; 2-3</w:t>
            </w:r>
          </w:p>
        </w:tc>
        <w:tc>
          <w:tcPr>
            <w:tcW w:type="dxa" w:w="1036"/>
            <w:vAlign w:val="top"/>
          </w:tcPr>
          <w:p>
            <w:pPr>
              <w:spacing w:after="40" w:before="0" w:line="259" w:lineRule="auto"/>
            </w:pPr>
            <w:r>
              <w:rPr>
                <w:rFonts w:ascii="Calibri" w:hAnsi="Calibri"/>
                <w:b w:val="0"/>
                <w:i w:val="0"/>
                <w:color w:val="212121"/>
                <w:sz w:val="16"/>
              </w:rPr>
              <w:t>Diagnostic hallmark; confirms nephrotic-range proteinuria and tracks activity</w:t>
            </w:r>
          </w:p>
        </w:tc>
        <w:tc>
          <w:tcPr>
            <w:tcW w:type="dxa" w:w="1036"/>
            <w:vAlign w:val="top"/>
          </w:tcPr>
          <w:p>
            <w:pPr>
              <w:spacing w:after="40" w:before="0" w:line="259" w:lineRule="auto"/>
            </w:pPr>
            <w:r>
              <w:rPr>
                <w:rFonts w:ascii="Calibri" w:hAnsi="Calibri"/>
                <w:b w:val="0"/>
                <w:i w:val="0"/>
                <w:color w:val="212121"/>
                <w:sz w:val="16"/>
              </w:rPr>
              <w:t>All suspected NS, relapsing children, adults with edema</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Spot UPCR on early-morning sample preferred in children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 microscopy</w:t>
            </w:r>
          </w:p>
        </w:tc>
        <w:tc>
          <w:tcPr>
            <w:tcW w:type="dxa" w:w="1036"/>
            <w:vAlign w:val="top"/>
          </w:tcPr>
          <w:p>
            <w:pPr>
              <w:spacing w:after="40" w:before="0" w:line="259" w:lineRule="auto"/>
            </w:pPr>
            <w:r>
              <w:rPr>
                <w:rFonts w:ascii="Calibri" w:hAnsi="Calibri"/>
                <w:b w:val="0"/>
                <w:i w:val="0"/>
                <w:color w:val="212121"/>
                <w:sz w:val="16"/>
              </w:rPr>
              <w:t>Dipstick + sediment</w:t>
            </w:r>
          </w:p>
        </w:tc>
        <w:tc>
          <w:tcPr>
            <w:tcW w:type="dxa" w:w="892"/>
            <w:vAlign w:val="top"/>
          </w:tcPr>
          <w:p>
            <w:pPr>
              <w:spacing w:after="40" w:before="0" w:line="259" w:lineRule="auto"/>
            </w:pPr>
            <w:r>
              <w:rPr>
                <w:rFonts w:ascii="Calibri" w:hAnsi="Calibri"/>
                <w:b w:val="0"/>
                <w:i w:val="0"/>
                <w:color w:val="212121"/>
                <w:sz w:val="16"/>
              </w:rPr>
              <w:t>Urinalysis</w:t>
            </w:r>
          </w:p>
        </w:tc>
        <w:tc>
          <w:tcPr>
            <w:tcW w:type="dxa" w:w="950"/>
            <w:vAlign w:val="top"/>
          </w:tcPr>
          <w:p>
            <w:pPr>
              <w:spacing w:after="40" w:before="0" w:line="259" w:lineRule="auto"/>
            </w:pPr>
            <w:r>
              <w:rPr>
                <w:rFonts w:ascii="Calibri" w:hAnsi="Calibri"/>
                <w:b w:val="0"/>
                <w:i w:val="0"/>
                <w:color w:val="212121"/>
                <w:sz w:val="16"/>
              </w:rPr>
              <w:t>No protein; no fat</w:t>
            </w:r>
          </w:p>
        </w:tc>
        <w:tc>
          <w:tcPr>
            <w:tcW w:type="dxa" w:w="950"/>
            <w:vAlign w:val="top"/>
          </w:tcPr>
          <w:p>
            <w:pPr>
              <w:spacing w:after="40" w:before="0" w:line="259" w:lineRule="auto"/>
            </w:pPr>
            <w:r>
              <w:rPr>
                <w:rFonts w:ascii="Calibri" w:hAnsi="Calibri"/>
                <w:b w:val="0"/>
                <w:i w:val="0"/>
                <w:color w:val="212121"/>
                <w:sz w:val="16"/>
              </w:rPr>
              <w:t>Protein 3+/4+; oval fat bodies, fatty/waxy casts</w:t>
            </w:r>
          </w:p>
        </w:tc>
        <w:tc>
          <w:tcPr>
            <w:tcW w:type="dxa" w:w="1036"/>
            <w:vAlign w:val="top"/>
          </w:tcPr>
          <w:p>
            <w:pPr>
              <w:spacing w:after="40" w:before="0" w:line="259" w:lineRule="auto"/>
            </w:pPr>
            <w:r>
              <w:rPr>
                <w:rFonts w:ascii="Calibri" w:hAnsi="Calibri"/>
                <w:b w:val="0"/>
                <w:i w:val="0"/>
                <w:color w:val="212121"/>
                <w:sz w:val="16"/>
              </w:rPr>
              <w:t>Confirms heavy proteinuria and lipiduria; red cells/casts suggest nephritic overlap</w:t>
            </w:r>
          </w:p>
        </w:tc>
        <w:tc>
          <w:tcPr>
            <w:tcW w:type="dxa" w:w="1036"/>
            <w:vAlign w:val="top"/>
          </w:tcPr>
          <w:p>
            <w:pPr>
              <w:spacing w:after="40" w:before="0" w:line="259" w:lineRule="auto"/>
            </w:pPr>
            <w:r>
              <w:rPr>
                <w:rFonts w:ascii="Calibri" w:hAnsi="Calibri"/>
                <w:b w:val="0"/>
                <w:i w:val="0"/>
                <w:color w:val="212121"/>
                <w:sz w:val="16"/>
              </w:rPr>
              <w:t>All suspected NS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Frothy urine on inspection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albumin</w:t>
            </w:r>
          </w:p>
        </w:tc>
        <w:tc>
          <w:tcPr>
            <w:tcW w:type="dxa" w:w="892"/>
            <w:vAlign w:val="top"/>
          </w:tcPr>
          <w:p>
            <w:pPr>
              <w:spacing w:after="40" w:before="0" w:line="259" w:lineRule="auto"/>
            </w:pPr>
            <w:r>
              <w:rPr>
                <w:rFonts w:ascii="Calibri" w:hAnsi="Calibri"/>
                <w:b w:val="0"/>
                <w:i w:val="0"/>
                <w:color w:val="212121"/>
                <w:sz w:val="16"/>
              </w:rPr>
              <w:t>Serum protein assay</w:t>
            </w:r>
          </w:p>
        </w:tc>
        <w:tc>
          <w:tcPr>
            <w:tcW w:type="dxa" w:w="950"/>
            <w:vAlign w:val="top"/>
          </w:tcPr>
          <w:p>
            <w:pPr>
              <w:spacing w:after="40" w:before="0" w:line="259" w:lineRule="auto"/>
            </w:pPr>
            <w:r>
              <w:rPr>
                <w:rFonts w:ascii="Calibri" w:hAnsi="Calibri"/>
                <w:b w:val="0"/>
                <w:i w:val="0"/>
                <w:color w:val="212121"/>
                <w:sz w:val="16"/>
              </w:rPr>
              <w:t>3.5-5.0 g/dL</w:t>
            </w:r>
          </w:p>
        </w:tc>
        <w:tc>
          <w:tcPr>
            <w:tcW w:type="dxa" w:w="950"/>
            <w:vAlign w:val="top"/>
          </w:tcPr>
          <w:p>
            <w:pPr>
              <w:spacing w:after="40" w:before="0" w:line="259" w:lineRule="auto"/>
            </w:pPr>
            <w:r>
              <w:rPr>
                <w:rFonts w:ascii="Calibri" w:hAnsi="Calibri"/>
                <w:b w:val="0"/>
                <w:i w:val="0"/>
                <w:color w:val="212121"/>
                <w:sz w:val="16"/>
              </w:rPr>
              <w:t>&lt; 3.0 g/dL (&lt; 2.5 g/dL in children)</w:t>
            </w:r>
          </w:p>
        </w:tc>
        <w:tc>
          <w:tcPr>
            <w:tcW w:type="dxa" w:w="1036"/>
            <w:vAlign w:val="top"/>
          </w:tcPr>
          <w:p>
            <w:pPr>
              <w:spacing w:after="40" w:before="0" w:line="259" w:lineRule="auto"/>
            </w:pPr>
            <w:r>
              <w:rPr>
                <w:rFonts w:ascii="Calibri" w:hAnsi="Calibri"/>
                <w:b w:val="0"/>
                <w:i w:val="0"/>
                <w:color w:val="212121"/>
                <w:sz w:val="16"/>
              </w:rPr>
              <w:t>Hypoalbuminemia defines severity; low levels predict edema, infection and thrombosis</w:t>
            </w:r>
          </w:p>
        </w:tc>
        <w:tc>
          <w:tcPr>
            <w:tcW w:type="dxa" w:w="1036"/>
            <w:vAlign w:val="top"/>
          </w:tcPr>
          <w:p>
            <w:pPr>
              <w:spacing w:after="40" w:before="0" w:line="259" w:lineRule="auto"/>
            </w:pPr>
            <w:r>
              <w:rPr>
                <w:rFonts w:ascii="Calibri" w:hAnsi="Calibri"/>
                <w:b w:val="0"/>
                <w:i w:val="0"/>
                <w:color w:val="212121"/>
                <w:sz w:val="16"/>
              </w:rPr>
              <w:t>All NS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Also assess total protein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Lipid profile (total cholesterol, LDL, TG)</w:t>
            </w:r>
          </w:p>
        </w:tc>
        <w:tc>
          <w:tcPr>
            <w:tcW w:type="dxa" w:w="892"/>
            <w:vAlign w:val="top"/>
          </w:tcPr>
          <w:p>
            <w:pPr>
              <w:spacing w:after="40" w:before="0" w:line="259" w:lineRule="auto"/>
            </w:pPr>
            <w:r>
              <w:rPr>
                <w:rFonts w:ascii="Calibri" w:hAnsi="Calibri"/>
                <w:b w:val="0"/>
                <w:i w:val="0"/>
                <w:color w:val="212121"/>
                <w:sz w:val="16"/>
              </w:rPr>
              <w:t>Fasting lipid panel</w:t>
            </w:r>
          </w:p>
        </w:tc>
        <w:tc>
          <w:tcPr>
            <w:tcW w:type="dxa" w:w="950"/>
            <w:vAlign w:val="top"/>
          </w:tcPr>
          <w:p>
            <w:pPr>
              <w:spacing w:after="40" w:before="0" w:line="259" w:lineRule="auto"/>
            </w:pPr>
            <w:r>
              <w:rPr>
                <w:rFonts w:ascii="Calibri" w:hAnsi="Calibri"/>
                <w:b w:val="0"/>
                <w:i w:val="0"/>
                <w:color w:val="212121"/>
                <w:sz w:val="16"/>
              </w:rPr>
              <w:t>Total cholesterol &lt; 200 mg/dL</w:t>
            </w:r>
          </w:p>
        </w:tc>
        <w:tc>
          <w:tcPr>
            <w:tcW w:type="dxa" w:w="950"/>
            <w:vAlign w:val="top"/>
          </w:tcPr>
          <w:p>
            <w:pPr>
              <w:spacing w:after="40" w:before="0" w:line="259" w:lineRule="auto"/>
            </w:pPr>
            <w:r>
              <w:rPr>
                <w:rFonts w:ascii="Calibri" w:hAnsi="Calibri"/>
                <w:b w:val="0"/>
                <w:i w:val="0"/>
                <w:color w:val="212121"/>
                <w:sz w:val="16"/>
              </w:rPr>
              <w:t>&gt; 200 mg/dL (often &gt; 350)</w:t>
            </w:r>
          </w:p>
        </w:tc>
        <w:tc>
          <w:tcPr>
            <w:tcW w:type="dxa" w:w="1036"/>
            <w:vAlign w:val="top"/>
          </w:tcPr>
          <w:p>
            <w:pPr>
              <w:spacing w:after="40" w:before="0" w:line="259" w:lineRule="auto"/>
            </w:pPr>
            <w:r>
              <w:rPr>
                <w:rFonts w:ascii="Calibri" w:hAnsi="Calibri"/>
                <w:b w:val="0"/>
                <w:i w:val="0"/>
                <w:color w:val="212121"/>
                <w:sz w:val="16"/>
              </w:rPr>
              <w:t>Hyperlipidemia is part of the syndrome and drives cardiovascular risk</w:t>
            </w:r>
          </w:p>
        </w:tc>
        <w:tc>
          <w:tcPr>
            <w:tcW w:type="dxa" w:w="1036"/>
            <w:vAlign w:val="top"/>
          </w:tcPr>
          <w:p>
            <w:pPr>
              <w:spacing w:after="40" w:before="0" w:line="259" w:lineRule="auto"/>
            </w:pPr>
            <w:r>
              <w:rPr>
                <w:rFonts w:ascii="Calibri" w:hAnsi="Calibri"/>
                <w:b w:val="0"/>
                <w:i w:val="0"/>
                <w:color w:val="212121"/>
                <w:sz w:val="16"/>
              </w:rPr>
              <w:t>All NS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Improves as proteinuria resolves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 eGFR / urea</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eGFR &gt; 90 mL/min/1.73m2</w:t>
            </w:r>
          </w:p>
        </w:tc>
        <w:tc>
          <w:tcPr>
            <w:tcW w:type="dxa" w:w="950"/>
            <w:vAlign w:val="top"/>
          </w:tcPr>
          <w:p>
            <w:pPr>
              <w:spacing w:after="40" w:before="0" w:line="259" w:lineRule="auto"/>
            </w:pPr>
            <w:r>
              <w:rPr>
                <w:rFonts w:ascii="Calibri" w:hAnsi="Calibri"/>
                <w:b w:val="0"/>
                <w:i w:val="0"/>
                <w:color w:val="212121"/>
                <w:sz w:val="16"/>
              </w:rPr>
              <w:t>Reduced eGFR / rising creatinine</w:t>
            </w:r>
          </w:p>
        </w:tc>
        <w:tc>
          <w:tcPr>
            <w:tcW w:type="dxa" w:w="1036"/>
            <w:vAlign w:val="top"/>
          </w:tcPr>
          <w:p>
            <w:pPr>
              <w:spacing w:after="40" w:before="0" w:line="259" w:lineRule="auto"/>
            </w:pPr>
            <w:r>
              <w:rPr>
                <w:rFonts w:ascii="Calibri" w:hAnsi="Calibri"/>
                <w:b w:val="0"/>
                <w:i w:val="0"/>
                <w:color w:val="212121"/>
                <w:sz w:val="16"/>
              </w:rPr>
              <w:t>Detects acute kidney injury and chronic progression; guides drug dosing</w:t>
            </w:r>
          </w:p>
        </w:tc>
        <w:tc>
          <w:tcPr>
            <w:tcW w:type="dxa" w:w="1036"/>
            <w:vAlign w:val="top"/>
          </w:tcPr>
          <w:p>
            <w:pPr>
              <w:spacing w:after="40" w:before="0" w:line="259" w:lineRule="auto"/>
            </w:pPr>
            <w:r>
              <w:rPr>
                <w:rFonts w:ascii="Calibri" w:hAnsi="Calibri"/>
                <w:b w:val="0"/>
                <w:i w:val="0"/>
                <w:color w:val="212121"/>
                <w:sz w:val="16"/>
              </w:rPr>
              <w:t>Adults, steroid-resistant, secondary NS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Watch over-diuresis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Complement C3/C4, ANA, anti-dsDNA, anti-PLA2R</w:t>
            </w:r>
          </w:p>
        </w:tc>
        <w:tc>
          <w:tcPr>
            <w:tcW w:type="dxa" w:w="892"/>
            <w:vAlign w:val="top"/>
          </w:tcPr>
          <w:p>
            <w:pPr>
              <w:spacing w:after="40" w:before="0" w:line="259" w:lineRule="auto"/>
            </w:pPr>
            <w:r>
              <w:rPr>
                <w:rFonts w:ascii="Calibri" w:hAnsi="Calibri"/>
                <w:b w:val="0"/>
                <w:i w:val="0"/>
                <w:color w:val="212121"/>
                <w:sz w:val="16"/>
              </w:rPr>
              <w:t>Autoimmune / complement panel</w:t>
            </w:r>
          </w:p>
        </w:tc>
        <w:tc>
          <w:tcPr>
            <w:tcW w:type="dxa" w:w="950"/>
            <w:vAlign w:val="top"/>
          </w:tcPr>
          <w:p>
            <w:pPr>
              <w:spacing w:after="40" w:before="0" w:line="259" w:lineRule="auto"/>
            </w:pPr>
            <w:r>
              <w:rPr>
                <w:rFonts w:ascii="Calibri" w:hAnsi="Calibri"/>
                <w:b w:val="0"/>
                <w:i w:val="0"/>
                <w:color w:val="212121"/>
                <w:sz w:val="16"/>
              </w:rPr>
              <w:t>Normal complement; negative serology</w:t>
            </w:r>
          </w:p>
        </w:tc>
        <w:tc>
          <w:tcPr>
            <w:tcW w:type="dxa" w:w="950"/>
            <w:vAlign w:val="top"/>
          </w:tcPr>
          <w:p>
            <w:pPr>
              <w:spacing w:after="40" w:before="0" w:line="259" w:lineRule="auto"/>
            </w:pPr>
            <w:r>
              <w:rPr>
                <w:rFonts w:ascii="Calibri" w:hAnsi="Calibri"/>
                <w:b w:val="0"/>
                <w:i w:val="0"/>
                <w:color w:val="212121"/>
                <w:sz w:val="16"/>
              </w:rPr>
              <w:t>Low C3/C4; positive ANA/anti-dsDNA; positive anti-PLA2R</w:t>
            </w:r>
          </w:p>
        </w:tc>
        <w:tc>
          <w:tcPr>
            <w:tcW w:type="dxa" w:w="1036"/>
            <w:vAlign w:val="top"/>
          </w:tcPr>
          <w:p>
            <w:pPr>
              <w:spacing w:after="40" w:before="0" w:line="259" w:lineRule="auto"/>
            </w:pPr>
            <w:r>
              <w:rPr>
                <w:rFonts w:ascii="Calibri" w:hAnsi="Calibri"/>
                <w:b w:val="0"/>
                <w:i w:val="0"/>
                <w:color w:val="212121"/>
                <w:sz w:val="16"/>
              </w:rPr>
              <w:t>Distinguishes lupus nephritis, MPGN and primary membranous nephropathy</w:t>
            </w:r>
          </w:p>
        </w:tc>
        <w:tc>
          <w:tcPr>
            <w:tcW w:type="dxa" w:w="1036"/>
            <w:vAlign w:val="top"/>
          </w:tcPr>
          <w:p>
            <w:pPr>
              <w:spacing w:after="40" w:before="0" w:line="259" w:lineRule="auto"/>
            </w:pPr>
            <w:r>
              <w:rPr>
                <w:rFonts w:ascii="Calibri" w:hAnsi="Calibri"/>
                <w:b w:val="0"/>
                <w:i w:val="0"/>
                <w:color w:val="212121"/>
                <w:sz w:val="16"/>
              </w:rPr>
              <w:t>Adults, suspected secondary/immune 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Anti-PLA2R supports primary membranous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 / metabolic</w:t>
            </w:r>
          </w:p>
        </w:tc>
        <w:tc>
          <w:tcPr>
            <w:tcW w:type="dxa" w:w="1036"/>
            <w:vAlign w:val="top"/>
          </w:tcPr>
          <w:p>
            <w:pPr>
              <w:spacing w:after="40" w:before="0" w:line="259" w:lineRule="auto"/>
            </w:pPr>
            <w:r>
              <w:rPr>
                <w:rFonts w:ascii="Calibri" w:hAnsi="Calibri"/>
                <w:b w:val="0"/>
                <w:i w:val="0"/>
                <w:color w:val="212121"/>
                <w:sz w:val="16"/>
              </w:rPr>
              <w:t>HBsAg, anti-HCV, HIV, fasting glucose/HbA1c</w:t>
            </w:r>
          </w:p>
        </w:tc>
        <w:tc>
          <w:tcPr>
            <w:tcW w:type="dxa" w:w="892"/>
            <w:vAlign w:val="top"/>
          </w:tcPr>
          <w:p>
            <w:pPr>
              <w:spacing w:after="40" w:before="0" w:line="259" w:lineRule="auto"/>
            </w:pPr>
            <w:r>
              <w:rPr>
                <w:rFonts w:ascii="Calibri" w:hAnsi="Calibri"/>
                <w:b w:val="0"/>
                <w:i w:val="0"/>
                <w:color w:val="212121"/>
                <w:sz w:val="16"/>
              </w:rPr>
              <w:t>Secondary-cause screen</w:t>
            </w:r>
          </w:p>
        </w:tc>
        <w:tc>
          <w:tcPr>
            <w:tcW w:type="dxa" w:w="950"/>
            <w:vAlign w:val="top"/>
          </w:tcPr>
          <w:p>
            <w:pPr>
              <w:spacing w:after="40" w:before="0" w:line="259" w:lineRule="auto"/>
            </w:pPr>
            <w:r>
              <w:rPr>
                <w:rFonts w:ascii="Calibri" w:hAnsi="Calibri"/>
                <w:b w:val="0"/>
                <w:i w:val="0"/>
                <w:color w:val="212121"/>
                <w:sz w:val="16"/>
              </w:rPr>
              <w:t>Negative serology; normal glucose</w:t>
            </w:r>
          </w:p>
        </w:tc>
        <w:tc>
          <w:tcPr>
            <w:tcW w:type="dxa" w:w="950"/>
            <w:vAlign w:val="top"/>
          </w:tcPr>
          <w:p>
            <w:pPr>
              <w:spacing w:after="40" w:before="0" w:line="259" w:lineRule="auto"/>
            </w:pPr>
            <w:r>
              <w:rPr>
                <w:rFonts w:ascii="Calibri" w:hAnsi="Calibri"/>
                <w:b w:val="0"/>
                <w:i w:val="0"/>
                <w:color w:val="212121"/>
                <w:sz w:val="16"/>
              </w:rPr>
              <w:t>Positive viral serology; elevated HbA1c</w:t>
            </w:r>
          </w:p>
        </w:tc>
        <w:tc>
          <w:tcPr>
            <w:tcW w:type="dxa" w:w="1036"/>
            <w:vAlign w:val="top"/>
          </w:tcPr>
          <w:p>
            <w:pPr>
              <w:spacing w:after="40" w:before="0" w:line="259" w:lineRule="auto"/>
            </w:pPr>
            <w:r>
              <w:rPr>
                <w:rFonts w:ascii="Calibri" w:hAnsi="Calibri"/>
                <w:b w:val="0"/>
                <w:i w:val="0"/>
                <w:color w:val="212121"/>
                <w:sz w:val="16"/>
              </w:rPr>
              <w:t>Identifies hepatitis B/C, HIV and diabetic nephropathy as secondary causes</w:t>
            </w:r>
          </w:p>
        </w:tc>
        <w:tc>
          <w:tcPr>
            <w:tcW w:type="dxa" w:w="1036"/>
            <w:vAlign w:val="top"/>
          </w:tcPr>
          <w:p>
            <w:pPr>
              <w:spacing w:after="40" w:before="0" w:line="259" w:lineRule="auto"/>
            </w:pPr>
            <w:r>
              <w:rPr>
                <w:rFonts w:ascii="Calibri" w:hAnsi="Calibri"/>
                <w:b w:val="0"/>
                <w:i w:val="0"/>
                <w:color w:val="212121"/>
                <w:sz w:val="16"/>
              </w:rPr>
              <w:t>Adults, at-risk populations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Essential before immunosuppression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Renal biopsy (light microscopy, IF, EM)</w:t>
            </w:r>
          </w:p>
        </w:tc>
        <w:tc>
          <w:tcPr>
            <w:tcW w:type="dxa" w:w="892"/>
            <w:vAlign w:val="top"/>
          </w:tcPr>
          <w:p>
            <w:pPr>
              <w:spacing w:after="40" w:before="0" w:line="259" w:lineRule="auto"/>
            </w:pPr>
            <w:r>
              <w:rPr>
                <w:rFonts w:ascii="Calibri" w:hAnsi="Calibri"/>
                <w:b w:val="0"/>
                <w:i w:val="0"/>
                <w:color w:val="212121"/>
                <w:sz w:val="16"/>
              </w:rPr>
              <w:t>Percutaneous kidney biopsy</w:t>
            </w:r>
          </w:p>
        </w:tc>
        <w:tc>
          <w:tcPr>
            <w:tcW w:type="dxa" w:w="950"/>
            <w:vAlign w:val="top"/>
          </w:tcPr>
          <w:p>
            <w:pPr>
              <w:spacing w:after="40" w:before="0" w:line="259" w:lineRule="auto"/>
            </w:pPr>
            <w:r>
              <w:rPr>
                <w:rFonts w:ascii="Calibri" w:hAnsi="Calibri"/>
                <w:b w:val="0"/>
                <w:i w:val="0"/>
                <w:color w:val="212121"/>
                <w:sz w:val="16"/>
              </w:rPr>
              <w:t>No diagnostic glomerular lesion</w:t>
            </w:r>
          </w:p>
        </w:tc>
        <w:tc>
          <w:tcPr>
            <w:tcW w:type="dxa" w:w="950"/>
            <w:vAlign w:val="top"/>
          </w:tcPr>
          <w:p>
            <w:pPr>
              <w:spacing w:after="40" w:before="0" w:line="259" w:lineRule="auto"/>
            </w:pPr>
            <w:r>
              <w:rPr>
                <w:rFonts w:ascii="Calibri" w:hAnsi="Calibri"/>
                <w:b w:val="0"/>
                <w:i w:val="0"/>
                <w:color w:val="212121"/>
                <w:sz w:val="16"/>
              </w:rPr>
              <w:t>MCD, FSGS, membranous, MPGN or secondary pattern</w:t>
            </w:r>
          </w:p>
        </w:tc>
        <w:tc>
          <w:tcPr>
            <w:tcW w:type="dxa" w:w="1036"/>
            <w:vAlign w:val="top"/>
          </w:tcPr>
          <w:p>
            <w:pPr>
              <w:spacing w:after="40" w:before="0" w:line="259" w:lineRule="auto"/>
            </w:pPr>
            <w:r>
              <w:rPr>
                <w:rFonts w:ascii="Calibri" w:hAnsi="Calibri"/>
                <w:b w:val="0"/>
                <w:i w:val="0"/>
                <w:color w:val="212121"/>
                <w:sz w:val="16"/>
              </w:rPr>
              <w:t>Definitive histologic diagnosis guiding therapy and prognosis</w:t>
            </w:r>
          </w:p>
        </w:tc>
        <w:tc>
          <w:tcPr>
            <w:tcW w:type="dxa" w:w="1036"/>
            <w:vAlign w:val="top"/>
          </w:tcPr>
          <w:p>
            <w:pPr>
              <w:spacing w:after="40" w:before="0" w:line="259" w:lineRule="auto"/>
            </w:pPr>
            <w:r>
              <w:rPr>
                <w:rFonts w:ascii="Calibri" w:hAnsi="Calibri"/>
                <w:b w:val="0"/>
                <w:i w:val="0"/>
                <w:color w:val="212121"/>
                <w:sz w:val="16"/>
              </w:rPr>
              <w:t>Adults; steroid-resistant or atypical children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Usually deferred in typical steroid-responsive children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Edema pattern and frothy urine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Periorbital puffiness (worse on waking), dependent edema, foamy urine</w:t>
            </w:r>
          </w:p>
        </w:tc>
        <w:tc>
          <w:tcPr>
            <w:tcW w:type="dxa" w:w="1036"/>
            <w:vAlign w:val="top"/>
          </w:tcPr>
          <w:p>
            <w:pPr>
              <w:spacing w:after="40" w:before="0" w:line="259" w:lineRule="auto"/>
            </w:pPr>
            <w:r>
              <w:rPr>
                <w:rFonts w:ascii="Calibri" w:hAnsi="Calibri"/>
                <w:b w:val="0"/>
                <w:i w:val="0"/>
                <w:color w:val="212121"/>
                <w:sz w:val="16"/>
              </w:rPr>
              <w:t>Classic presenting features of nephrotic syndrome</w:t>
            </w:r>
          </w:p>
        </w:tc>
        <w:tc>
          <w:tcPr>
            <w:tcW w:type="dxa" w:w="1036"/>
            <w:vAlign w:val="top"/>
          </w:tcPr>
          <w:p>
            <w:pPr>
              <w:spacing w:after="40" w:before="0" w:line="259" w:lineRule="auto"/>
            </w:pPr>
            <w:r>
              <w:rPr>
                <w:rFonts w:ascii="Calibri" w:hAnsi="Calibri"/>
                <w:b w:val="0"/>
                <w:i w:val="0"/>
                <w:color w:val="212121"/>
                <w:sz w:val="16"/>
              </w:rPr>
              <w:t>Children and adults with new edema</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Facial swelling often the first sign in children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Precipitating / provoking factors</w:t>
            </w:r>
          </w:p>
        </w:tc>
        <w:tc>
          <w:tcPr>
            <w:tcW w:type="dxa" w:w="979"/>
            <w:vAlign w:val="top"/>
          </w:tcPr>
          <w:p>
            <w:pPr>
              <w:spacing w:after="40" w:before="0" w:line="259" w:lineRule="auto"/>
            </w:pPr>
            <w:r>
              <w:rPr>
                <w:rFonts w:ascii="Calibri" w:hAnsi="Calibri"/>
                <w:b w:val="0"/>
                <w:i w:val="0"/>
                <w:color w:val="212121"/>
                <w:sz w:val="16"/>
              </w:rPr>
              <w:t>Recent infection, NSAID or nephrotoxin exposure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Preceding URTI or drug exposure before relapse</w:t>
            </w:r>
          </w:p>
        </w:tc>
        <w:tc>
          <w:tcPr>
            <w:tcW w:type="dxa" w:w="1036"/>
            <w:vAlign w:val="top"/>
          </w:tcPr>
          <w:p>
            <w:pPr>
              <w:spacing w:after="40" w:before="0" w:line="259" w:lineRule="auto"/>
            </w:pPr>
            <w:r>
              <w:rPr>
                <w:rFonts w:ascii="Calibri" w:hAnsi="Calibri"/>
                <w:b w:val="0"/>
                <w:i w:val="0"/>
                <w:color w:val="212121"/>
                <w:sz w:val="16"/>
              </w:rPr>
              <w:t>Infections are the commonest relapse trigger; drugs can induce disease</w:t>
            </w:r>
          </w:p>
        </w:tc>
        <w:tc>
          <w:tcPr>
            <w:tcW w:type="dxa" w:w="1036"/>
            <w:vAlign w:val="top"/>
          </w:tcPr>
          <w:p>
            <w:pPr>
              <w:spacing w:after="40" w:before="0" w:line="259" w:lineRule="auto"/>
            </w:pPr>
            <w:r>
              <w:rPr>
                <w:rFonts w:ascii="Calibri" w:hAnsi="Calibri"/>
                <w:b w:val="0"/>
                <w:i w:val="0"/>
                <w:color w:val="212121"/>
                <w:sz w:val="16"/>
              </w:rPr>
              <w:t>Relapsing children, drug-exposed adults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relapse prevention and vaccination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Systemic / family history</w:t>
            </w:r>
          </w:p>
        </w:tc>
        <w:tc>
          <w:tcPr>
            <w:tcW w:type="dxa" w:w="979"/>
            <w:vAlign w:val="top"/>
          </w:tcPr>
          <w:p>
            <w:pPr>
              <w:spacing w:after="40" w:before="0" w:line="259" w:lineRule="auto"/>
            </w:pPr>
            <w:r>
              <w:rPr>
                <w:rFonts w:ascii="Calibri" w:hAnsi="Calibri"/>
                <w:b w:val="0"/>
                <w:i w:val="0"/>
                <w:color w:val="212121"/>
                <w:sz w:val="16"/>
              </w:rPr>
              <w:t>Diabetes, SLE, hepatitis, family history of NS</w:t>
            </w:r>
          </w:p>
        </w:tc>
        <w:tc>
          <w:tcPr>
            <w:tcW w:type="dxa" w:w="950"/>
            <w:vAlign w:val="top"/>
          </w:tcPr>
          <w:p>
            <w:pPr>
              <w:spacing w:after="40" w:before="0" w:line="259" w:lineRule="auto"/>
            </w:pPr>
            <w:r>
              <w:rPr>
                <w:rFonts w:ascii="Calibri" w:hAnsi="Calibri"/>
                <w:b w:val="0"/>
                <w:i w:val="0"/>
                <w:color w:val="212121"/>
                <w:sz w:val="16"/>
              </w:rPr>
              <w:t>No relevant history</w:t>
            </w:r>
          </w:p>
        </w:tc>
        <w:tc>
          <w:tcPr>
            <w:tcW w:type="dxa" w:w="950"/>
            <w:vAlign w:val="top"/>
          </w:tcPr>
          <w:p>
            <w:pPr>
              <w:spacing w:after="40" w:before="0" w:line="259" w:lineRule="auto"/>
            </w:pPr>
            <w:r>
              <w:rPr>
                <w:rFonts w:ascii="Calibri" w:hAnsi="Calibri"/>
                <w:b w:val="0"/>
                <w:i w:val="0"/>
                <w:color w:val="212121"/>
                <w:sz w:val="16"/>
              </w:rPr>
              <w:t>Diabetes, autoimmune disease, or affected relatives</w:t>
            </w:r>
          </w:p>
        </w:tc>
        <w:tc>
          <w:tcPr>
            <w:tcW w:type="dxa" w:w="1036"/>
            <w:vAlign w:val="top"/>
          </w:tcPr>
          <w:p>
            <w:pPr>
              <w:spacing w:after="40" w:before="0" w:line="259" w:lineRule="auto"/>
            </w:pPr>
            <w:r>
              <w:rPr>
                <w:rFonts w:ascii="Calibri" w:hAnsi="Calibri"/>
                <w:b w:val="0"/>
                <w:i w:val="0"/>
                <w:color w:val="212121"/>
                <w:sz w:val="16"/>
              </w:rPr>
              <w:t>Points to secondary or genetic causes</w:t>
            </w:r>
          </w:p>
        </w:tc>
        <w:tc>
          <w:tcPr>
            <w:tcW w:type="dxa" w:w="1036"/>
            <w:vAlign w:val="top"/>
          </w:tcPr>
          <w:p>
            <w:pPr>
              <w:spacing w:after="40" w:before="0" w:line="259" w:lineRule="auto"/>
            </w:pPr>
            <w:r>
              <w:rPr>
                <w:rFonts w:ascii="Calibri" w:hAnsi="Calibri"/>
                <w:b w:val="0"/>
                <w:i w:val="0"/>
                <w:color w:val="212121"/>
                <w:sz w:val="16"/>
              </w:rPr>
              <w:t>Adults, consanguineous families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steroid-resistance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Edema and serosal fluid assessment</w:t>
            </w:r>
          </w:p>
        </w:tc>
        <w:tc>
          <w:tcPr>
            <w:tcW w:type="dxa" w:w="979"/>
            <w:vAlign w:val="top"/>
          </w:tcPr>
          <w:p>
            <w:pPr>
              <w:spacing w:after="40" w:before="0" w:line="259" w:lineRule="auto"/>
            </w:pPr>
            <w:r>
              <w:rPr>
                <w:rFonts w:ascii="Calibri" w:hAnsi="Calibri"/>
                <w:b w:val="0"/>
                <w:i w:val="0"/>
                <w:color w:val="212121"/>
                <w:sz w:val="16"/>
              </w:rPr>
              <w:t>Pitting edema, ascites, pleural effusion</w:t>
            </w:r>
          </w:p>
        </w:tc>
        <w:tc>
          <w:tcPr>
            <w:tcW w:type="dxa" w:w="950"/>
            <w:vAlign w:val="top"/>
          </w:tcPr>
          <w:p>
            <w:pPr>
              <w:spacing w:after="40" w:before="0" w:line="259" w:lineRule="auto"/>
            </w:pPr>
            <w:r>
              <w:rPr>
                <w:rFonts w:ascii="Calibri" w:hAnsi="Calibri"/>
                <w:b w:val="0"/>
                <w:i w:val="0"/>
                <w:color w:val="212121"/>
                <w:sz w:val="16"/>
              </w:rPr>
              <w:t>No edema or effusion</w:t>
            </w:r>
          </w:p>
        </w:tc>
        <w:tc>
          <w:tcPr>
            <w:tcW w:type="dxa" w:w="950"/>
            <w:vAlign w:val="top"/>
          </w:tcPr>
          <w:p>
            <w:pPr>
              <w:spacing w:after="40" w:before="0" w:line="259" w:lineRule="auto"/>
            </w:pPr>
            <w:r>
              <w:rPr>
                <w:rFonts w:ascii="Calibri" w:hAnsi="Calibri"/>
                <w:b w:val="0"/>
                <w:i w:val="0"/>
                <w:color w:val="212121"/>
                <w:sz w:val="16"/>
              </w:rPr>
              <w:t>Pitting pedal/periorbital edema, shifting dullness, reduced basal breath sounds</w:t>
            </w:r>
          </w:p>
        </w:tc>
        <w:tc>
          <w:tcPr>
            <w:tcW w:type="dxa" w:w="1036"/>
            <w:vAlign w:val="top"/>
          </w:tcPr>
          <w:p>
            <w:pPr>
              <w:spacing w:after="40" w:before="0" w:line="259" w:lineRule="auto"/>
            </w:pPr>
            <w:r>
              <w:rPr>
                <w:rFonts w:ascii="Calibri" w:hAnsi="Calibri"/>
                <w:b w:val="0"/>
                <w:i w:val="0"/>
                <w:color w:val="212121"/>
                <w:sz w:val="16"/>
              </w:rPr>
              <w:t>Quantifies fluid overload and anasarca</w:t>
            </w:r>
          </w:p>
        </w:tc>
        <w:tc>
          <w:tcPr>
            <w:tcW w:type="dxa" w:w="1036"/>
            <w:vAlign w:val="top"/>
          </w:tcPr>
          <w:p>
            <w:pPr>
              <w:spacing w:after="40" w:before="0" w:line="259" w:lineRule="auto"/>
            </w:pPr>
            <w:r>
              <w:rPr>
                <w:rFonts w:ascii="Calibri" w:hAnsi="Calibri"/>
                <w:b w:val="0"/>
                <w:i w:val="0"/>
                <w:color w:val="212121"/>
                <w:sz w:val="16"/>
              </w:rPr>
              <w:t>All NS patients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Scrotal/vulval edema in severe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Blood pressure</w:t>
            </w:r>
          </w:p>
        </w:tc>
        <w:tc>
          <w:tcPr>
            <w:tcW w:type="dxa" w:w="979"/>
            <w:vAlign w:val="top"/>
          </w:tcPr>
          <w:p>
            <w:pPr>
              <w:spacing w:after="40" w:before="0" w:line="259" w:lineRule="auto"/>
            </w:pPr>
            <w:r>
              <w:rPr>
                <w:rFonts w:ascii="Calibri" w:hAnsi="Calibri"/>
                <w:b w:val="0"/>
                <w:i w:val="0"/>
                <w:color w:val="212121"/>
                <w:sz w:val="16"/>
              </w:rPr>
              <w:t>BP (age-adjusted in children)</w:t>
            </w:r>
          </w:p>
        </w:tc>
        <w:tc>
          <w:tcPr>
            <w:tcW w:type="dxa" w:w="950"/>
            <w:vAlign w:val="top"/>
          </w:tcPr>
          <w:p>
            <w:pPr>
              <w:spacing w:after="40" w:before="0" w:line="259" w:lineRule="auto"/>
            </w:pPr>
            <w:r>
              <w:rPr>
                <w:rFonts w:ascii="Calibri" w:hAnsi="Calibri"/>
                <w:b w:val="0"/>
                <w:i w:val="0"/>
                <w:color w:val="212121"/>
                <w:sz w:val="16"/>
              </w:rPr>
              <w:t>Normotensive</w:t>
            </w:r>
          </w:p>
        </w:tc>
        <w:tc>
          <w:tcPr>
            <w:tcW w:type="dxa" w:w="950"/>
            <w:vAlign w:val="top"/>
          </w:tcPr>
          <w:p>
            <w:pPr>
              <w:spacing w:after="40" w:before="0" w:line="259" w:lineRule="auto"/>
            </w:pPr>
            <w:r>
              <w:rPr>
                <w:rFonts w:ascii="Calibri" w:hAnsi="Calibri"/>
                <w:b w:val="0"/>
                <w:i w:val="0"/>
                <w:color w:val="212121"/>
                <w:sz w:val="16"/>
              </w:rPr>
              <w:t>Hypertension</w:t>
            </w:r>
          </w:p>
        </w:tc>
        <w:tc>
          <w:tcPr>
            <w:tcW w:type="dxa" w:w="1036"/>
            <w:vAlign w:val="top"/>
          </w:tcPr>
          <w:p>
            <w:pPr>
              <w:spacing w:after="40" w:before="0" w:line="259" w:lineRule="auto"/>
            </w:pPr>
            <w:r>
              <w:rPr>
                <w:rFonts w:ascii="Calibri" w:hAnsi="Calibri"/>
                <w:b w:val="0"/>
                <w:i w:val="0"/>
                <w:color w:val="212121"/>
                <w:sz w:val="16"/>
              </w:rPr>
              <w:t>More frequent with FSGS and secondary NS; affects therapy</w:t>
            </w:r>
          </w:p>
        </w:tc>
        <w:tc>
          <w:tcPr>
            <w:tcW w:type="dxa" w:w="1036"/>
            <w:vAlign w:val="top"/>
          </w:tcPr>
          <w:p>
            <w:pPr>
              <w:spacing w:after="40" w:before="0" w:line="259" w:lineRule="auto"/>
            </w:pPr>
            <w:r>
              <w:rPr>
                <w:rFonts w:ascii="Calibri" w:hAnsi="Calibri"/>
                <w:b w:val="0"/>
                <w:i w:val="0"/>
                <w:color w:val="212121"/>
                <w:sz w:val="16"/>
              </w:rPr>
              <w:t>FSGS, secondary NS, adults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ACEi/ARB and diuretic 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Complication screen</w:t>
            </w:r>
          </w:p>
        </w:tc>
        <w:tc>
          <w:tcPr>
            <w:tcW w:type="dxa" w:w="979"/>
            <w:vAlign w:val="top"/>
          </w:tcPr>
          <w:p>
            <w:pPr>
              <w:spacing w:after="40" w:before="0" w:line="259" w:lineRule="auto"/>
            </w:pPr>
            <w:r>
              <w:rPr>
                <w:rFonts w:ascii="Calibri" w:hAnsi="Calibri"/>
                <w:b w:val="0"/>
                <w:i w:val="0"/>
                <w:color w:val="212121"/>
                <w:sz w:val="16"/>
              </w:rPr>
              <w:t>Signs of infection or thrombosis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Abdominal tenderness (peritonitis), cellulitis, unilateral calf swelling (DVT), breathlessness (PE)</w:t>
            </w:r>
          </w:p>
        </w:tc>
        <w:tc>
          <w:tcPr>
            <w:tcW w:type="dxa" w:w="1036"/>
            <w:vAlign w:val="top"/>
          </w:tcPr>
          <w:p>
            <w:pPr>
              <w:spacing w:after="40" w:before="0" w:line="259" w:lineRule="auto"/>
            </w:pPr>
            <w:r>
              <w:rPr>
                <w:rFonts w:ascii="Calibri" w:hAnsi="Calibri"/>
                <w:b w:val="0"/>
                <w:i w:val="0"/>
                <w:color w:val="212121"/>
                <w:sz w:val="16"/>
              </w:rPr>
              <w:t>Detects the major acute complications early</w:t>
            </w:r>
          </w:p>
        </w:tc>
        <w:tc>
          <w:tcPr>
            <w:tcW w:type="dxa" w:w="1036"/>
            <w:vAlign w:val="top"/>
          </w:tcPr>
          <w:p>
            <w:pPr>
              <w:spacing w:after="40" w:before="0" w:line="259" w:lineRule="auto"/>
            </w:pPr>
            <w:r>
              <w:rPr>
                <w:rFonts w:ascii="Calibri" w:hAnsi="Calibri"/>
                <w:b w:val="0"/>
                <w:i w:val="0"/>
                <w:color w:val="212121"/>
                <w:sz w:val="16"/>
              </w:rPr>
              <w:t>Hospitalized, severely hypoalbuminemic patients</w:t>
            </w:r>
          </w:p>
        </w:tc>
        <w:tc>
          <w:tcPr>
            <w:tcW w:type="dxa" w:w="720"/>
            <w:vAlign w:val="top"/>
          </w:tcPr>
          <w:p>
            <w:pPr>
              <w:spacing w:after="40" w:before="0" w:line="259" w:lineRule="auto"/>
            </w:pPr>
            <w:r>
              <w:rPr>
                <w:rFonts w:ascii="Calibri" w:hAnsi="Calibri"/>
                <w:b w:val="0"/>
                <w:i w:val="0"/>
                <w:color w:val="212121"/>
                <w:sz w:val="16"/>
              </w:rPr>
              <w:t>Hygiene;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Low threshold for imaging/cultures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Growth and steroid-effect assessment</w:t>
            </w:r>
          </w:p>
        </w:tc>
        <w:tc>
          <w:tcPr>
            <w:tcW w:type="dxa" w:w="979"/>
            <w:vAlign w:val="top"/>
          </w:tcPr>
          <w:p>
            <w:pPr>
              <w:spacing w:after="40" w:before="0" w:line="259" w:lineRule="auto"/>
            </w:pPr>
            <w:r>
              <w:rPr>
                <w:rFonts w:ascii="Calibri" w:hAnsi="Calibri"/>
                <w:b w:val="0"/>
                <w:i w:val="0"/>
                <w:color w:val="212121"/>
                <w:sz w:val="16"/>
              </w:rPr>
              <w:t>Height/weight, Cushingoid features</w:t>
            </w:r>
          </w:p>
        </w:tc>
        <w:tc>
          <w:tcPr>
            <w:tcW w:type="dxa" w:w="950"/>
            <w:vAlign w:val="top"/>
          </w:tcPr>
          <w:p>
            <w:pPr>
              <w:spacing w:after="40" w:before="0" w:line="259" w:lineRule="auto"/>
            </w:pPr>
            <w:r>
              <w:rPr>
                <w:rFonts w:ascii="Calibri" w:hAnsi="Calibri"/>
                <w:b w:val="0"/>
                <w:i w:val="0"/>
                <w:color w:val="212121"/>
                <w:sz w:val="16"/>
              </w:rPr>
              <w:t>Normal growth; no steroid stigmata</w:t>
            </w:r>
          </w:p>
        </w:tc>
        <w:tc>
          <w:tcPr>
            <w:tcW w:type="dxa" w:w="950"/>
            <w:vAlign w:val="top"/>
          </w:tcPr>
          <w:p>
            <w:pPr>
              <w:spacing w:after="40" w:before="0" w:line="259" w:lineRule="auto"/>
            </w:pPr>
            <w:r>
              <w:rPr>
                <w:rFonts w:ascii="Calibri" w:hAnsi="Calibri"/>
                <w:b w:val="0"/>
                <w:i w:val="0"/>
                <w:color w:val="212121"/>
                <w:sz w:val="16"/>
              </w:rPr>
              <w:t>Growth faltering, cushingoid facies, striae</w:t>
            </w:r>
          </w:p>
        </w:tc>
        <w:tc>
          <w:tcPr>
            <w:tcW w:type="dxa" w:w="1036"/>
            <w:vAlign w:val="top"/>
          </w:tcPr>
          <w:p>
            <w:pPr>
              <w:spacing w:after="40" w:before="0" w:line="259" w:lineRule="auto"/>
            </w:pPr>
            <w:r>
              <w:rPr>
                <w:rFonts w:ascii="Calibri" w:hAnsi="Calibri"/>
                <w:b w:val="0"/>
                <w:i w:val="0"/>
                <w:color w:val="212121"/>
                <w:sz w:val="16"/>
              </w:rPr>
              <w:t>Monitors chronic disease and corticosteroid toxicity in children</w:t>
            </w:r>
          </w:p>
        </w:tc>
        <w:tc>
          <w:tcPr>
            <w:tcW w:type="dxa" w:w="1036"/>
            <w:vAlign w:val="top"/>
          </w:tcPr>
          <w:p>
            <w:pPr>
              <w:spacing w:after="40" w:before="0" w:line="259" w:lineRule="auto"/>
            </w:pPr>
            <w:r>
              <w:rPr>
                <w:rFonts w:ascii="Calibri" w:hAnsi="Calibri"/>
                <w:b w:val="0"/>
                <w:i w:val="0"/>
                <w:color w:val="212121"/>
                <w:sz w:val="16"/>
              </w:rPr>
              <w:t>Children on long-term steroids</w:t>
            </w:r>
          </w:p>
        </w:tc>
        <w:tc>
          <w:tcPr>
            <w:tcW w:type="dxa" w:w="720"/>
            <w:vAlign w:val="top"/>
          </w:tcPr>
          <w:p>
            <w:pPr>
              <w:spacing w:after="40" w:before="0" w:line="259" w:lineRule="auto"/>
            </w:pPr>
            <w:r>
              <w:rPr>
                <w:rFonts w:ascii="Calibri" w:hAnsi="Calibri"/>
                <w:b w:val="0"/>
                <w:i w:val="0"/>
                <w:color w:val="212121"/>
                <w:sz w:val="16"/>
              </w:rPr>
              <w:t>Sleep;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Plot on growth charts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Periorbital / facial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Puffy eyes and face, characteristically worse on waking - often the first sign in children.</w:t>
            </w:r>
          </w:p>
        </w:tc>
      </w:tr>
      <w:tr>
        <w:trPr>
          <w:cantSplit/>
        </w:trPr>
        <w:tc>
          <w:tcPr>
            <w:tcW w:type="dxa" w:w="2304"/>
            <w:vAlign w:val="top"/>
          </w:tcPr>
          <w:p>
            <w:pPr>
              <w:spacing w:after="40" w:before="0" w:line="259" w:lineRule="auto"/>
            </w:pPr>
            <w:r>
              <w:rPr>
                <w:rFonts w:ascii="Calibri" w:hAnsi="Calibri"/>
                <w:b/>
                <w:i w:val="0"/>
                <w:color w:val="212121"/>
                <w:sz w:val="19"/>
              </w:rPr>
              <w:t>Frothy / foamy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foam reflects heavy proteinuria.</w:t>
            </w:r>
          </w:p>
        </w:tc>
      </w:tr>
      <w:tr>
        <w:trPr>
          <w:cantSplit/>
        </w:trPr>
        <w:tc>
          <w:tcPr>
            <w:tcW w:type="dxa" w:w="2304"/>
            <w:vAlign w:val="top"/>
          </w:tcPr>
          <w:p>
            <w:pPr>
              <w:spacing w:after="40" w:before="0" w:line="259" w:lineRule="auto"/>
            </w:pPr>
            <w:r>
              <w:rPr>
                <w:rFonts w:ascii="Calibri" w:hAnsi="Calibri"/>
                <w:b/>
                <w:i w:val="0"/>
                <w:color w:val="212121"/>
                <w:sz w:val="19"/>
              </w:rPr>
              <w:t>Generalized / pedal edema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Dependent pitting edema of legs and ankles worsening through the day.</w:t>
            </w:r>
          </w:p>
        </w:tc>
      </w:tr>
      <w:tr>
        <w:trPr>
          <w:cantSplit/>
        </w:trPr>
        <w:tc>
          <w:tcPr>
            <w:tcW w:type="dxa" w:w="2304"/>
            <w:vAlign w:val="top"/>
          </w:tcPr>
          <w:p>
            <w:pPr>
              <w:spacing w:after="40" w:before="0" w:line="259" w:lineRule="auto"/>
            </w:pPr>
            <w:r>
              <w:rPr>
                <w:rFonts w:ascii="Calibri" w:hAnsi="Calibri"/>
                <w:b/>
                <w:i w:val="0"/>
                <w:color w:val="212121"/>
                <w:sz w:val="19"/>
              </w:rPr>
              <w:t>Weight gain (fluid)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Rapid gain from sodium and water retention rather than fat.</w:t>
            </w:r>
          </w:p>
        </w:tc>
      </w:tr>
      <w:tr>
        <w:trPr>
          <w:cantSplit/>
        </w:trPr>
        <w:tc>
          <w:tcPr>
            <w:tcW w:type="dxa" w:w="2304"/>
            <w:vAlign w:val="top"/>
          </w:tcPr>
          <w:p>
            <w:pPr>
              <w:spacing w:after="40" w:before="0" w:line="259" w:lineRule="auto"/>
            </w:pPr>
            <w:r>
              <w:rPr>
                <w:rFonts w:ascii="Calibri" w:hAnsi="Calibri"/>
                <w:b/>
                <w:i w:val="0"/>
                <w:color w:val="212121"/>
                <w:sz w:val="19"/>
              </w:rPr>
              <w:t>Abdominal distension (ascites)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Fluid accumulation in the peritoneal cavity; may cause discomfort and early satiety.</w:t>
            </w:r>
          </w:p>
        </w:tc>
      </w:tr>
      <w:tr>
        <w:trPr>
          <w:cantSplit/>
        </w:trPr>
        <w:tc>
          <w:tcPr>
            <w:tcW w:type="dxa" w:w="2304"/>
            <w:vAlign w:val="top"/>
          </w:tcPr>
          <w:p>
            <w:pPr>
              <w:spacing w:after="40" w:before="0" w:line="259" w:lineRule="auto"/>
            </w:pPr>
            <w:r>
              <w:rPr>
                <w:rFonts w:ascii="Calibri" w:hAnsi="Calibri"/>
                <w:b/>
                <w:i w:val="0"/>
                <w:color w:val="212121"/>
                <w:sz w:val="19"/>
              </w:rPr>
              <w:t>Fatigue and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tiredness related to protein loss and fluid shifts.</w:t>
            </w:r>
          </w:p>
        </w:tc>
      </w:tr>
      <w:tr>
        <w:trPr>
          <w:cantSplit/>
        </w:trPr>
        <w:tc>
          <w:tcPr>
            <w:tcW w:type="dxa" w:w="2304"/>
            <w:vAlign w:val="top"/>
          </w:tcPr>
          <w:p>
            <w:pPr>
              <w:spacing w:after="40" w:before="0" w:line="259" w:lineRule="auto"/>
            </w:pPr>
            <w:r>
              <w:rPr>
                <w:rFonts w:ascii="Calibri" w:hAnsi="Calibri"/>
                <w:b/>
                <w:i w:val="0"/>
                <w:color w:val="212121"/>
                <w:sz w:val="19"/>
              </w:rPr>
              <w:t>Loss of appetite / 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Partly due to gut-wall edema and abdominal fullness.</w:t>
            </w:r>
          </w:p>
        </w:tc>
      </w:tr>
      <w:tr>
        <w:trPr>
          <w:cantSplit/>
        </w:trPr>
        <w:tc>
          <w:tcPr>
            <w:tcW w:type="dxa" w:w="2304"/>
            <w:vAlign w:val="top"/>
          </w:tcPr>
          <w:p>
            <w:pPr>
              <w:spacing w:after="40" w:before="0" w:line="259" w:lineRule="auto"/>
            </w:pPr>
            <w:r>
              <w:rPr>
                <w:rFonts w:ascii="Calibri" w:hAnsi="Calibri"/>
                <w:b/>
                <w:i w:val="0"/>
                <w:color w:val="212121"/>
                <w:sz w:val="19"/>
              </w:rPr>
              <w:t>Reduced urine output (oliguria)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intravascular volume depletion or acute kidney injury.</w:t>
            </w:r>
          </w:p>
        </w:tc>
      </w:tr>
      <w:tr>
        <w:trPr>
          <w:cantSplit/>
        </w:trPr>
        <w:tc>
          <w:tcPr>
            <w:tcW w:type="dxa" w:w="2304"/>
            <w:vAlign w:val="top"/>
          </w:tcPr>
          <w:p>
            <w:pPr>
              <w:spacing w:after="40" w:before="0" w:line="259" w:lineRule="auto"/>
            </w:pPr>
            <w:r>
              <w:rPr>
                <w:rFonts w:ascii="Calibri" w:hAnsi="Calibri"/>
                <w:b/>
                <w:i w:val="0"/>
                <w:color w:val="212121"/>
                <w:sz w:val="19"/>
              </w:rPr>
              <w:t>Breathlessness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pleural effusion, ascites splinting the diaphragm, or pulmonary embolism.</w:t>
            </w:r>
          </w:p>
        </w:tc>
      </w:tr>
      <w:tr>
        <w:trPr>
          <w:cantSplit/>
        </w:trPr>
        <w:tc>
          <w:tcPr>
            <w:tcW w:type="dxa" w:w="2304"/>
            <w:vAlign w:val="top"/>
          </w:tcPr>
          <w:p>
            <w:pPr>
              <w:spacing w:after="40" w:before="0" w:line="259" w:lineRule="auto"/>
            </w:pPr>
            <w:r>
              <w:rPr>
                <w:rFonts w:ascii="Calibri" w:hAnsi="Calibri"/>
                <w:b/>
                <w:i w:val="0"/>
                <w:color w:val="212121"/>
                <w:sz w:val="19"/>
              </w:rPr>
              <w:t>Scrotal or genital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Dependent edema of the genitalia in severe anasarca.</w:t>
            </w:r>
          </w:p>
        </w:tc>
      </w:tr>
      <w:tr>
        <w:trPr>
          <w:cantSplit/>
        </w:trPr>
        <w:tc>
          <w:tcPr>
            <w:tcW w:type="dxa" w:w="2304"/>
            <w:vAlign w:val="top"/>
          </w:tcPr>
          <w:p>
            <w:pPr>
              <w:spacing w:after="40" w:before="0" w:line="259" w:lineRule="auto"/>
            </w:pPr>
            <w:r>
              <w:rPr>
                <w:rFonts w:ascii="Calibri" w:hAnsi="Calibri"/>
                <w:b/>
                <w:i w:val="0"/>
                <w:color w:val="212121"/>
                <w:sz w:val="19"/>
              </w:rPr>
              <w:t>Abdominal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signal spontaneous bacterial peritonitis, hypovolemia or mesenteric edema - a red flag.</w:t>
            </w:r>
          </w:p>
        </w:tc>
      </w:tr>
      <w:tr>
        <w:trPr>
          <w:cantSplit/>
        </w:trPr>
        <w:tc>
          <w:tcPr>
            <w:tcW w:type="dxa" w:w="2304"/>
            <w:vAlign w:val="top"/>
          </w:tcPr>
          <w:p>
            <w:pPr>
              <w:spacing w:after="40" w:before="0" w:line="259" w:lineRule="auto"/>
            </w:pPr>
            <w:r>
              <w:rPr>
                <w:rFonts w:ascii="Calibri" w:hAnsi="Calibri"/>
                <w:b/>
                <w:i w:val="0"/>
                <w:color w:val="212121"/>
                <w:sz w:val="19"/>
              </w:rPr>
              <w:t>Diarrhea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Bowel-wall edema can cause loose stools and malabsorption.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Pitting periorbital and pedal 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Hallmark examination finding of fluid overload.</w:t>
            </w:r>
          </w:p>
        </w:tc>
      </w:tr>
      <w:tr>
        <w:trPr>
          <w:cantSplit/>
        </w:trPr>
        <w:tc>
          <w:tcPr>
            <w:tcW w:type="dxa" w:w="3456"/>
            <w:vAlign w:val="top"/>
          </w:tcPr>
          <w:p>
            <w:pPr>
              <w:spacing w:after="40" w:before="0" w:line="259" w:lineRule="auto"/>
            </w:pPr>
            <w:r>
              <w:rPr>
                <w:rFonts w:ascii="Calibri" w:hAnsi="Calibri"/>
                <w:b/>
                <w:i w:val="0"/>
                <w:color w:val="212121"/>
                <w:sz w:val="19"/>
              </w:rPr>
              <w:t>Ascites (shifting dullness, fluid thrill)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Peritoneal fluid on abdominal examination.</w:t>
            </w:r>
          </w:p>
        </w:tc>
      </w:tr>
      <w:tr>
        <w:trPr>
          <w:cantSplit/>
        </w:trPr>
        <w:tc>
          <w:tcPr>
            <w:tcW w:type="dxa" w:w="3456"/>
            <w:vAlign w:val="top"/>
          </w:tcPr>
          <w:p>
            <w:pPr>
              <w:spacing w:after="40" w:before="0" w:line="259" w:lineRule="auto"/>
            </w:pPr>
            <w:r>
              <w:rPr>
                <w:rFonts w:ascii="Calibri" w:hAnsi="Calibri"/>
                <w:b/>
                <w:i w:val="0"/>
                <w:color w:val="212121"/>
                <w:sz w:val="19"/>
              </w:rPr>
              <w:t>Frothy urine on inspection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foaming due to protein in the urine.</w:t>
            </w:r>
          </w:p>
        </w:tc>
      </w:tr>
      <w:tr>
        <w:trPr>
          <w:cantSplit/>
        </w:trPr>
        <w:tc>
          <w:tcPr>
            <w:tcW w:type="dxa" w:w="3456"/>
            <w:vAlign w:val="top"/>
          </w:tcPr>
          <w:p>
            <w:pPr>
              <w:spacing w:after="40" w:before="0" w:line="259" w:lineRule="auto"/>
            </w:pPr>
            <w:r>
              <w:rPr>
                <w:rFonts w:ascii="Calibri" w:hAnsi="Calibri"/>
                <w:b/>
                <w:i w:val="0"/>
                <w:color w:val="212121"/>
                <w:sz w:val="19"/>
              </w:rPr>
              <w:t>Pleural effusion (reduced basal breath sounds, dullness)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Transudative effusion from hypoalbuminemia.</w:t>
            </w:r>
          </w:p>
        </w:tc>
      </w:tr>
      <w:tr>
        <w:trPr>
          <w:cantSplit/>
        </w:trPr>
        <w:tc>
          <w:tcPr>
            <w:tcW w:type="dxa" w:w="3456"/>
            <w:vAlign w:val="top"/>
          </w:tcPr>
          <w:p>
            <w:pPr>
              <w:spacing w:after="40" w:before="0" w:line="259" w:lineRule="auto"/>
            </w:pPr>
            <w:r>
              <w:rPr>
                <w:rFonts w:ascii="Calibri" w:hAnsi="Calibri"/>
                <w:b/>
                <w:i w:val="0"/>
                <w:color w:val="212121"/>
                <w:sz w:val="19"/>
              </w:rPr>
              <w:t>Hypertension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More frequent in FSGS and secondary nephrotic syndrome.</w:t>
            </w:r>
          </w:p>
        </w:tc>
      </w:tr>
      <w:tr>
        <w:trPr>
          <w:cantSplit/>
        </w:trPr>
        <w:tc>
          <w:tcPr>
            <w:tcW w:type="dxa" w:w="3456"/>
            <w:vAlign w:val="top"/>
          </w:tcPr>
          <w:p>
            <w:pPr>
              <w:spacing w:after="40" w:before="0" w:line="259" w:lineRule="auto"/>
            </w:pPr>
            <w:r>
              <w:rPr>
                <w:rFonts w:ascii="Calibri" w:hAnsi="Calibri"/>
                <w:b/>
                <w:i w:val="0"/>
                <w:color w:val="212121"/>
                <w:sz w:val="19"/>
              </w:rPr>
              <w:t>Signs of infection (cellulitis, peritoneal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immunodeficiency from urinary immunoglobulin loss.</w:t>
            </w:r>
          </w:p>
        </w:tc>
      </w:tr>
      <w:tr>
        <w:trPr>
          <w:cantSplit/>
        </w:trPr>
        <w:tc>
          <w:tcPr>
            <w:tcW w:type="dxa" w:w="3456"/>
            <w:vAlign w:val="top"/>
          </w:tcPr>
          <w:p>
            <w:pPr>
              <w:spacing w:after="40" w:before="0" w:line="259" w:lineRule="auto"/>
            </w:pPr>
            <w:r>
              <w:rPr>
                <w:rFonts w:ascii="Calibri" w:hAnsi="Calibri"/>
                <w:b/>
                <w:i w:val="0"/>
                <w:color w:val="212121"/>
                <w:sz w:val="19"/>
              </w:rPr>
              <w:t>Signs of deep vein thrombosis (unilateral calf swelling/tenderness)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Manifestation of the nephrotic hypercoagulable state.</w:t>
            </w:r>
          </w:p>
        </w:tc>
      </w:tr>
      <w:tr>
        <w:trPr>
          <w:cantSplit/>
        </w:trPr>
        <w:tc>
          <w:tcPr>
            <w:tcW w:type="dxa" w:w="3456"/>
            <w:vAlign w:val="top"/>
          </w:tcPr>
          <w:p>
            <w:pPr>
              <w:spacing w:after="40" w:before="0" w:line="259" w:lineRule="auto"/>
            </w:pPr>
            <w:r>
              <w:rPr>
                <w:rFonts w:ascii="Calibri" w:hAnsi="Calibri"/>
                <w:b/>
                <w:i w:val="0"/>
                <w:color w:val="212121"/>
                <w:sz w:val="19"/>
              </w:rPr>
              <w:t>Pallor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dilutional or iron/transferrin-loss anemia.</w:t>
            </w:r>
          </w:p>
        </w:tc>
      </w:tr>
      <w:tr>
        <w:trPr>
          <w:cantSplit/>
        </w:trPr>
        <w:tc>
          <w:tcPr>
            <w:tcW w:type="dxa" w:w="3456"/>
            <w:vAlign w:val="top"/>
          </w:tcPr>
          <w:p>
            <w:pPr>
              <w:spacing w:after="40" w:before="0" w:line="259" w:lineRule="auto"/>
            </w:pPr>
            <w:r>
              <w:rPr>
                <w:rFonts w:ascii="Calibri" w:hAnsi="Calibri"/>
                <w:b/>
                <w:i w:val="0"/>
                <w:color w:val="212121"/>
                <w:sz w:val="19"/>
              </w:rPr>
              <w:t>Muehrcke's lines / leukonychia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Paired white transverse nail bands associated with chronic hypoalbuminemia.</w:t>
            </w:r>
          </w:p>
        </w:tc>
      </w:tr>
      <w:tr>
        <w:trPr>
          <w:cantSplit/>
        </w:trPr>
        <w:tc>
          <w:tcPr>
            <w:tcW w:type="dxa" w:w="3456"/>
            <w:vAlign w:val="top"/>
          </w:tcPr>
          <w:p>
            <w:pPr>
              <w:spacing w:after="40" w:before="0" w:line="259" w:lineRule="auto"/>
            </w:pPr>
            <w:r>
              <w:rPr>
                <w:rFonts w:ascii="Calibri" w:hAnsi="Calibri"/>
                <w:b/>
                <w:i w:val="0"/>
                <w:color w:val="212121"/>
                <w:sz w:val="19"/>
              </w:rPr>
              <w:t>Xanthelasma / lipid deposits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Cutaneous marker of sustained nephrotic hyperlipidemia.</w:t>
            </w:r>
          </w:p>
        </w:tc>
      </w:tr>
      <w:tr>
        <w:trPr>
          <w:cantSplit/>
        </w:trPr>
        <w:tc>
          <w:tcPr>
            <w:tcW w:type="dxa" w:w="3456"/>
            <w:vAlign w:val="top"/>
          </w:tcPr>
          <w:p>
            <w:pPr>
              <w:spacing w:after="40" w:before="0" w:line="259" w:lineRule="auto"/>
            </w:pPr>
            <w:r>
              <w:rPr>
                <w:rFonts w:ascii="Calibri" w:hAnsi="Calibri"/>
                <w:b/>
                <w:i w:val="0"/>
                <w:color w:val="212121"/>
                <w:sz w:val="19"/>
              </w:rPr>
              <w:t>Growth retardation / cushingoid features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 children with chronic disease and long-term corticosteroid therapy.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Massive edema and anasarca (periorbital, pedal, ascites, pleural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Intravascular volume depletion and hypovolemia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 (from hypovolemia, over-diuresis or the underlying lesion)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Hypercoagulable state with venous thromboembolism - deep vein thrombosis, pulmonary embolism and renal vein thrombosis</w:t>
            </w:r>
          </w:p>
        </w:tc>
        <w:tc>
          <w:tcPr>
            <w:tcW w:type="dxa" w:w="2980"/>
            <w:vAlign w:val="top"/>
          </w:tcPr>
          <w:p>
            <w:pPr>
              <w:spacing w:after="40" w:before="0" w:line="259" w:lineRule="auto"/>
            </w:pPr>
            <w:r>
              <w:rPr>
                <w:rFonts w:ascii="Calibri" w:hAnsi="Calibri"/>
                <w:b w:val="0"/>
                <w:i w:val="0"/>
                <w:color w:val="212121"/>
                <w:sz w:val="19"/>
              </w:rPr>
              <w:t>Direct consequences of massive urinary protein loss, hypoalbuminemia and loss of regulatory proteins (e.g., antithrombin III)</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Bacterial infections - spontaneous bacterial peritonitis, cellulitis, pneumonia and pneumococcal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Dyslipidemia with accelerated atherosclerosis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Protein-energy malnutrition and muscle wasting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Anemia and iron deficiency (urinary loss of transferrin and erythropoietin)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Hypothyroidism from urinary loss of thyroxine-binding globulin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 D deficiency and metabolic bone disease (loss of vitamin-D-binding protein)</w:t>
            </w:r>
          </w:p>
        </w:tc>
        <w:tc>
          <w:tcPr>
            <w:tcW w:type="dxa" w:w="2980"/>
            <w:vAlign w:val="top"/>
          </w:tcPr>
          <w:p>
            <w:pPr>
              <w:spacing w:after="40" w:before="0" w:line="259" w:lineRule="auto"/>
            </w:pPr>
            <w:r>
              <w:rPr>
                <w:rFonts w:ascii="Calibri" w:hAnsi="Calibri"/>
                <w:b w:val="0"/>
                <w:i w:val="0"/>
                <w:color w:val="212121"/>
                <w:sz w:val="19"/>
              </w:rPr>
              <w:t>Arise from urinary loss of immunoglobulins, binding proteins and lipids plus immunosuppressive therapy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chronic kidney disease and end-stage kidney disease (especially FSGS and steroid-resistant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cardiovascular disease from chronic dyslipidemia and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Corticosteroid and immunosuppression toxicity - growth failure, cataract, osteoporosis, obesity, cushingoid features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Frequently relapsing, steroid-dependent or refractory disease with cumulative morbidity</w:t>
            </w:r>
          </w:p>
        </w:tc>
        <w:tc>
          <w:tcPr>
            <w:tcW w:type="dxa" w:w="2980"/>
            <w:vAlign w:val="top"/>
          </w:tcPr>
          <w:p>
            <w:pPr>
              <w:spacing w:after="40" w:before="0" w:line="259" w:lineRule="auto"/>
            </w:pPr>
            <w:r>
              <w:rPr>
                <w:rFonts w:ascii="Calibri" w:hAnsi="Calibri"/>
                <w:b w:val="0"/>
                <w:i w:val="0"/>
                <w:color w:val="212121"/>
                <w:sz w:val="19"/>
              </w:rPr>
              <w:t>Irreversible, disabling outcomes of long-standing, resistant or heavily treated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kidney disease / end-stage kidney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Steroid-resistant disease and FSGS progress to CKD and eventually dialysis or transplantation.</w:t>
            </w:r>
          </w:p>
        </w:tc>
      </w:tr>
      <w:tr>
        <w:trPr>
          <w:cantSplit/>
        </w:trPr>
        <w:tc>
          <w:tcPr>
            <w:tcW w:type="dxa" w:w="2232"/>
            <w:vAlign w:val="top"/>
          </w:tcPr>
          <w:p>
            <w:pPr>
              <w:spacing w:after="40" w:before="0" w:line="259" w:lineRule="auto"/>
            </w:pPr>
            <w:r>
              <w:rPr>
                <w:rFonts w:ascii="Calibri" w:hAnsi="Calibri"/>
                <w:b/>
                <w:i w:val="0"/>
                <w:color w:val="212121"/>
                <w:sz w:val="19"/>
              </w:rPr>
              <w:t>Venous thromboembolism (DVT, PE, renal vein thrombosis)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Urinary loss of antithrombin III and other regulators creates a hypercoagulable state; risk rises sharply with hypoalbuminemia.</w:t>
            </w:r>
          </w:p>
          <w:p>
            <w:pPr>
              <w:spacing w:after="40" w:before="0" w:line="259" w:lineRule="auto"/>
            </w:pPr>
            <w:r>
              <w:rPr>
                <w:rFonts w:ascii="Calibri" w:hAnsi="Calibri"/>
                <w:b/>
                <w:i w:val="0"/>
                <w:color w:val="212121"/>
                <w:sz w:val="19"/>
              </w:rPr>
              <w:t>~2-4%</w:t>
            </w:r>
          </w:p>
        </w:tc>
      </w:tr>
      <w:tr>
        <w:trPr>
          <w:cantSplit/>
        </w:trPr>
        <w:tc>
          <w:tcPr>
            <w:tcW w:type="dxa" w:w="2232"/>
            <w:vAlign w:val="top"/>
          </w:tcPr>
          <w:p>
            <w:pPr>
              <w:spacing w:after="40" w:before="0" w:line="259" w:lineRule="auto"/>
            </w:pPr>
            <w:r>
              <w:rPr>
                <w:rFonts w:ascii="Calibri" w:hAnsi="Calibri"/>
                <w:b/>
                <w:i w:val="0"/>
                <w:color w:val="212121"/>
                <w:sz w:val="19"/>
              </w:rPr>
              <w:t>Bacterial infections (peritonitis, cellulitis, pneumococcal sepsis)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Urinary immunoglobulin loss plus immunosuppression predisposes to serious infection, historically a major cause of death.</w:t>
            </w:r>
          </w:p>
          <w:p>
            <w:pPr>
              <w:spacing w:after="40" w:before="0" w:line="259" w:lineRule="auto"/>
            </w:pPr>
            <w:r>
              <w:rPr>
                <w:rFonts w:ascii="Calibri" w:hAnsi="Calibri"/>
                <w:b/>
                <w:i w:val="0"/>
                <w:color w:val="212121"/>
                <w:sz w:val="19"/>
              </w:rPr>
              <w:t>Up to 20%</w:t>
            </w:r>
          </w:p>
        </w:tc>
      </w:tr>
      <w:tr>
        <w:trPr>
          <w:cantSplit/>
        </w:trPr>
        <w:tc>
          <w:tcPr>
            <w:tcW w:type="dxa" w:w="2232"/>
            <w:vAlign w:val="top"/>
          </w:tcPr>
          <w:p>
            <w:pPr>
              <w:spacing w:after="40" w:before="0" w:line="259" w:lineRule="auto"/>
            </w:pPr>
            <w:r>
              <w:rPr>
                <w:rFonts w:ascii="Calibri" w:hAnsi="Calibri"/>
                <w:b/>
                <w:i w:val="0"/>
                <w:color w:val="212121"/>
                <w:sz w:val="19"/>
              </w:rPr>
              <w:t>Dyslipidemia / hyperlipidemia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Hepatic overproduction and reduced clearance of lipoproteins are intrinsic to the syndrome and drive atherosclerosis.</w:t>
            </w:r>
          </w:p>
        </w:tc>
      </w:tr>
      <w:tr>
        <w:trPr>
          <w:cantSplit/>
        </w:trPr>
        <w:tc>
          <w:tcPr>
            <w:tcW w:type="dxa" w:w="2232"/>
            <w:vAlign w:val="top"/>
          </w:tcPr>
          <w:p>
            <w:pPr>
              <w:spacing w:after="40" w:before="0" w:line="259" w:lineRule="auto"/>
            </w:pPr>
            <w:r>
              <w:rPr>
                <w:rFonts w:ascii="Calibri" w:hAnsi="Calibri"/>
                <w:b/>
                <w:i w:val="0"/>
                <w:color w:val="212121"/>
                <w:sz w:val="19"/>
              </w:rPr>
              <w:t>Acute kidney injury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Results from hypovolemia, aggressive diuresis, sepsis or the underlying glomerular lesion.</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with FSGS and secondary disease; sodium retention and the underlying nephropathy interact bidirectionally.</w:t>
            </w:r>
          </w:p>
        </w:tc>
      </w:tr>
      <w:tr>
        <w:trPr>
          <w:cantSplit/>
        </w:trPr>
        <w:tc>
          <w:tcPr>
            <w:tcW w:type="dxa" w:w="2232"/>
            <w:vAlign w:val="top"/>
          </w:tcPr>
          <w:p>
            <w:pPr>
              <w:spacing w:after="40" w:before="0" w:line="259" w:lineRule="auto"/>
            </w:pPr>
            <w:r>
              <w:rPr>
                <w:rFonts w:ascii="Calibri" w:hAnsi="Calibri"/>
                <w:b/>
                <w:i w:val="0"/>
                <w:color w:val="212121"/>
                <w:sz w:val="19"/>
              </w:rPr>
              <w:t>Type 2 diabetes mellitus (diabetic nephropathy)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Diabetes is the leading secondary cause of adult nephrotic syndrome, and corticosteroids used to treat NS worsen glycemic control.</w:t>
            </w:r>
          </w:p>
        </w:tc>
      </w:tr>
      <w:tr>
        <w:trPr>
          <w:cantSplit/>
        </w:trPr>
        <w:tc>
          <w:tcPr>
            <w:tcW w:type="dxa" w:w="2232"/>
            <w:vAlign w:val="top"/>
          </w:tcPr>
          <w:p>
            <w:pPr>
              <w:spacing w:after="40" w:before="0" w:line="259" w:lineRule="auto"/>
            </w:pPr>
            <w:r>
              <w:rPr>
                <w:rFonts w:ascii="Calibri" w:hAnsi="Calibri"/>
                <w:b/>
                <w:i w:val="0"/>
                <w:color w:val="212121"/>
                <w:sz w:val="19"/>
              </w:rPr>
              <w:t>Systemic lupus erythematosus (lupus nephritis)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secondary immune cause; coexistence mandates immunosuppression and alters monitoring and prognosis.</w:t>
            </w:r>
          </w:p>
          <w:p>
            <w:pPr>
              <w:spacing w:after="40" w:before="0" w:line="259" w:lineRule="auto"/>
            </w:pPr>
            <w:r>
              <w:rPr>
                <w:rFonts w:ascii="Calibri" w:hAnsi="Calibri"/>
                <w:b/>
                <w:i w:val="0"/>
                <w:color w:val="212121"/>
                <w:sz w:val="19"/>
              </w:rPr>
              <w:t>~11%</w:t>
            </w:r>
          </w:p>
        </w:tc>
      </w:tr>
      <w:tr>
        <w:trPr>
          <w:cantSplit/>
        </w:trPr>
        <w:tc>
          <w:tcPr>
            <w:tcW w:type="dxa" w:w="2232"/>
            <w:vAlign w:val="top"/>
          </w:tcPr>
          <w:p>
            <w:pPr>
              <w:spacing w:after="40" w:before="0" w:line="259" w:lineRule="auto"/>
            </w:pPr>
            <w:r>
              <w:rPr>
                <w:rFonts w:ascii="Calibri" w:hAnsi="Calibri"/>
                <w:b/>
                <w:i w:val="0"/>
                <w:color w:val="212121"/>
                <w:sz w:val="19"/>
              </w:rPr>
              <w:t>Cardiovascular disease / accelerated atherosclerosis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dyslipidemia, hypertension and a prothrombotic state raise long-term cardiovascular risk.</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Urinary loss of thyroxine-binding globulin can lower circulating thyroid hormone and unmask or worsen hypothyroidism.</w:t>
            </w:r>
          </w:p>
        </w:tc>
      </w:tr>
      <w:tr>
        <w:trPr>
          <w:cantSplit/>
        </w:trPr>
        <w:tc>
          <w:tcPr>
            <w:tcW w:type="dxa" w:w="2232"/>
            <w:vAlign w:val="top"/>
          </w:tcPr>
          <w:p>
            <w:pPr>
              <w:spacing w:after="40" w:before="0" w:line="259" w:lineRule="auto"/>
            </w:pPr>
            <w:r>
              <w:rPr>
                <w:rFonts w:ascii="Calibri" w:hAnsi="Calibri"/>
                <w:b/>
                <w:i w:val="0"/>
                <w:color w:val="212121"/>
                <w:sz w:val="19"/>
              </w:rPr>
              <w:t>Protein-energy malnutrition</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Sustained urinary protein loss with anorexia leads to muscle wasting despite edema masking weight loss.</w:t>
            </w:r>
          </w:p>
        </w:tc>
      </w:tr>
      <w:tr>
        <w:trPr>
          <w:cantSplit/>
        </w:trPr>
        <w:tc>
          <w:tcPr>
            <w:tcW w:type="dxa" w:w="2232"/>
            <w:vAlign w:val="top"/>
          </w:tcPr>
          <w:p>
            <w:pPr>
              <w:spacing w:after="40" w:before="0" w:line="259" w:lineRule="auto"/>
            </w:pPr>
            <w:r>
              <w:rPr>
                <w:rFonts w:ascii="Calibri" w:hAnsi="Calibri"/>
                <w:b/>
                <w:i w:val="0"/>
                <w:color w:val="212121"/>
                <w:sz w:val="19"/>
              </w:rPr>
              <w:t>Anemia / iron deficiency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Urinary loss of transferrin and erythropoietin-related proteins contributes to anemia.</w:t>
            </w:r>
          </w:p>
        </w:tc>
      </w:tr>
      <w:tr>
        <w:trPr>
          <w:cantSplit/>
        </w:trPr>
        <w:tc>
          <w:tcPr>
            <w:tcW w:type="dxa" w:w="2232"/>
            <w:vAlign w:val="top"/>
          </w:tcPr>
          <w:p>
            <w:pPr>
              <w:spacing w:after="40" w:before="0" w:line="259" w:lineRule="auto"/>
            </w:pPr>
            <w:r>
              <w:rPr>
                <w:rFonts w:ascii="Calibri" w:hAnsi="Calibri"/>
                <w:b/>
                <w:i w:val="0"/>
                <w:color w:val="212121"/>
                <w:sz w:val="19"/>
              </w:rPr>
              <w:t>Vitamin D deficiency and metabolic bone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Loss of vitamin-D-binding protein plus corticosteroid use impairs bone health.</w:t>
            </w:r>
          </w:p>
        </w:tc>
      </w:tr>
      <w:tr>
        <w:trPr>
          <w:cantSplit/>
        </w:trPr>
        <w:tc>
          <w:tcPr>
            <w:tcW w:type="dxa" w:w="2232"/>
            <w:vAlign w:val="top"/>
          </w:tcPr>
          <w:p>
            <w:pPr>
              <w:spacing w:after="40" w:before="0" w:line="259" w:lineRule="auto"/>
            </w:pPr>
            <w:r>
              <w:rPr>
                <w:rFonts w:ascii="Calibri" w:hAnsi="Calibri"/>
                <w:b/>
                <w:i w:val="0"/>
                <w:color w:val="212121"/>
                <w:sz w:val="19"/>
              </w:rPr>
              <w:t>Corticosteroid / immunosuppression-related morbidity</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Growth failure, cataract, osteoporosis, obesity and cushingoid change follow prolonged or repeated therapy.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recognize early relapse - periorbital puffiness on waking, frothy urine, rapid weight gain - and seek care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home urine dipstick monitoring so relapses are caught early, and keep a simple diary of results and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corticosteroid course as prescribed and never stop steroids abruptly; adherence reduces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vaccinations up to date, especially pneumococcal, varicella and influenza, ideally before or between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nephrotoxic drugs such as NSAIDs and unregulated herbal or heavy-metal remedies.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infections early, as they both trigger relapse and cause serious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children with 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relapsing 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Steroid-dependent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secondary NS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danger signs needing urgent care: fever, severe abdominal pain (possible peritonitis), breathlessness, or a painful swollen calf.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purpose of steroid-sparing agents (levamisole, mycophenolate, cyclophosphamide, calcineurin inhibitors, rituximab) and adhere to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for blood pressure, urine protein, kidney function and growth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Carry a summary of diagnosis, biopsy result and current immunosuppression for emergency visits.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Frequently relapsing 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Steroid-resistant 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normal age-appropriate activity once edema is controlled; prolonged bed rest increases thrombosis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early mobilization and leg movement in hospitalized or severely swollen patients to reduce venous stasis.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regular moderate activity to counter corticosteroid-related weight gain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immobilization and dehydration together, which compound the hypercoagulable state.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Hospitalized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Severely hypoalbuminemic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remission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dietary salt (about 1-2 g/day) during active disease and edema to limit fluid retention and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adequate but not excessive protein (around 1.5-2 g/kg/day in children) to offset urinary loss without overload.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fat below ~30% of calories and limit saturated fat, fried and bakery items to control nephrotic dyslipidemia.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fluids during marked edema and monitor daily weight; avoid abrupt over-restriction.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whole grains, pulses, vegetables and fruit; limit processed and high-salt Indian snacks (papad, pickles, namkeen).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hyperlipidemia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NS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active nephrosis, combine salt restriction with prescribed loop diuretics for edema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sufficient calories to prevent protein-energy malnutrition, which edema can mask.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calcium and vitamin D support to protect bone during corticosteroid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potassium and volume status when on diuretics and ACE inhibitors/ARBs.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diuretics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Steroid-treated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NS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ACEi/ARB</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corticosteroids in the morning to reduce steroid-induced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 routine, particularly for children during high-dose steroid phases.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night-time discomfort from edema with positioning and timing of fluids.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corticosteroids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edema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stop smoking to slow proteinuria and progression to chronic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that smoking magnifies the cardiovascular risk already raised by nephrotic dyslipidemia.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children and patients away from second-hand smoke, which adds respiratory-infection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 with 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proteinuric CKD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children with NS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adds hepatotoxic and cardiovascular burden in an already high-risk 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that can interact with immunosuppressive drugs and worsen dyslipidemia.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dyslipidemia</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screen for anxiety and depression linked to a relapsing course and body-image change from edema and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child- and family-centred counselling and peer support to sustain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corticosteroid-related mood swings and irritability and adjust support accordingly.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Connect families with patient-support resources to reduce caregiver burden.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relapsing 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chronic NS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12991771/" TargetMode="External"/><Relationship Id="rId10" Type="http://schemas.openxmlformats.org/officeDocument/2006/relationships/hyperlink" Target="https://indianjnephrol.org/changing-histologic-spectrum-of-adult-nephrotic-syndrome-over-five-decades-in-north-india-a-single-center-experience/" TargetMode="External"/><Relationship Id="rId11" Type="http://schemas.openxmlformats.org/officeDocument/2006/relationships/hyperlink" Target="https://www.frontiersin.org/journals/pediatrics/articles/10.3389/fped.2016.00039/full" TargetMode="External"/><Relationship Id="rId12" Type="http://schemas.openxmlformats.org/officeDocument/2006/relationships/hyperlink" Target="https://academic.oup.com/ndt/article/32/1/157/2931155" TargetMode="External"/><Relationship Id="rId13" Type="http://schemas.openxmlformats.org/officeDocument/2006/relationships/hyperlink" Target="https://indianjnephrol.org/revised-guidelines-for-management-of-steroid-sensitive-nephrotic-syndrome/" TargetMode="External"/><Relationship Id="rId14" Type="http://schemas.openxmlformats.org/officeDocument/2006/relationships/hyperlink" Target="https://healthcare-bulletin.co.uk/article/prevalence-of-cardiovascular-disease-risk-factors-in-childhood-nephrotic-syndrome-in-eastern-india-2223/" TargetMode="External"/><Relationship Id="rId15" Type="http://schemas.openxmlformats.org/officeDocument/2006/relationships/hyperlink" Target="https://www.ncbi.nlm.nih.gov/books/NBK470444/" TargetMode="External"/><Relationship Id="rId16" Type="http://schemas.openxmlformats.org/officeDocument/2006/relationships/hyperlink" Target="https://www.aafp.org/pubs/afp/issues/2016/0315/p47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