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Glomerulonephritis / Nephritic Syndrome</w:t>
      </w:r>
    </w:p>
    <w:p>
      <w:pPr>
        <w:spacing w:before="0" w:after="160"/>
      </w:pPr>
      <w:r>
        <w:rPr>
          <w:rFonts w:ascii="Calibri" w:hAnsi="Calibri"/>
          <w:b/>
          <w:i w:val="0"/>
          <w:color w:val="212121"/>
          <w:sz w:val="22"/>
        </w:rPr>
        <w:t xml:space="preserve">AKA </w:t>
      </w:r>
      <w:r>
        <w:rPr>
          <w:rFonts w:ascii="Calibri" w:hAnsi="Calibri"/>
          <w:b w:val="0"/>
          <w:i w:val="0"/>
          <w:color w:val="212121"/>
          <w:sz w:val="22"/>
        </w:rPr>
        <w:t>i.e., Acute glomerulonephritis (AGN), Acute nephritic syndrome, Nephritis, Bright's disease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Glomerulonephritis (GN) is a group of immune-mediated disorders characterised by inflammation of the glomeruli, the microscopic filtering units of the kidney. Nephritic syndrome is its classic clinical expression, defined by glomerular haematuria (often with dysmorphic red cells and red-cell casts), sub-nephrotic proteinuria, hypertension, oliguria and a rising serum creatinine (azotaemia), frequently accompanied by oedema. The disease spectrum ranges from self-limiting post-infectious forms in children to rapidly progressive (crescentic) disease that can destroy kidney function within days to weeks.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 Indian native-kidney biopsy series, primary glomerulonephritis accounts for roughly two-thirds of all biopsies (about 69% in a large 19-year South Indian series), and chronic glomerulonephritis remains among the leading causes of end-stage kidney disease in the country. Post-infectious glomerulonephritis is still common in Indian children, in whom most acute nephritic syndrome follows a streptococcal skin or throat infection; in one South Indian paediatric series a skin infection preceded 68.9% of cases.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Nephritic syndrome is a clinical diagnosis supported by urinalysis, blood chemistry, complement and serology, and confirmed where needed by kidney biopsy. It is suggested by one or more of the following, especially when they appear together and evolve over days to weeks: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glomerular haematuria - dysmorphic red blood cells and/or red-cell casts on urine microscopy (the hallmark of glomerular inflammation);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sub-nephrotic proteinuria, usually &lt; 3.5 g/day (nephritic range), though some proliferative forms overlap into the nephrotic range;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new-onset hypertension and oedema (periorbital/facial puffiness, pedal oedema) from renal salt and water retention;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reduced urine output (oliguria) with a rising serum creatinine/urea (azotaemia), indicating acute kidney injury;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serology - low serum C3/C4 complement (post-infectious GN, lupus, MPGN), raised ASO/anti-DNase B titres, positive ANA/anti-dsDNA, ANCA (MPO/PR3) or anti-GBM antibodies according to the underlying cause;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kidney biopsy with light microscopy, immunofluorescence and electron microscopy to establish the histological pattern and guide immunosuppressive treatment, particularly when rapidly progressive disease is suspected.</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Glomerulonephritis is classified by clinical course, by primary versus secondary cause, and by histological/immunological pattern on biopsy. The clinically important categories are:</w:t>
      </w:r>
    </w:p>
    <w:p>
      <w:pPr>
        <w:spacing w:before="0" w:after="80"/>
      </w:pPr>
      <w:r>
        <w:rPr>
          <w:rFonts w:ascii="Calibri" w:hAnsi="Calibri"/>
          <w:b w:val="0"/>
          <w:i w:val="0"/>
          <w:color w:val="212121"/>
          <w:sz w:val="21"/>
        </w:rPr>
        <w:t>(1) Acute post-infectious glomerulonephritis - classically post-streptococcal (following pyoderma or pharyngitis), self-limiting, with a low C3 that normalises within weeks; the commonest cause of acute nephritic syndrome in Indian children;</w:t>
      </w:r>
    </w:p>
    <w:p>
      <w:pPr>
        <w:spacing w:before="0" w:after="80"/>
      </w:pPr>
      <w:r>
        <w:rPr>
          <w:rFonts w:ascii="Calibri" w:hAnsi="Calibri"/>
          <w:b w:val="0"/>
          <w:i w:val="0"/>
          <w:color w:val="212121"/>
          <w:sz w:val="21"/>
        </w:rPr>
        <w:t>(2) IgA nephropathy (Berger disease) - the most common primary glomerulonephritis worldwide, presenting with recurrent (synpharyngitic) episodes of gross haematuria and IgA-dominant mesangial deposits;</w:t>
      </w:r>
    </w:p>
    <w:p>
      <w:pPr>
        <w:spacing w:before="0" w:after="80"/>
      </w:pPr>
      <w:r>
        <w:rPr>
          <w:rFonts w:ascii="Calibri" w:hAnsi="Calibri"/>
          <w:b w:val="0"/>
          <w:i w:val="0"/>
          <w:color w:val="212121"/>
          <w:sz w:val="21"/>
        </w:rPr>
        <w:t>(3) Rapidly progressive (crescentic) glomerulonephritis (RPGN) - loss of renal function over days to weeks with crescents on biopsy, subdivided into Type I anti-GBM disease, Type II immune-complex disease and Type III pauci-immune / ANCA-associated disease;</w:t>
      </w:r>
    </w:p>
    <w:p>
      <w:pPr>
        <w:spacing w:before="0" w:after="80"/>
      </w:pPr>
      <w:r>
        <w:rPr>
          <w:rFonts w:ascii="Calibri" w:hAnsi="Calibri"/>
          <w:b w:val="0"/>
          <w:i w:val="0"/>
          <w:color w:val="212121"/>
          <w:sz w:val="21"/>
        </w:rPr>
        <w:t>(4) Membranoproliferative glomerulonephritis (MPGN) / C3 glomerulopathy - a mixed nephritic-nephrotic picture with persistently low complement, either immune-complex or complement-mediated;</w:t>
      </w:r>
    </w:p>
    <w:p>
      <w:pPr>
        <w:spacing w:before="0" w:after="80"/>
      </w:pPr>
      <w:r>
        <w:rPr>
          <w:rFonts w:ascii="Calibri" w:hAnsi="Calibri"/>
          <w:b w:val="0"/>
          <w:i w:val="0"/>
          <w:color w:val="212121"/>
          <w:sz w:val="21"/>
        </w:rPr>
        <w:t>(5) Secondary glomerulonephritis - lupus nephritis, IgA vasculitis (Henoch-Schonlein purpura), infective endocarditis-associated GN, and hepatitis B/C- or HIV-related GN, reflecting India's substantial infection and autoimmune burden;</w:t>
      </w:r>
    </w:p>
    <w:p>
      <w:pPr>
        <w:spacing w:before="0" w:after="80"/>
      </w:pPr>
      <w:r>
        <w:rPr>
          <w:rFonts w:ascii="Calibri" w:hAnsi="Calibri"/>
          <w:b w:val="0"/>
          <w:i w:val="0"/>
          <w:color w:val="212121"/>
          <w:sz w:val="21"/>
        </w:rPr>
        <w:t>(6) Chronic glomerulonephritis - the end-stage of any of the above, presenting as chronic kidney disease with small, scarred kidneys and progressive loss of function.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Post-infectious immune-complex deposition: Streptococcal (skin/throat), staphylococcal, and other bacterial or viral infections trigger deposition of immune complexes in glomeruli, activating complement and driving inflammation - the dominant mechanism in Indian childhood nephritic syndrome.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IgA immune dysregulation: Abnormally galactose-deficient IgA1 forms immune complexes that deposit in the mesangium, causing IgA nephropathy and IgA vasculitis (HSP).</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Autoimmune and systemic disease: Systemic lupus erythematosus (lupus nephritis), ANCA-associated vasculitis and anti-GBM (Goodpasture) disease produce immune-mediated glomerular injury and crescent formation.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Genetic predisposition: Familial clustering in IgA nephropathy, hereditary nephritis (Alport syndrome with haematuria and deafness) and complement-regulatory gene defects (C3 glomerulopathy) increase susceptibility.</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Chronic infections: Hepatitis B, hepatitis C, HIV, infective endocarditis and chronic suppurative infections drive secondary glomerulonephritis, relevant to India's high communicable-disease burden.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Lifestyle and haemodynamic amplifiers: High dietary salt, smoking, obesity and uncontrolled hypertension worsen glomerular hyperfiltration, proteinuria and the rate of progression to chronic kidney disease.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Children (school-age, 5-15 years)</w:t>
            </w:r>
          </w:p>
        </w:tc>
        <w:tc>
          <w:tcPr>
            <w:tcW w:type="dxa" w:w="4276"/>
            <w:vAlign w:val="top"/>
          </w:tcPr>
          <w:p>
            <w:pPr>
              <w:spacing w:after="60" w:line="259" w:lineRule="auto"/>
            </w:pPr>
            <w:r>
              <w:rPr>
                <w:rFonts w:ascii="Calibri" w:hAnsi="Calibri"/>
                <w:b w:val="0"/>
                <w:i w:val="0"/>
                <w:color w:val="212121"/>
                <w:sz w:val="19"/>
              </w:rPr>
              <w:t>Acute post-infectious (post-streptococcal) glomerulonephritis peaks in school-age children, typically 1-3 weeks after a streptococcal skin or throat infection, because immune complexes deposit in the glomeruli and activate complement.</w:t>
            </w:r>
          </w:p>
          <w:p>
            <w:pPr>
              <w:spacing w:after="40" w:before="60" w:line="259" w:lineRule="auto"/>
            </w:pPr>
            <w:r>
              <w:rPr>
                <w:rFonts w:ascii="Calibri" w:hAnsi="Calibri"/>
                <w:b w:val="0"/>
                <w:i w:val="0"/>
                <w:color w:val="212121"/>
                <w:sz w:val="19"/>
              </w:rPr>
              <w:t>In a North Indian series of acute glomerulonephritis (48 of 50 post-streptococcal) the mean age was 8.7 years; a South Indian paediatric series found the peak age band was 6-8 years.</w:t>
            </w:r>
          </w:p>
          <w:p>
            <w:pPr>
              <w:spacing w:after="40" w:line="252" w:lineRule="auto"/>
            </w:pPr>
            <w:hyperlink r:id="rId9">
              <w:r>
                <w:rPr>
                  <w:rFonts w:ascii="Calibri" w:hAnsi="Calibri" w:cs="Calibri"/>
                  <w:sz w:val="18"/>
                  <w:color w:val="1155CC"/>
                  <w:u w:val="single"/>
                </w:rPr>
                <w:t xml:space="preserve">pmc.ncbi.nlm.nih.gov/articles/PMC6482747 - acute GN North India</w:t>
              </w:r>
            </w:hyperlink>
          </w:p>
          <w:p>
            <w:pPr>
              <w:spacing w:before="60" w:after="40"/>
            </w:pPr>
            <w:r>
              <w:rPr>
                <w:rFonts w:ascii="Calibri" w:hAnsi="Calibri"/>
                <w:b w:val="0"/>
                <w:i w:val="0"/>
                <w:color w:val="5A5A5A"/>
                <w:sz w:val="18"/>
              </w:rPr>
              <w:t>#poststreptococcal  #PSGN  #childhood  #nephritic  #lowC3</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Young adults (20-40 years)</w:t>
            </w:r>
          </w:p>
        </w:tc>
        <w:tc>
          <w:tcPr>
            <w:tcW w:type="dxa" w:w="4276"/>
            <w:vAlign w:val="top"/>
          </w:tcPr>
          <w:p>
            <w:pPr>
              <w:spacing w:after="60" w:line="259" w:lineRule="auto"/>
            </w:pPr>
            <w:r>
              <w:rPr>
                <w:rFonts w:ascii="Calibri" w:hAnsi="Calibri"/>
                <w:b w:val="0"/>
                <w:i w:val="0"/>
                <w:color w:val="212121"/>
                <w:sz w:val="19"/>
              </w:rPr>
              <w:t>IgA nephropathy, lupus nephritis and immune-complex crescentic GN characteristically present in young adulthood, often as recurrent visible haematuria or a rapidly rising creatinine.</w:t>
            </w:r>
          </w:p>
          <w:p>
            <w:pPr>
              <w:spacing w:after="40" w:before="60" w:line="259" w:lineRule="auto"/>
            </w:pPr>
            <w:r>
              <w:rPr>
                <w:rFonts w:ascii="Calibri" w:hAnsi="Calibri"/>
                <w:b w:val="0"/>
                <w:i w:val="0"/>
                <w:color w:val="212121"/>
                <w:sz w:val="19"/>
              </w:rPr>
              <w:t>In an Indian series of 215 patients with crescentic glomerulonephritis the mean age was 39.6 years; immune-complex disease (IgA nephropathy the commonest) made up 63% of cases.</w:t>
            </w:r>
          </w:p>
          <w:p>
            <w:pPr>
              <w:spacing w:after="40" w:line="252" w:lineRule="auto"/>
            </w:pPr>
            <w:hyperlink r:id="rId10">
              <w:r>
                <w:rPr>
                  <w:rFonts w:ascii="Calibri" w:hAnsi="Calibri" w:cs="Calibri"/>
                  <w:sz w:val="18"/>
                  <w:color w:val="1155CC"/>
                  <w:u w:val="single"/>
                </w:rPr>
                <w:t xml:space="preserve">indianjnephrol.org - crescentic GN in India</w:t>
              </w:r>
            </w:hyperlink>
          </w:p>
          <w:p>
            <w:pPr>
              <w:spacing w:before="60" w:after="40"/>
            </w:pPr>
            <w:r>
              <w:rPr>
                <w:rFonts w:ascii="Calibri" w:hAnsi="Calibri"/>
                <w:b w:val="0"/>
                <w:i w:val="0"/>
                <w:color w:val="5A5A5A"/>
                <w:sz w:val="18"/>
              </w:rPr>
              <w:t>#IgAnephropathy  #youngadults  #crescentic  #RPGN  #haematuria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(&gt;60 years)</w:t>
            </w:r>
          </w:p>
        </w:tc>
        <w:tc>
          <w:tcPr>
            <w:tcW w:type="dxa" w:w="4276"/>
            <w:vAlign w:val="top"/>
          </w:tcPr>
          <w:p>
            <w:pPr>
              <w:spacing w:after="60" w:line="259" w:lineRule="auto"/>
            </w:pPr>
            <w:r>
              <w:rPr>
                <w:rFonts w:ascii="Calibri" w:hAnsi="Calibri"/>
                <w:b w:val="0"/>
                <w:i w:val="0"/>
                <w:color w:val="212121"/>
                <w:sz w:val="19"/>
              </w:rPr>
              <w:t>In older adults, pauci-immune (ANCA-associated) rapidly progressive GN and infection-related GN become relatively more frequent and carry a worse renal prognosis, often presenting late as acute kidney injury.</w:t>
            </w:r>
          </w:p>
          <w:p>
            <w:pPr>
              <w:spacing w:after="40" w:before="60" w:line="259" w:lineRule="auto"/>
            </w:pPr>
            <w:r>
              <w:rPr>
                <w:rFonts w:ascii="Calibri" w:hAnsi="Calibri"/>
                <w:b w:val="0"/>
                <w:i w:val="0"/>
                <w:color w:val="212121"/>
                <w:sz w:val="19"/>
              </w:rPr>
              <w:t>Anti-GBM and pauci-immune crescentic GN have the poorest renal survival; in the Indian cohort median renal survival was 2.1 months for anti-GBM and 5.3 months for pauci-immune disease.</w:t>
            </w:r>
          </w:p>
          <w:p>
            <w:pPr>
              <w:spacing w:after="40" w:line="252" w:lineRule="auto"/>
            </w:pPr>
            <w:hyperlink r:id="rId10">
              <w:r>
                <w:rPr>
                  <w:rFonts w:ascii="Calibri" w:hAnsi="Calibri" w:cs="Calibri"/>
                  <w:sz w:val="18"/>
                  <w:color w:val="1155CC"/>
                  <w:u w:val="single"/>
                </w:rPr>
                <w:t xml:space="preserve">indianjnephrol.org - crescentic GN in India</w:t>
              </w:r>
            </w:hyperlink>
          </w:p>
          <w:p>
            <w:pPr>
              <w:spacing w:before="60" w:after="40"/>
            </w:pPr>
            <w:r>
              <w:rPr>
                <w:rFonts w:ascii="Calibri" w:hAnsi="Calibri"/>
                <w:b w:val="0"/>
                <w:i w:val="0"/>
                <w:color w:val="5A5A5A"/>
                <w:sz w:val="18"/>
              </w:rPr>
              <w:t>#elderly  #ANCA  #pauciimmune  #RPGN  #AKI</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Most Indian glomerulonephritis series show a male predominance for both acute post-infectious GN and crescentic disease, partly reflecting exposure and biopsy patterns.</w:t>
            </w:r>
          </w:p>
          <w:p>
            <w:pPr>
              <w:spacing w:after="40" w:before="60" w:line="259" w:lineRule="auto"/>
            </w:pPr>
            <w:r>
              <w:rPr>
                <w:rFonts w:ascii="Calibri" w:hAnsi="Calibri"/>
                <w:b w:val="0"/>
                <w:i w:val="0"/>
                <w:color w:val="212121"/>
                <w:sz w:val="19"/>
              </w:rPr>
              <w:t>Male:female ratio was about 1.4:1 across 1,849 native biopsies in South India and 1.7:1 in the crescentic GN cohort; the paediatric acute nephritic series was 64% male.</w:t>
            </w:r>
          </w:p>
          <w:p>
            <w:pPr>
              <w:spacing w:after="40" w:line="252" w:lineRule="auto"/>
            </w:pPr>
            <w:hyperlink r:id="rId11">
              <w:r>
                <w:rPr>
                  <w:rFonts w:ascii="Calibri" w:hAnsi="Calibri" w:cs="Calibri"/>
                  <w:sz w:val="18"/>
                  <w:color w:val="1155CC"/>
                  <w:u w:val="single"/>
                </w:rPr>
                <w:t xml:space="preserve">indianjnephrol.org - biopsy spectrum South India</w:t>
              </w:r>
            </w:hyperlink>
          </w:p>
          <w:p>
            <w:pPr>
              <w:spacing w:before="60" w:after="40"/>
            </w:pPr>
            <w:r>
              <w:rPr>
                <w:rFonts w:ascii="Calibri" w:hAnsi="Calibri"/>
                <w:b w:val="0"/>
                <w:i w:val="0"/>
                <w:color w:val="5A5A5A"/>
                <w:sz w:val="18"/>
              </w:rPr>
              <w:t>#male  #predominance  #biopsy  #nephritic</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Females of reproductive age</w:t>
            </w:r>
          </w:p>
        </w:tc>
        <w:tc>
          <w:tcPr>
            <w:tcW w:type="dxa" w:w="4276"/>
            <w:vAlign w:val="top"/>
          </w:tcPr>
          <w:p>
            <w:pPr>
              <w:spacing w:after="60" w:line="259" w:lineRule="auto"/>
            </w:pPr>
            <w:r>
              <w:rPr>
                <w:rFonts w:ascii="Calibri" w:hAnsi="Calibri"/>
                <w:b w:val="0"/>
                <w:i w:val="0"/>
                <w:color w:val="212121"/>
                <w:sz w:val="19"/>
              </w:rPr>
              <w:t>Lupus nephritis, a major secondary cause of nephritic syndrome, strongly affects young women; glomerulonephritis may be the presenting feature of previously undiagnosed SLE.</w:t>
            </w:r>
          </w:p>
          <w:p>
            <w:pPr>
              <w:spacing w:after="40" w:before="60" w:line="259" w:lineRule="auto"/>
            </w:pPr>
            <w:r>
              <w:rPr>
                <w:rFonts w:ascii="Calibri" w:hAnsi="Calibri"/>
                <w:b w:val="0"/>
                <w:i w:val="0"/>
                <w:color w:val="212121"/>
                <w:sz w:val="19"/>
              </w:rPr>
              <w:t>Systemic lupus erythematosus is roughly 9 times more common in women than men, and kidney involvement (lupus nephritis) develops in a large proportion of Indian SLE patients.</w:t>
            </w:r>
          </w:p>
          <w:p>
            <w:pPr>
              <w:spacing w:before="60" w:after="40"/>
            </w:pPr>
            <w:r>
              <w:rPr>
                <w:rFonts w:ascii="Calibri" w:hAnsi="Calibri"/>
                <w:b w:val="0"/>
                <w:i w:val="0"/>
                <w:color w:val="5A5A5A"/>
                <w:sz w:val="18"/>
              </w:rPr>
              <w:t>#lupusnephritis  #SLE  #women  #autoimmune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 overcrowded households</w:t>
            </w:r>
          </w:p>
        </w:tc>
        <w:tc>
          <w:tcPr>
            <w:tcW w:type="dxa" w:w="4276"/>
            <w:vAlign w:val="top"/>
          </w:tcPr>
          <w:p>
            <w:pPr>
              <w:spacing w:after="60" w:line="259" w:lineRule="auto"/>
            </w:pPr>
            <w:r>
              <w:rPr>
                <w:rFonts w:ascii="Calibri" w:hAnsi="Calibri"/>
                <w:b w:val="0"/>
                <w:i w:val="0"/>
                <w:color w:val="212121"/>
                <w:sz w:val="19"/>
              </w:rPr>
              <w:t>Overcrowding, poor sanitation and limited healthcare access increase streptococcal skin infections (pyoderma, scabies-associated impetigo) and delayed treatment, raising the burden of post-infectious glomerulonephritis.</w:t>
            </w:r>
          </w:p>
          <w:p>
            <w:pPr>
              <w:spacing w:after="40" w:before="60" w:line="259" w:lineRule="auto"/>
            </w:pPr>
            <w:r>
              <w:rPr>
                <w:rFonts w:ascii="Calibri" w:hAnsi="Calibri"/>
                <w:b w:val="0"/>
                <w:i w:val="0"/>
                <w:color w:val="212121"/>
                <w:sz w:val="19"/>
              </w:rPr>
              <w:t>A skin infection was the precipitating factor in 68.9% of children with acute nephritic syndrome in a South Indian tertiary-care study.</w:t>
            </w:r>
          </w:p>
          <w:p>
            <w:pPr>
              <w:spacing w:after="40" w:line="252" w:lineRule="auto"/>
            </w:pPr>
            <w:hyperlink r:id="rId12">
              <w:r>
                <w:rPr>
                  <w:rFonts w:ascii="Calibri" w:hAnsi="Calibri" w:cs="Calibri"/>
                  <w:sz w:val="18"/>
                  <w:color w:val="1155CC"/>
                  <w:u w:val="single"/>
                </w:rPr>
                <w:t xml:space="preserve">ijpediatrics.com - acute nephritic syndrome children South India</w:t>
              </w:r>
            </w:hyperlink>
          </w:p>
          <w:p>
            <w:pPr>
              <w:spacing w:before="60" w:after="40"/>
            </w:pPr>
            <w:r>
              <w:rPr>
                <w:rFonts w:ascii="Calibri" w:hAnsi="Calibri"/>
                <w:b w:val="0"/>
                <w:i w:val="0"/>
                <w:color w:val="5A5A5A"/>
                <w:sz w:val="18"/>
              </w:rPr>
              <w:t>#pyoderma  #scabies  #overcrowding  #postinfectious  #poverty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Asian / South Asian populations</w:t>
            </w:r>
          </w:p>
        </w:tc>
        <w:tc>
          <w:tcPr>
            <w:tcW w:type="dxa" w:w="4276"/>
            <w:vAlign w:val="top"/>
          </w:tcPr>
          <w:p>
            <w:pPr>
              <w:spacing w:after="60" w:line="259" w:lineRule="auto"/>
            </w:pPr>
            <w:r>
              <w:rPr>
                <w:rFonts w:ascii="Calibri" w:hAnsi="Calibri"/>
                <w:b w:val="0"/>
                <w:i w:val="0"/>
                <w:color w:val="212121"/>
                <w:sz w:val="19"/>
              </w:rPr>
              <w:t>IgA nephropathy is markedly more common in Asian than in Western or African populations, so it is a leading biopsy diagnosis across South and East Asia including India.</w:t>
            </w:r>
          </w:p>
          <w:p>
            <w:pPr>
              <w:spacing w:after="40" w:before="60" w:line="259" w:lineRule="auto"/>
            </w:pPr>
            <w:r>
              <w:rPr>
                <w:rFonts w:ascii="Calibri" w:hAnsi="Calibri"/>
                <w:b w:val="0"/>
                <w:i w:val="0"/>
                <w:color w:val="212121"/>
                <w:sz w:val="19"/>
              </w:rPr>
              <w:t>IgA nephropathy is the most common primary glomerulonephritis worldwide; Indian biopsy registries report it among the top primary GN diagnoses (about 6% of primary GN in one South Indian series, likely an underestimate given restrictive biopsy practice).</w:t>
            </w:r>
          </w:p>
          <w:p>
            <w:pPr>
              <w:spacing w:after="40" w:line="252" w:lineRule="auto"/>
            </w:pPr>
            <w:hyperlink r:id="rId11">
              <w:r>
                <w:rPr>
                  <w:rFonts w:ascii="Calibri" w:hAnsi="Calibri" w:cs="Calibri"/>
                  <w:sz w:val="18"/>
                  <w:color w:val="1155CC"/>
                  <w:u w:val="single"/>
                </w:rPr>
                <w:t xml:space="preserve">indianjnephrol.org - biopsy spectrum South India</w:t>
              </w:r>
            </w:hyperlink>
          </w:p>
          <w:p>
            <w:pPr>
              <w:spacing w:before="60" w:after="40"/>
            </w:pPr>
            <w:r>
              <w:rPr>
                <w:rFonts w:ascii="Calibri" w:hAnsi="Calibri"/>
                <w:b w:val="0"/>
                <w:i w:val="0"/>
                <w:color w:val="5A5A5A"/>
                <w:sz w:val="18"/>
              </w:rPr>
              <w:t>#IgAnephropathy  #asian  #ethnicity  #biopsyregistry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climate</w:t>
            </w:r>
          </w:p>
        </w:tc>
        <w:tc>
          <w:tcPr>
            <w:tcW w:type="dxa" w:w="2160"/>
            <w:vAlign w:val="top"/>
          </w:tcPr>
          <w:p>
            <w:pPr>
              <w:spacing w:after="40" w:before="0" w:line="259" w:lineRule="auto"/>
            </w:pPr>
            <w:r>
              <w:rPr>
                <w:rFonts w:ascii="Calibri" w:hAnsi="Calibri"/>
                <w:b w:val="0"/>
                <w:i w:val="0"/>
                <w:color w:val="212121"/>
                <w:sz w:val="19"/>
              </w:rPr>
              <w:t>Tropical &amp; rural India</w:t>
            </w:r>
          </w:p>
        </w:tc>
        <w:tc>
          <w:tcPr>
            <w:tcW w:type="dxa" w:w="4276"/>
            <w:vAlign w:val="top"/>
          </w:tcPr>
          <w:p>
            <w:pPr>
              <w:spacing w:after="60" w:line="259" w:lineRule="auto"/>
            </w:pPr>
            <w:r>
              <w:rPr>
                <w:rFonts w:ascii="Calibri" w:hAnsi="Calibri"/>
                <w:b w:val="0"/>
                <w:i w:val="0"/>
                <w:color w:val="212121"/>
                <w:sz w:val="19"/>
              </w:rPr>
              <w:t>Hot, humid conditions and high rates of streptococcal pyoderma, scabies and untreated pharyngitis in rural and tropical settings sustain a high incidence of post-streptococcal glomerulonephritis, especially in children.</w:t>
            </w:r>
          </w:p>
          <w:p>
            <w:pPr>
              <w:spacing w:after="40" w:before="60" w:line="259" w:lineRule="auto"/>
            </w:pPr>
            <w:r>
              <w:rPr>
                <w:rFonts w:ascii="Calibri" w:hAnsi="Calibri"/>
                <w:b w:val="0"/>
                <w:i w:val="0"/>
                <w:color w:val="212121"/>
                <w:sz w:val="19"/>
              </w:rPr>
              <w:t>Skin sepsis rather than sore throat is the dominant trigger for post-streptococcal GN in India, mirroring the 68.9% skin-infection precipitant seen in South Indian children.</w:t>
            </w:r>
          </w:p>
          <w:p>
            <w:pPr>
              <w:spacing w:after="40" w:line="252" w:lineRule="auto"/>
            </w:pPr>
            <w:hyperlink r:id="rId12">
              <w:r>
                <w:rPr>
                  <w:rFonts w:ascii="Calibri" w:hAnsi="Calibri" w:cs="Calibri"/>
                  <w:sz w:val="18"/>
                  <w:color w:val="1155CC"/>
                  <w:u w:val="single"/>
                </w:rPr>
                <w:t xml:space="preserve">ijpediatrics.com - acute nephritic syndrome children South India</w:t>
              </w:r>
            </w:hyperlink>
          </w:p>
          <w:p>
            <w:pPr>
              <w:spacing w:before="60" w:after="40"/>
            </w:pPr>
            <w:r>
              <w:rPr>
                <w:rFonts w:ascii="Calibri" w:hAnsi="Calibri"/>
                <w:b w:val="0"/>
                <w:i w:val="0"/>
                <w:color w:val="5A5A5A"/>
                <w:sz w:val="18"/>
              </w:rPr>
              <w:t>#tropical  #rural  #skinsepsis  #PSGN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 with glomerular disease</w:t>
            </w:r>
          </w:p>
        </w:tc>
        <w:tc>
          <w:tcPr>
            <w:tcW w:type="dxa" w:w="4276"/>
            <w:vAlign w:val="top"/>
          </w:tcPr>
          <w:p>
            <w:pPr>
              <w:spacing w:after="60" w:line="259" w:lineRule="auto"/>
            </w:pPr>
            <w:r>
              <w:rPr>
                <w:rFonts w:ascii="Calibri" w:hAnsi="Calibri"/>
                <w:b w:val="0"/>
                <w:i w:val="0"/>
                <w:color w:val="212121"/>
                <w:sz w:val="19"/>
              </w:rPr>
              <w:t>Cigarette smoking promotes endothelial injury, glomerular hyperfiltration and oxidative stress, accelerating proteinuria and loss of kidney function in established GN.</w:t>
            </w:r>
          </w:p>
          <w:p>
            <w:pPr>
              <w:spacing w:after="40" w:before="60" w:line="259" w:lineRule="auto"/>
            </w:pPr>
            <w:r>
              <w:rPr>
                <w:rFonts w:ascii="Calibri" w:hAnsi="Calibri"/>
                <w:b w:val="0"/>
                <w:i w:val="0"/>
                <w:color w:val="212121"/>
                <w:sz w:val="19"/>
              </w:rPr>
              <w:t>In IgA nephropathy, smoking raised the risk of renal progression with a hazard ratio of 1.58; those with more than 20 pack-years had a 143% higher risk of reaching the renal endpoint.</w:t>
            </w:r>
          </w:p>
          <w:p>
            <w:pPr>
              <w:spacing w:after="40" w:line="252" w:lineRule="auto"/>
            </w:pPr>
            <w:hyperlink r:id="rId13">
              <w:r>
                <w:rPr>
                  <w:rFonts w:ascii="Calibri" w:hAnsi="Calibri" w:cs="Calibri"/>
                  <w:sz w:val="18"/>
                  <w:color w:val="1155CC"/>
                  <w:u w:val="single"/>
                </w:rPr>
                <w:t xml:space="preserve">link.springer.com - smoking accelerates IgA nephropathy</w:t>
              </w:r>
            </w:hyperlink>
          </w:p>
          <w:p>
            <w:pPr>
              <w:spacing w:before="60" w:after="40"/>
            </w:pPr>
            <w:r>
              <w:rPr>
                <w:rFonts w:ascii="Calibri" w:hAnsi="Calibri"/>
                <w:b w:val="0"/>
                <w:i w:val="0"/>
                <w:color w:val="5A5A5A"/>
                <w:sz w:val="18"/>
              </w:rPr>
              <w:t>#smoking  #packyears  #progression  #proteinuria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Obese adults (Asian-Indian BMI &gt;= 25)</w:t>
            </w:r>
          </w:p>
        </w:tc>
        <w:tc>
          <w:tcPr>
            <w:tcW w:type="dxa" w:w="4276"/>
            <w:vAlign w:val="top"/>
          </w:tcPr>
          <w:p>
            <w:pPr>
              <w:spacing w:after="60" w:line="259" w:lineRule="auto"/>
            </w:pPr>
            <w:r>
              <w:rPr>
                <w:rFonts w:ascii="Calibri" w:hAnsi="Calibri"/>
                <w:b w:val="0"/>
                <w:i w:val="0"/>
                <w:color w:val="212121"/>
                <w:sz w:val="19"/>
              </w:rPr>
              <w:t>Obesity causes glomerular hyperfiltration and podocyte stress, leading to obesity-related glomerulopathy (a secondary FSGS) and worsening proteinuria in any pre-existing glomerular disease.</w:t>
            </w:r>
          </w:p>
          <w:p>
            <w:pPr>
              <w:spacing w:after="40" w:before="60" w:line="259" w:lineRule="auto"/>
            </w:pPr>
            <w:r>
              <w:rPr>
                <w:rFonts w:ascii="Calibri" w:hAnsi="Calibri"/>
                <w:b w:val="0"/>
                <w:i w:val="0"/>
                <w:color w:val="212121"/>
                <w:sz w:val="19"/>
              </w:rPr>
              <w:t>Obesity-related glomerulopathy is a growing cause of proteinuric kidney disease globally, driven by hyperfiltration, and weight loss reduces the associated proteinuria.</w:t>
            </w:r>
          </w:p>
          <w:p>
            <w:pPr>
              <w:spacing w:after="40" w:line="252" w:lineRule="auto"/>
            </w:pPr>
            <w:hyperlink r:id="rId14">
              <w:r>
                <w:rPr>
                  <w:rFonts w:ascii="Calibri" w:hAnsi="Calibri" w:cs="Calibri"/>
                  <w:sz w:val="18"/>
                  <w:color w:val="1155CC"/>
                  <w:u w:val="single"/>
                </w:rPr>
                <w:t xml:space="preserve">nature.com - obesity-related glomerulopathy</w:t>
              </w:r>
            </w:hyperlink>
          </w:p>
          <w:p>
            <w:pPr>
              <w:spacing w:before="60" w:after="40"/>
            </w:pPr>
            <w:r>
              <w:rPr>
                <w:rFonts w:ascii="Calibri" w:hAnsi="Calibri"/>
                <w:b w:val="0"/>
                <w:i w:val="0"/>
                <w:color w:val="5A5A5A"/>
                <w:sz w:val="18"/>
              </w:rPr>
              <w:t>#obesity  #hyperfiltration  #FSGS  #proteinuria  #visceralfat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alcohol users</w:t>
            </w:r>
          </w:p>
        </w:tc>
        <w:tc>
          <w:tcPr>
            <w:tcW w:type="dxa" w:w="4276"/>
            <w:vAlign w:val="top"/>
          </w:tcPr>
          <w:p>
            <w:pPr>
              <w:spacing w:after="60" w:line="259" w:lineRule="auto"/>
            </w:pPr>
            <w:r>
              <w:rPr>
                <w:rFonts w:ascii="Calibri" w:hAnsi="Calibri"/>
                <w:b w:val="0"/>
                <w:i w:val="0"/>
                <w:color w:val="212121"/>
                <w:sz w:val="19"/>
              </w:rPr>
              <w:t>Heavy alcohol intake raises blood pressure and is associated with albuminuria and renal damage, compounding hypertensive injury in patients with glomerulonephritis.</w:t>
            </w:r>
          </w:p>
          <w:p>
            <w:pPr>
              <w:spacing w:after="40" w:before="60" w:line="259" w:lineRule="auto"/>
            </w:pPr>
            <w:r>
              <w:rPr>
                <w:rFonts w:ascii="Calibri" w:hAnsi="Calibri"/>
                <w:b w:val="0"/>
                <w:i w:val="0"/>
                <w:color w:val="212121"/>
                <w:sz w:val="19"/>
              </w:rPr>
              <w:t>A systematic review and meta-analysis found high alcohol consumption is associated with an increased risk of renal damage, including proteinuria and reduced glomerular filtration.</w:t>
            </w:r>
          </w:p>
          <w:p>
            <w:pPr>
              <w:spacing w:after="40" w:line="252" w:lineRule="auto"/>
            </w:pPr>
            <w:hyperlink r:id="rId15">
              <w:r>
                <w:rPr>
                  <w:rFonts w:ascii="Calibri" w:hAnsi="Calibri" w:cs="Calibri"/>
                  <w:sz w:val="18"/>
                  <w:color w:val="1155CC"/>
                  <w:u w:val="single"/>
                </w:rPr>
                <w:t xml:space="preserve">academic.oup.com/qjmed - alcohol and renal damage meta-analysis</w:t>
              </w:r>
            </w:hyperlink>
          </w:p>
          <w:p>
            <w:pPr>
              <w:spacing w:before="60" w:after="40"/>
            </w:pPr>
            <w:r>
              <w:rPr>
                <w:rFonts w:ascii="Calibri" w:hAnsi="Calibri"/>
                <w:b w:val="0"/>
                <w:i w:val="0"/>
                <w:color w:val="5A5A5A"/>
                <w:sz w:val="18"/>
              </w:rPr>
              <w:t>#alcohol  #hypertension  #albuminuria  #renaldamage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High salt intake</w:t>
            </w:r>
          </w:p>
        </w:tc>
        <w:tc>
          <w:tcPr>
            <w:tcW w:type="dxa" w:w="2160"/>
            <w:vAlign w:val="top"/>
          </w:tcPr>
          <w:p>
            <w:pPr>
              <w:spacing w:after="40" w:before="0" w:line="259" w:lineRule="auto"/>
            </w:pPr>
            <w:r>
              <w:rPr>
                <w:rFonts w:ascii="Calibri" w:hAnsi="Calibri"/>
                <w:b w:val="0"/>
                <w:i w:val="0"/>
                <w:color w:val="212121"/>
                <w:sz w:val="19"/>
              </w:rPr>
              <w:t>High-sodium (Indian) diets</w:t>
            </w:r>
          </w:p>
        </w:tc>
        <w:tc>
          <w:tcPr>
            <w:tcW w:type="dxa" w:w="4276"/>
            <w:vAlign w:val="top"/>
          </w:tcPr>
          <w:p>
            <w:pPr>
              <w:spacing w:after="60" w:line="259" w:lineRule="auto"/>
            </w:pPr>
            <w:r>
              <w:rPr>
                <w:rFonts w:ascii="Calibri" w:hAnsi="Calibri"/>
                <w:b w:val="0"/>
                <w:i w:val="0"/>
                <w:color w:val="212121"/>
                <w:sz w:val="19"/>
              </w:rPr>
              <w:t>Excess dietary sodium raises blood pressure and intraglomerular pressure, blunts the response to RAAS-blocking drugs and increases proteinuria, accelerating glomerular injury.</w:t>
            </w:r>
          </w:p>
          <w:p>
            <w:pPr>
              <w:spacing w:after="40" w:before="60" w:line="259" w:lineRule="auto"/>
            </w:pPr>
            <w:r>
              <w:rPr>
                <w:rFonts w:ascii="Calibri" w:hAnsi="Calibri"/>
                <w:b w:val="0"/>
                <w:i w:val="0"/>
                <w:color w:val="212121"/>
                <w:sz w:val="19"/>
              </w:rPr>
              <w:t>Salt restriction lowers proteinuria in CKD by relative reductions of roughly 21-49% and cuts systolic BP by about 9 mmHg; KDIGO advises &lt; 2,000 mg sodium (about 5 g salt) per day.</w:t>
            </w:r>
          </w:p>
          <w:p>
            <w:pPr>
              <w:spacing w:after="40" w:line="252" w:lineRule="auto"/>
            </w:pPr>
            <w:hyperlink r:id="rId16">
              <w:r>
                <w:rPr>
                  <w:rFonts w:ascii="Calibri" w:hAnsi="Calibri" w:cs="Calibri"/>
                  <w:sz w:val="18"/>
                  <w:color w:val="1155CC"/>
                  <w:u w:val="single"/>
                </w:rPr>
                <w:t xml:space="preserve">aafp.org - dietary salt in CKD</w:t>
              </w:r>
            </w:hyperlink>
          </w:p>
          <w:p>
            <w:pPr>
              <w:spacing w:before="60" w:after="40"/>
            </w:pPr>
            <w:r>
              <w:rPr>
                <w:rFonts w:ascii="Calibri" w:hAnsi="Calibri"/>
                <w:b w:val="0"/>
                <w:i w:val="0"/>
                <w:color w:val="5A5A5A"/>
                <w:sz w:val="18"/>
              </w:rPr>
              <w:t>#salt  #sodium  #proteinuria  #bloodpressure  #pickles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High protein intake</w:t>
            </w:r>
          </w:p>
        </w:tc>
        <w:tc>
          <w:tcPr>
            <w:tcW w:type="dxa" w:w="2160"/>
            <w:vAlign w:val="top"/>
          </w:tcPr>
          <w:p>
            <w:pPr>
              <w:spacing w:after="40" w:before="0" w:line="259" w:lineRule="auto"/>
            </w:pPr>
            <w:r>
              <w:rPr>
                <w:rFonts w:ascii="Calibri" w:hAnsi="Calibri"/>
                <w:b w:val="0"/>
                <w:i w:val="0"/>
                <w:color w:val="212121"/>
                <w:sz w:val="19"/>
              </w:rPr>
              <w:t>Very high-protein diets / supplements</w:t>
            </w:r>
          </w:p>
        </w:tc>
        <w:tc>
          <w:tcPr>
            <w:tcW w:type="dxa" w:w="4276"/>
            <w:vAlign w:val="top"/>
          </w:tcPr>
          <w:p>
            <w:pPr>
              <w:spacing w:after="60" w:line="259" w:lineRule="auto"/>
            </w:pPr>
            <w:r>
              <w:rPr>
                <w:rFonts w:ascii="Calibri" w:hAnsi="Calibri"/>
                <w:b w:val="0"/>
                <w:i w:val="0"/>
                <w:color w:val="212121"/>
                <w:sz w:val="19"/>
              </w:rPr>
              <w:t>Chronically high dietary protein increases single-nephron glomerular filtration and intraglomerular pressure, which can aggravate proteinuria and hasten progression in glomerular disease, though severe restriction is avoided.</w:t>
            </w:r>
          </w:p>
          <w:p>
            <w:pPr>
              <w:spacing w:after="40" w:before="60" w:line="259" w:lineRule="auto"/>
            </w:pPr>
            <w:r>
              <w:rPr>
                <w:rFonts w:ascii="Calibri" w:hAnsi="Calibri"/>
                <w:b w:val="0"/>
                <w:i w:val="0"/>
                <w:color w:val="212121"/>
                <w:sz w:val="19"/>
              </w:rPr>
              <w:t>A moderate protein intake of around 0.8 g/kg/day is generally advised in proteinuric non-dialysis CKD to reduce hyperfiltration while avoiding malnutrition.</w:t>
            </w:r>
          </w:p>
          <w:p>
            <w:pPr>
              <w:spacing w:before="60" w:after="40"/>
            </w:pPr>
            <w:r>
              <w:rPr>
                <w:rFonts w:ascii="Calibri" w:hAnsi="Calibri"/>
                <w:b w:val="0"/>
                <w:i w:val="0"/>
                <w:color w:val="5A5A5A"/>
                <w:sz w:val="18"/>
              </w:rPr>
              <w:t>#protein  #hyperfiltration  #nephronstress  #diet</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 with GN / hereditary nephritis</w:t>
            </w:r>
          </w:p>
        </w:tc>
        <w:tc>
          <w:tcPr>
            <w:tcW w:type="dxa" w:w="4276"/>
            <w:vAlign w:val="top"/>
          </w:tcPr>
          <w:p>
            <w:pPr>
              <w:spacing w:after="60" w:line="259" w:lineRule="auto"/>
            </w:pPr>
            <w:r>
              <w:rPr>
                <w:rFonts w:ascii="Calibri" w:hAnsi="Calibri"/>
                <w:b w:val="0"/>
                <w:i w:val="0"/>
                <w:color w:val="212121"/>
                <w:sz w:val="19"/>
              </w:rPr>
              <w:t>IgA nephropathy shows familial clustering, and hereditary nephritis (Alport syndrome, collagen IV mutations) and complement-regulatory defects (C3 glomerulopathy) run in families, presenting with persistent haematuria.</w:t>
            </w:r>
          </w:p>
          <w:p>
            <w:pPr>
              <w:spacing w:after="40" w:before="60" w:line="259" w:lineRule="auto"/>
            </w:pPr>
            <w:r>
              <w:rPr>
                <w:rFonts w:ascii="Calibri" w:hAnsi="Calibri"/>
                <w:b w:val="0"/>
                <w:i w:val="0"/>
                <w:color w:val="212121"/>
                <w:sz w:val="19"/>
              </w:rPr>
              <w:t>Alport syndrome typically presents with persistent microscopic haematuria and, in the classic X-linked form, sensorineural deafness, often with an affected male relative on dialysis.</w:t>
            </w:r>
          </w:p>
          <w:p>
            <w:pPr>
              <w:spacing w:before="60" w:after="40"/>
            </w:pPr>
            <w:r>
              <w:rPr>
                <w:rFonts w:ascii="Calibri" w:hAnsi="Calibri"/>
                <w:b w:val="0"/>
                <w:i w:val="0"/>
                <w:color w:val="5A5A5A"/>
                <w:sz w:val="18"/>
              </w:rPr>
              <w:t>#familyhistory  #Alport  #hereditarynephritis  #C3glomerulopathy  #haematuria</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Recent streptococcal infection</w:t>
            </w:r>
          </w:p>
        </w:tc>
        <w:tc>
          <w:tcPr>
            <w:tcW w:type="dxa" w:w="2160"/>
            <w:vAlign w:val="top"/>
          </w:tcPr>
          <w:p>
            <w:pPr>
              <w:spacing w:after="40" w:before="0" w:line="259" w:lineRule="auto"/>
            </w:pPr>
            <w:r>
              <w:rPr>
                <w:rFonts w:ascii="Calibri" w:hAnsi="Calibri"/>
                <w:b w:val="0"/>
                <w:i w:val="0"/>
                <w:color w:val="212121"/>
                <w:sz w:val="19"/>
              </w:rPr>
              <w:t>Children/adults with recent pyoderma or pharyngitis</w:t>
            </w:r>
          </w:p>
        </w:tc>
        <w:tc>
          <w:tcPr>
            <w:tcW w:type="dxa" w:w="4276"/>
            <w:vAlign w:val="top"/>
          </w:tcPr>
          <w:p>
            <w:pPr>
              <w:spacing w:after="60" w:line="259" w:lineRule="auto"/>
            </w:pPr>
            <w:r>
              <w:rPr>
                <w:rFonts w:ascii="Calibri" w:hAnsi="Calibri"/>
                <w:b w:val="0"/>
                <w:i w:val="0"/>
                <w:color w:val="212121"/>
                <w:sz w:val="19"/>
              </w:rPr>
              <w:t>A preceding group A streptococcal skin or throat infection is the classic trigger for acute post-streptococcal glomerulonephritis, with a latent period of 1-3 weeks (throat) or 3-6 weeks (skin) before nephritic syndrome appears.</w:t>
            </w:r>
          </w:p>
          <w:p>
            <w:pPr>
              <w:spacing w:after="40" w:before="60" w:line="259" w:lineRule="auto"/>
            </w:pPr>
            <w:r>
              <w:rPr>
                <w:rFonts w:ascii="Calibri" w:hAnsi="Calibri"/>
                <w:b w:val="0"/>
                <w:i w:val="0"/>
                <w:color w:val="212121"/>
                <w:sz w:val="19"/>
              </w:rPr>
              <w:t>In North Indian children with post-streptococcal GN, ASO titres were elevated in 100% and serum C3 was low in 100% at presentation, normalising over the following weeks.</w:t>
            </w:r>
          </w:p>
          <w:p>
            <w:pPr>
              <w:spacing w:after="40" w:line="252" w:lineRule="auto"/>
            </w:pPr>
            <w:hyperlink r:id="rId9">
              <w:r>
                <w:rPr>
                  <w:rFonts w:ascii="Calibri" w:hAnsi="Calibri" w:cs="Calibri"/>
                  <w:sz w:val="18"/>
                  <w:color w:val="1155CC"/>
                  <w:u w:val="single"/>
                </w:rPr>
                <w:t xml:space="preserve">pmc.ncbi.nlm.nih.gov/articles/PMC6482747 - acute GN North India</w:t>
              </w:r>
            </w:hyperlink>
          </w:p>
          <w:p>
            <w:pPr>
              <w:spacing w:before="60" w:after="40"/>
            </w:pPr>
            <w:r>
              <w:rPr>
                <w:rFonts w:ascii="Calibri" w:hAnsi="Calibri"/>
                <w:b w:val="0"/>
                <w:i w:val="0"/>
                <w:color w:val="5A5A5A"/>
                <w:sz w:val="18"/>
              </w:rPr>
              <w:t>#streptococcus  #ASO  #lowC3  #latentperiod  #PSGN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Systemic lupus erythematosus</w:t>
            </w:r>
          </w:p>
        </w:tc>
        <w:tc>
          <w:tcPr>
            <w:tcW w:type="dxa" w:w="2160"/>
            <w:vAlign w:val="top"/>
          </w:tcPr>
          <w:p>
            <w:pPr>
              <w:spacing w:after="40" w:before="0" w:line="259" w:lineRule="auto"/>
            </w:pPr>
            <w:r>
              <w:rPr>
                <w:rFonts w:ascii="Calibri" w:hAnsi="Calibri"/>
                <w:b w:val="0"/>
                <w:i w:val="0"/>
                <w:color w:val="212121"/>
                <w:sz w:val="19"/>
              </w:rPr>
              <w:t>Patients with SLE</w:t>
            </w:r>
          </w:p>
        </w:tc>
        <w:tc>
          <w:tcPr>
            <w:tcW w:type="dxa" w:w="4276"/>
            <w:vAlign w:val="top"/>
          </w:tcPr>
          <w:p>
            <w:pPr>
              <w:spacing w:after="60" w:line="259" w:lineRule="auto"/>
            </w:pPr>
            <w:r>
              <w:rPr>
                <w:rFonts w:ascii="Calibri" w:hAnsi="Calibri"/>
                <w:b w:val="0"/>
                <w:i w:val="0"/>
                <w:color w:val="212121"/>
                <w:sz w:val="19"/>
              </w:rPr>
              <w:t>Lupus nephritis is a leading secondary cause of nephritic syndrome; immune-complex deposition (with low C3/C4 and positive anti-dsDNA) produces a proliferative glomerulonephritis that may present as the first sign of lupus.</w:t>
            </w:r>
          </w:p>
          <w:p>
            <w:pPr>
              <w:spacing w:after="40" w:before="60" w:line="259" w:lineRule="auto"/>
            </w:pPr>
            <w:r>
              <w:rPr>
                <w:rFonts w:ascii="Calibri" w:hAnsi="Calibri"/>
                <w:b w:val="0"/>
                <w:i w:val="0"/>
                <w:color w:val="212121"/>
                <w:sz w:val="19"/>
              </w:rPr>
              <w:t>Kidney involvement develops in a large share of SLE patients and is more frequent and often more severe in Asian-Indian cohorts, making renal monitoring essential in every lupus patient.</w:t>
            </w:r>
          </w:p>
          <w:p>
            <w:pPr>
              <w:spacing w:before="60" w:after="40"/>
            </w:pPr>
            <w:r>
              <w:rPr>
                <w:rFonts w:ascii="Calibri" w:hAnsi="Calibri"/>
                <w:b w:val="0"/>
                <w:i w:val="0"/>
                <w:color w:val="5A5A5A"/>
                <w:sz w:val="18"/>
              </w:rPr>
              <w:t>#lupusnephritis  #SLE  #antidsDNA  #immunecomplex  #lowcomplement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viral infection</w:t>
            </w:r>
          </w:p>
        </w:tc>
        <w:tc>
          <w:tcPr>
            <w:tcW w:type="dxa" w:w="2160"/>
            <w:vAlign w:val="top"/>
          </w:tcPr>
          <w:p>
            <w:pPr>
              <w:spacing w:after="40" w:before="0" w:line="259" w:lineRule="auto"/>
            </w:pPr>
            <w:r>
              <w:rPr>
                <w:rFonts w:ascii="Calibri" w:hAnsi="Calibri"/>
                <w:b w:val="0"/>
                <w:i w:val="0"/>
                <w:color w:val="212121"/>
                <w:sz w:val="19"/>
              </w:rPr>
              <w:t>Hepatitis B/C or HIV positive</w:t>
            </w:r>
          </w:p>
        </w:tc>
        <w:tc>
          <w:tcPr>
            <w:tcW w:type="dxa" w:w="4276"/>
            <w:vAlign w:val="top"/>
          </w:tcPr>
          <w:p>
            <w:pPr>
              <w:spacing w:after="60" w:line="259" w:lineRule="auto"/>
            </w:pPr>
            <w:r>
              <w:rPr>
                <w:rFonts w:ascii="Calibri" w:hAnsi="Calibri"/>
                <w:b w:val="0"/>
                <w:i w:val="0"/>
                <w:color w:val="212121"/>
                <w:sz w:val="19"/>
              </w:rPr>
              <w:t>Chronic hepatitis B and C and HIV cause immune-complex and complement-mediated secondary glomerulonephritis (membranous, MPGN, cryoglobulinaemic or collapsing patterns), a relevant burden given India's communicable-disease load.</w:t>
            </w:r>
          </w:p>
          <w:p>
            <w:pPr>
              <w:spacing w:after="40" w:before="60" w:line="259" w:lineRule="auto"/>
            </w:pPr>
            <w:r>
              <w:rPr>
                <w:rFonts w:ascii="Calibri" w:hAnsi="Calibri"/>
                <w:b w:val="0"/>
                <w:i w:val="0"/>
                <w:color w:val="212121"/>
                <w:sz w:val="19"/>
              </w:rPr>
              <w:t>Hepatitis C is a recognised cause of membranoproliferative and cryoglobulinaemic GN, and HIV of collapsing FSGS/HIV-associated nephropathy; screening is standard in new glomerular disease.</w:t>
            </w:r>
          </w:p>
          <w:p>
            <w:pPr>
              <w:spacing w:before="60" w:after="40"/>
            </w:pPr>
            <w:r>
              <w:rPr>
                <w:rFonts w:ascii="Calibri" w:hAnsi="Calibri"/>
                <w:b w:val="0"/>
                <w:i w:val="0"/>
                <w:color w:val="5A5A5A"/>
                <w:sz w:val="18"/>
              </w:rPr>
              <w:t>#hepatitisB  #hepatitisC  #HIV  #MPGN  #secondaryGN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Uncontrolled hypertension</w:t>
            </w:r>
          </w:p>
        </w:tc>
        <w:tc>
          <w:tcPr>
            <w:tcW w:type="dxa" w:w="2160"/>
            <w:vAlign w:val="top"/>
          </w:tcPr>
          <w:p>
            <w:pPr>
              <w:spacing w:after="40" w:before="0" w:line="259" w:lineRule="auto"/>
            </w:pPr>
            <w:r>
              <w:rPr>
                <w:rFonts w:ascii="Calibri" w:hAnsi="Calibri"/>
                <w:b w:val="0"/>
                <w:i w:val="0"/>
                <w:color w:val="212121"/>
                <w:sz w:val="19"/>
              </w:rPr>
              <w:t>Adults with poorly controlled BP</w:t>
            </w:r>
          </w:p>
        </w:tc>
        <w:tc>
          <w:tcPr>
            <w:tcW w:type="dxa" w:w="4276"/>
            <w:vAlign w:val="top"/>
          </w:tcPr>
          <w:p>
            <w:pPr>
              <w:spacing w:after="60" w:line="259" w:lineRule="auto"/>
            </w:pPr>
            <w:r>
              <w:rPr>
                <w:rFonts w:ascii="Calibri" w:hAnsi="Calibri"/>
                <w:b w:val="0"/>
                <w:i w:val="0"/>
                <w:color w:val="212121"/>
                <w:sz w:val="19"/>
              </w:rPr>
              <w:t>Hypertension is both a consequence of glomerulonephritis and an accelerant of glomerular scarring; uncontrolled BP drives proteinuria and speeds progression to chronic kidney disease.</w:t>
            </w:r>
          </w:p>
          <w:p>
            <w:pPr>
              <w:spacing w:after="40" w:before="60" w:line="259" w:lineRule="auto"/>
            </w:pPr>
            <w:r>
              <w:rPr>
                <w:rFonts w:ascii="Calibri" w:hAnsi="Calibri"/>
                <w:b w:val="0"/>
                <w:i w:val="0"/>
                <w:color w:val="212121"/>
                <w:sz w:val="19"/>
              </w:rPr>
              <w:t>Hypertension was present in about 60-80% of Indian patients presenting with acute nephritic syndrome (60.1% of children in a South Indian series; 80% in a North Indian series).</w:t>
            </w:r>
          </w:p>
          <w:p>
            <w:pPr>
              <w:spacing w:after="40" w:line="252" w:lineRule="auto"/>
            </w:pPr>
            <w:hyperlink r:id="rId12">
              <w:r>
                <w:rPr>
                  <w:rFonts w:ascii="Calibri" w:hAnsi="Calibri" w:cs="Calibri"/>
                  <w:sz w:val="18"/>
                  <w:color w:val="1155CC"/>
                  <w:u w:val="single"/>
                </w:rPr>
                <w:t xml:space="preserve">ijpediatrics.com - acute nephritic syndrome children South India</w:t>
              </w:r>
            </w:hyperlink>
          </w:p>
          <w:p>
            <w:pPr>
              <w:spacing w:before="60" w:after="40"/>
            </w:pPr>
            <w:r>
              <w:rPr>
                <w:rFonts w:ascii="Calibri" w:hAnsi="Calibri"/>
                <w:b w:val="0"/>
                <w:i w:val="0"/>
                <w:color w:val="5A5A5A"/>
                <w:sz w:val="18"/>
              </w:rPr>
              <w:t>#hypertension  #proteinuria  #progression  #CKD</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inactivity and obesity promote glomerular hyperfiltration and hypertension that worsen proteinuria and progression; regular moderate activity aids weight and blood-pressure control. During the acute nephritic phase, rest is advised until oedema and hypertension settle.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High dietary salt raises intraglomerular pressure and proteinuria and blunts RAAS-blocker efficacy; salt restriction lowers proteinuria by about 21-49% and systolic BP by ~9 mmHg. Excess protein increases hyperfiltration, while adequate protein prevents malnutrition.</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sleep and obstructive sleep apnoea are linked to hypertension and faster CKD progression, an indirect influence on glomerular disease rather than a primary trigger.</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Cigarette smoking accelerates renal decline in glomerulonephritis; in IgA nephropathy it raised progression risk with a hazard ratio of 1.58, and &gt;20 pack-years increased risk by 143% in a dose-dependent manner.</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Heavy alcohol intake raises blood pressure and is associated with albuminuria and renal damage in meta-analyses, compounding hypertensive injury in patients with glomerulonephritis.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Depression and anxiety are common in chronic kidney disease and reduce adherence to salt restriction, blood-pressure control and immunosuppression, worsening outcomes indirectly.</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During the acute nephritic phase with oliguria and fluid overload, fluid (and salt) intake must be restricted to control oedema and hypertension; once recovered, normal hydration is appropriate. Requirements are therefore stage-dependent.</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has only a small, transient effect on blood pressure and no established direct role in glomerular injury; moderate intake is generally acceptable.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Skin and throat hygiene and prompt treatment of streptococcal pyoderma, scabies and pharyngitis directly prevent post-streptococcal glomerulonephritis, the leading cause of acute nephritic syndrome in Indian children.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 preceding streptococcal or other infection provokes acute post-infectious GN, and NSAIDs or nephrotoxins can precipitate acute kidney injury in inflamed kidneys; identifying and removing the trigger is central to management.</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sodium (mg/day)</w:t>
            </w:r>
          </w:p>
        </w:tc>
        <w:tc>
          <w:tcPr>
            <w:tcW w:type="dxa" w:w="1655"/>
            <w:vAlign w:val="top"/>
          </w:tcPr>
          <w:p>
            <w:pPr>
              <w:spacing w:after="40" w:before="0" w:line="259" w:lineRule="auto"/>
            </w:pPr>
            <w:r>
              <w:rPr>
                <w:rFonts w:ascii="Calibri" w:hAnsi="Calibri"/>
                <w:b w:val="0"/>
                <w:i w:val="0"/>
                <w:color w:val="212121"/>
                <w:sz w:val="19"/>
              </w:rPr>
              <w:t>All patients, hypertensive, oedematous</w:t>
            </w:r>
          </w:p>
        </w:tc>
        <w:tc>
          <w:tcPr>
            <w:tcW w:type="dxa" w:w="1512"/>
            <w:vAlign w:val="top"/>
          </w:tcPr>
          <w:p>
            <w:pPr>
              <w:spacing w:after="40" w:before="0" w:line="259" w:lineRule="auto"/>
            </w:pPr>
            <w:r>
              <w:rPr>
                <w:rFonts w:ascii="Calibri" w:hAnsi="Calibri"/>
                <w:b w:val="0"/>
                <w:i w:val="0"/>
                <w:color w:val="212121"/>
                <w:sz w:val="19"/>
              </w:rPr>
              <w:t>&lt; 2,000 mg/day (about 5 g salt)</w:t>
            </w:r>
          </w:p>
        </w:tc>
        <w:tc>
          <w:tcPr>
            <w:tcW w:type="dxa" w:w="1512"/>
            <w:vAlign w:val="top"/>
          </w:tcPr>
          <w:p>
            <w:pPr>
              <w:spacing w:after="40" w:before="0" w:line="259" w:lineRule="auto"/>
            </w:pPr>
            <w:r>
              <w:rPr>
                <w:rFonts w:ascii="Calibri" w:hAnsi="Calibri"/>
                <w:b w:val="0"/>
                <w:i w:val="0"/>
                <w:color w:val="212121"/>
                <w:sz w:val="19"/>
              </w:rPr>
              <w:t>&gt; 2,000 mg/day; visible added salt, pickles, papad</w:t>
            </w:r>
          </w:p>
        </w:tc>
        <w:tc>
          <w:tcPr>
            <w:tcW w:type="dxa" w:w="1468"/>
            <w:vAlign w:val="top"/>
          </w:tcPr>
          <w:p>
            <w:pPr>
              <w:spacing w:after="60" w:line="259" w:lineRule="auto"/>
            </w:pPr>
            <w:r>
              <w:rPr>
                <w:rFonts w:ascii="Calibri" w:hAnsi="Calibri"/>
                <w:b w:val="0"/>
                <w:i w:val="0"/>
                <w:color w:val="212121"/>
                <w:sz w:val="19"/>
              </w:rPr>
              <w:t>High salt worsens oedema, BP and proteinuria and blunts ACEi/ARB effect</w:t>
            </w:r>
          </w:p>
          <w:p>
            <w:pPr>
              <w:spacing w:after="40" w:line="252" w:lineRule="auto"/>
            </w:pPr>
            <w:hyperlink r:id="rId16">
              <w:r>
                <w:rPr>
                  <w:rFonts w:ascii="Calibri" w:hAnsi="Calibri" w:cs="Calibri"/>
                  <w:sz w:val="18"/>
                  <w:color w:val="1155CC"/>
                  <w:u w:val="single"/>
                </w:rPr>
                <w:t xml:space="preserve">https://www.aafp.org/pubs/afp/issues/2017/0401/p423.html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protein (g/kg/day)</w:t>
            </w:r>
          </w:p>
        </w:tc>
        <w:tc>
          <w:tcPr>
            <w:tcW w:type="dxa" w:w="1655"/>
            <w:vAlign w:val="top"/>
          </w:tcPr>
          <w:p>
            <w:pPr>
              <w:spacing w:after="40" w:before="0" w:line="259" w:lineRule="auto"/>
            </w:pPr>
            <w:r>
              <w:rPr>
                <w:rFonts w:ascii="Calibri" w:hAnsi="Calibri"/>
                <w:b w:val="0"/>
                <w:i w:val="0"/>
                <w:color w:val="212121"/>
                <w:sz w:val="19"/>
              </w:rPr>
              <w:t>Non-dialysis CKD/GN adults</w:t>
            </w:r>
          </w:p>
        </w:tc>
        <w:tc>
          <w:tcPr>
            <w:tcW w:type="dxa" w:w="1512"/>
            <w:vAlign w:val="top"/>
          </w:tcPr>
          <w:p>
            <w:pPr>
              <w:spacing w:after="40" w:before="0" w:line="259" w:lineRule="auto"/>
            </w:pPr>
            <w:r>
              <w:rPr>
                <w:rFonts w:ascii="Calibri" w:hAnsi="Calibri"/>
                <w:b w:val="0"/>
                <w:i w:val="0"/>
                <w:color w:val="212121"/>
                <w:sz w:val="19"/>
              </w:rPr>
              <w:t>~0.8 g/kg/day</w:t>
            </w:r>
          </w:p>
        </w:tc>
        <w:tc>
          <w:tcPr>
            <w:tcW w:type="dxa" w:w="1512"/>
            <w:vAlign w:val="top"/>
          </w:tcPr>
          <w:p>
            <w:pPr>
              <w:spacing w:after="40" w:before="0" w:line="259" w:lineRule="auto"/>
            </w:pPr>
            <w:r>
              <w:rPr>
                <w:rFonts w:ascii="Calibri" w:hAnsi="Calibri"/>
                <w:b w:val="0"/>
                <w:i w:val="0"/>
                <w:color w:val="212121"/>
                <w:sz w:val="19"/>
              </w:rPr>
              <w:t>Chronically &gt; 1.3 g/kg/day or high-protein supplements</w:t>
            </w:r>
          </w:p>
        </w:tc>
        <w:tc>
          <w:tcPr>
            <w:tcW w:type="dxa" w:w="1468"/>
            <w:vAlign w:val="top"/>
          </w:tcPr>
          <w:p>
            <w:pPr>
              <w:spacing w:after="40" w:before="0" w:line="259" w:lineRule="auto"/>
            </w:pPr>
            <w:r>
              <w:rPr>
                <w:rFonts w:ascii="Calibri" w:hAnsi="Calibri"/>
                <w:b w:val="0"/>
                <w:i w:val="0"/>
                <w:color w:val="212121"/>
                <w:sz w:val="19"/>
              </w:rPr>
              <w:t>Excess protein drives hyperfiltration; avoid over-restriction to prevent malnutrition</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Blood pressure (mmHg)</w:t>
            </w:r>
          </w:p>
        </w:tc>
        <w:tc>
          <w:tcPr>
            <w:tcW w:type="dxa" w:w="1655"/>
            <w:vAlign w:val="top"/>
          </w:tcPr>
          <w:p>
            <w:pPr>
              <w:spacing w:after="40" w:before="0" w:line="259" w:lineRule="auto"/>
            </w:pPr>
            <w:r>
              <w:rPr>
                <w:rFonts w:ascii="Calibri" w:hAnsi="Calibri"/>
                <w:b w:val="0"/>
                <w:i w:val="0"/>
                <w:color w:val="212121"/>
                <w:sz w:val="19"/>
              </w:rPr>
              <w:t>Adults and children with GN</w:t>
            </w:r>
          </w:p>
        </w:tc>
        <w:tc>
          <w:tcPr>
            <w:tcW w:type="dxa" w:w="1512"/>
            <w:vAlign w:val="top"/>
          </w:tcPr>
          <w:p>
            <w:pPr>
              <w:spacing w:after="40" w:before="0" w:line="259" w:lineRule="auto"/>
            </w:pPr>
            <w:r>
              <w:rPr>
                <w:rFonts w:ascii="Calibri" w:hAnsi="Calibri"/>
                <w:b w:val="0"/>
                <w:i w:val="0"/>
                <w:color w:val="212121"/>
                <w:sz w:val="19"/>
              </w:rPr>
              <w:t>&lt; 130/80 mmHg (adults); &lt; 90th centile for age in children</w:t>
            </w:r>
          </w:p>
        </w:tc>
        <w:tc>
          <w:tcPr>
            <w:tcW w:type="dxa" w:w="1512"/>
            <w:vAlign w:val="top"/>
          </w:tcPr>
          <w:p>
            <w:pPr>
              <w:spacing w:after="40" w:before="0" w:line="259" w:lineRule="auto"/>
            </w:pPr>
            <w:r>
              <w:rPr>
                <w:rFonts w:ascii="Calibri" w:hAnsi="Calibri"/>
                <w:b w:val="0"/>
                <w:i w:val="0"/>
                <w:color w:val="212121"/>
                <w:sz w:val="19"/>
              </w:rPr>
              <w:t>&gt;= 140/90 mmHg (adults)</w:t>
            </w:r>
          </w:p>
        </w:tc>
        <w:tc>
          <w:tcPr>
            <w:tcW w:type="dxa" w:w="1468"/>
            <w:vAlign w:val="top"/>
          </w:tcPr>
          <w:p>
            <w:pPr>
              <w:spacing w:after="60" w:line="259" w:lineRule="auto"/>
            </w:pPr>
            <w:r>
              <w:rPr>
                <w:rFonts w:ascii="Calibri" w:hAnsi="Calibri"/>
                <w:b w:val="0"/>
                <w:i w:val="0"/>
                <w:color w:val="212121"/>
                <w:sz w:val="19"/>
              </w:rPr>
              <w:t>BP control is the single most important modifiable driver of progression</w:t>
            </w:r>
          </w:p>
          <w:p>
            <w:pPr>
              <w:spacing w:after="40" w:line="252" w:lineRule="auto"/>
            </w:pPr>
            <w:hyperlink r:id="rId12">
              <w:r>
                <w:rPr>
                  <w:rFonts w:ascii="Calibri" w:hAnsi="Calibri" w:cs="Calibri"/>
                  <w:sz w:val="18"/>
                  <w:color w:val="1155CC"/>
                  <w:u w:val="single"/>
                </w:rPr>
                <w:t xml:space="preserve">https://www.ijpediatrics.com/index.php/ijcp/article/view/760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(kg/m2, Asian-Indian)</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18.0-22.9 kg/m2</w:t>
            </w:r>
          </w:p>
        </w:tc>
        <w:tc>
          <w:tcPr>
            <w:tcW w:type="dxa" w:w="1512"/>
            <w:vAlign w:val="top"/>
          </w:tcPr>
          <w:p>
            <w:pPr>
              <w:spacing w:after="40" w:before="0" w:line="259" w:lineRule="auto"/>
            </w:pPr>
            <w:r>
              <w:rPr>
                <w:rFonts w:ascii="Calibri" w:hAnsi="Calibri"/>
                <w:b w:val="0"/>
                <w:i w:val="0"/>
                <w:color w:val="212121"/>
                <w:sz w:val="19"/>
              </w:rPr>
              <w:t>&gt;= 23 (overweight); &gt;= 25 (obese)</w:t>
            </w:r>
          </w:p>
        </w:tc>
        <w:tc>
          <w:tcPr>
            <w:tcW w:type="dxa" w:w="1468"/>
            <w:vAlign w:val="top"/>
          </w:tcPr>
          <w:p>
            <w:pPr>
              <w:spacing w:after="60" w:line="259" w:lineRule="auto"/>
            </w:pPr>
            <w:r>
              <w:rPr>
                <w:rFonts w:ascii="Calibri" w:hAnsi="Calibri"/>
                <w:b w:val="0"/>
                <w:i w:val="0"/>
                <w:color w:val="212121"/>
                <w:sz w:val="19"/>
              </w:rPr>
              <w:t>Obesity causes hyperfiltration and obesity-related glomerulopathy</w:t>
            </w:r>
          </w:p>
          <w:p>
            <w:pPr>
              <w:spacing w:after="40" w:line="252" w:lineRule="auto"/>
            </w:pPr>
            <w:hyperlink r:id="rId14">
              <w:r>
                <w:rPr>
                  <w:rFonts w:ascii="Calibri" w:hAnsi="Calibri" w:cs="Calibri"/>
                  <w:sz w:val="18"/>
                  <w:color w:val="1155CC"/>
                  <w:u w:val="single"/>
                </w:rPr>
                <w:t xml:space="preserve">https://www.nature.com/articles/nrneph.2016.75</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pack-years</w:t>
            </w:r>
          </w:p>
        </w:tc>
        <w:tc>
          <w:tcPr>
            <w:tcW w:type="dxa" w:w="1655"/>
            <w:vAlign w:val="top"/>
          </w:tcPr>
          <w:p>
            <w:pPr>
              <w:spacing w:after="40" w:before="0" w:line="259" w:lineRule="auto"/>
            </w:pPr>
            <w:r>
              <w:rPr>
                <w:rFonts w:ascii="Calibri" w:hAnsi="Calibri"/>
                <w:b w:val="0"/>
                <w:i w:val="0"/>
                <w:color w:val="212121"/>
                <w:sz w:val="19"/>
              </w:rPr>
              <w:t>Adults with glomerular disease</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Any current smoking; &gt; 20 pack-years markedly raises risk</w:t>
            </w:r>
          </w:p>
        </w:tc>
        <w:tc>
          <w:tcPr>
            <w:tcW w:type="dxa" w:w="1468"/>
            <w:vAlign w:val="top"/>
          </w:tcPr>
          <w:p>
            <w:pPr>
              <w:spacing w:after="60" w:line="259" w:lineRule="auto"/>
            </w:pPr>
            <w:r>
              <w:rPr>
                <w:rFonts w:ascii="Calibri" w:hAnsi="Calibri"/>
                <w:b w:val="0"/>
                <w:i w:val="0"/>
                <w:color w:val="212121"/>
                <w:sz w:val="19"/>
              </w:rPr>
              <w:t>Dose-dependent acceleration of renal decline (HR 1.58; +143% if &gt;20 pack-years)</w:t>
            </w:r>
          </w:p>
          <w:p>
            <w:pPr>
              <w:spacing w:after="40" w:line="252" w:lineRule="auto"/>
            </w:pPr>
            <w:hyperlink r:id="rId13">
              <w:r>
                <w:rPr>
                  <w:rFonts w:ascii="Calibri" w:hAnsi="Calibri" w:cs="Calibri"/>
                  <w:sz w:val="18"/>
                  <w:color w:val="1155CC"/>
                  <w:u w:val="single"/>
                </w:rPr>
                <w:t xml:space="preserve">https://link.springer.com/article/10.1186/s12882-021-02453-4</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(standard drinks/week)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Nil to minimal</w:t>
            </w:r>
          </w:p>
        </w:tc>
        <w:tc>
          <w:tcPr>
            <w:tcW w:type="dxa" w:w="1512"/>
            <w:vAlign w:val="top"/>
          </w:tcPr>
          <w:p>
            <w:pPr>
              <w:spacing w:after="40" w:before="0" w:line="259" w:lineRule="auto"/>
            </w:pPr>
            <w:r>
              <w:rPr>
                <w:rFonts w:ascii="Calibri" w:hAnsi="Calibri"/>
                <w:b w:val="0"/>
                <w:i w:val="0"/>
                <w:color w:val="212121"/>
                <w:sz w:val="19"/>
              </w:rPr>
              <w:t>Heavy intake (&gt; 14 units/week)</w:t>
            </w:r>
          </w:p>
        </w:tc>
        <w:tc>
          <w:tcPr>
            <w:tcW w:type="dxa" w:w="1468"/>
            <w:vAlign w:val="top"/>
          </w:tcPr>
          <w:p>
            <w:pPr>
              <w:spacing w:after="60" w:line="259" w:lineRule="auto"/>
            </w:pPr>
            <w:r>
              <w:rPr>
                <w:rFonts w:ascii="Calibri" w:hAnsi="Calibri"/>
                <w:b w:val="0"/>
                <w:i w:val="0"/>
                <w:color w:val="212121"/>
                <w:sz w:val="19"/>
              </w:rPr>
              <w:t>Heavy intake raises BP and is associated with albuminuria</w:t>
            </w:r>
          </w:p>
          <w:p>
            <w:pPr>
              <w:spacing w:after="40" w:line="252" w:lineRule="auto"/>
            </w:pPr>
            <w:hyperlink r:id="rId15">
              <w:r>
                <w:rPr>
                  <w:rFonts w:ascii="Calibri" w:hAnsi="Calibri" w:cs="Calibri"/>
                  <w:sz w:val="18"/>
                  <w:color w:val="1155CC"/>
                  <w:u w:val="single"/>
                </w:rPr>
                <w:t xml:space="preserve">https://academic.oup.com/qjmed/article/108/7/539/1568006</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Fluid intake / urine output</w:t>
            </w:r>
          </w:p>
        </w:tc>
        <w:tc>
          <w:tcPr>
            <w:tcW w:type="dxa" w:w="1655"/>
            <w:vAlign w:val="top"/>
          </w:tcPr>
          <w:p>
            <w:pPr>
              <w:spacing w:after="40" w:before="0" w:line="259" w:lineRule="auto"/>
            </w:pPr>
            <w:r>
              <w:rPr>
                <w:rFonts w:ascii="Calibri" w:hAnsi="Calibri"/>
                <w:b w:val="0"/>
                <w:i w:val="0"/>
                <w:color w:val="212121"/>
                <w:sz w:val="19"/>
              </w:rPr>
              <w:t>Acute nephritic phase with oliguria</w:t>
            </w:r>
          </w:p>
        </w:tc>
        <w:tc>
          <w:tcPr>
            <w:tcW w:type="dxa" w:w="1512"/>
            <w:vAlign w:val="top"/>
          </w:tcPr>
          <w:p>
            <w:pPr>
              <w:spacing w:after="40" w:before="0" w:line="259" w:lineRule="auto"/>
            </w:pPr>
            <w:r>
              <w:rPr>
                <w:rFonts w:ascii="Calibri" w:hAnsi="Calibri"/>
                <w:b w:val="0"/>
                <w:i w:val="0"/>
                <w:color w:val="212121"/>
                <w:sz w:val="19"/>
              </w:rPr>
              <w:t>Match losses (insensible + previous day's urine) when oedematous</w:t>
            </w:r>
          </w:p>
        </w:tc>
        <w:tc>
          <w:tcPr>
            <w:tcW w:type="dxa" w:w="1512"/>
            <w:vAlign w:val="top"/>
          </w:tcPr>
          <w:p>
            <w:pPr>
              <w:spacing w:after="40" w:before="0" w:line="259" w:lineRule="auto"/>
            </w:pPr>
            <w:r>
              <w:rPr>
                <w:rFonts w:ascii="Calibri" w:hAnsi="Calibri"/>
                <w:b w:val="0"/>
                <w:i w:val="0"/>
                <w:color w:val="212121"/>
                <w:sz w:val="19"/>
              </w:rPr>
              <w:t>Fluid overload, rising weight, falling urine output</w:t>
            </w:r>
          </w:p>
        </w:tc>
        <w:tc>
          <w:tcPr>
            <w:tcW w:type="dxa" w:w="1468"/>
            <w:vAlign w:val="top"/>
          </w:tcPr>
          <w:p>
            <w:pPr>
              <w:spacing w:after="40" w:before="0" w:line="259" w:lineRule="auto"/>
            </w:pPr>
            <w:r>
              <w:rPr>
                <w:rFonts w:ascii="Calibri" w:hAnsi="Calibri"/>
                <w:b w:val="0"/>
                <w:i w:val="0"/>
                <w:color w:val="212121"/>
                <w:sz w:val="19"/>
              </w:rPr>
              <w:t>Restrict fluids and salt during acute oliguric/overload phase; liberalise on recovery</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 or untreated obstructive sleep apnoea</w:t>
            </w:r>
          </w:p>
        </w:tc>
        <w:tc>
          <w:tcPr>
            <w:tcW w:type="dxa" w:w="1468"/>
            <w:vAlign w:val="top"/>
          </w:tcPr>
          <w:p>
            <w:pPr>
              <w:spacing w:after="40" w:before="0" w:line="259" w:lineRule="auto"/>
            </w:pPr>
            <w:r>
              <w:rPr>
                <w:rFonts w:ascii="Calibri" w:hAnsi="Calibri"/>
                <w:b w:val="0"/>
                <w:i w:val="0"/>
                <w:color w:val="212121"/>
                <w:sz w:val="19"/>
              </w:rPr>
              <w:t>Poor sleep/OSA worsen hypertension and CKD progression</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Spot urine protein:creatinine ratio (UPCR)</w:t>
            </w:r>
          </w:p>
        </w:tc>
        <w:tc>
          <w:tcPr>
            <w:tcW w:type="dxa" w:w="1655"/>
            <w:vAlign w:val="top"/>
          </w:tcPr>
          <w:p>
            <w:pPr>
              <w:spacing w:after="40" w:before="0" w:line="259" w:lineRule="auto"/>
            </w:pPr>
            <w:r>
              <w:rPr>
                <w:rFonts w:ascii="Calibri" w:hAnsi="Calibri"/>
                <w:b w:val="0"/>
                <w:i w:val="0"/>
                <w:color w:val="212121"/>
                <w:sz w:val="19"/>
              </w:rPr>
              <w:t>All GN patients (monitoring)</w:t>
            </w:r>
          </w:p>
        </w:tc>
        <w:tc>
          <w:tcPr>
            <w:tcW w:type="dxa" w:w="1512"/>
            <w:vAlign w:val="top"/>
          </w:tcPr>
          <w:p>
            <w:pPr>
              <w:spacing w:after="40" w:before="0" w:line="259" w:lineRule="auto"/>
            </w:pPr>
            <w:r>
              <w:rPr>
                <w:rFonts w:ascii="Calibri" w:hAnsi="Calibri"/>
                <w:b w:val="0"/>
                <w:i w:val="0"/>
                <w:color w:val="212121"/>
                <w:sz w:val="19"/>
              </w:rPr>
              <w:t>&lt; 0.2 g/g (&lt; ~150 mg/day)</w:t>
            </w:r>
          </w:p>
        </w:tc>
        <w:tc>
          <w:tcPr>
            <w:tcW w:type="dxa" w:w="1512"/>
            <w:vAlign w:val="top"/>
          </w:tcPr>
          <w:p>
            <w:pPr>
              <w:spacing w:after="40" w:before="0" w:line="259" w:lineRule="auto"/>
            </w:pPr>
            <w:r>
              <w:rPr>
                <w:rFonts w:ascii="Calibri" w:hAnsi="Calibri"/>
                <w:b w:val="0"/>
                <w:i w:val="0"/>
                <w:color w:val="212121"/>
                <w:sz w:val="19"/>
              </w:rPr>
              <w:t>Persistent &gt; 0.5-1.0 g/g</w:t>
            </w:r>
          </w:p>
        </w:tc>
        <w:tc>
          <w:tcPr>
            <w:tcW w:type="dxa" w:w="1468"/>
            <w:vAlign w:val="top"/>
          </w:tcPr>
          <w:p>
            <w:pPr>
              <w:spacing w:after="40" w:before="0" w:line="259" w:lineRule="auto"/>
            </w:pPr>
            <w:r>
              <w:rPr>
                <w:rFonts w:ascii="Calibri" w:hAnsi="Calibri"/>
                <w:b w:val="0"/>
                <w:i w:val="0"/>
                <w:color w:val="212121"/>
                <w:sz w:val="19"/>
              </w:rPr>
              <w:t>Degree and persistence of proteinuria is the strongest predictor of progression</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Serum C3 complement</w:t>
            </w:r>
          </w:p>
        </w:tc>
        <w:tc>
          <w:tcPr>
            <w:tcW w:type="dxa" w:w="1655"/>
            <w:vAlign w:val="top"/>
          </w:tcPr>
          <w:p>
            <w:pPr>
              <w:spacing w:after="40" w:before="0" w:line="259" w:lineRule="auto"/>
            </w:pPr>
            <w:r>
              <w:rPr>
                <w:rFonts w:ascii="Calibri" w:hAnsi="Calibri"/>
                <w:b w:val="0"/>
                <w:i w:val="0"/>
                <w:color w:val="212121"/>
                <w:sz w:val="19"/>
              </w:rPr>
              <w:t>Suspected post-infectious/lupus/MPGN</w:t>
            </w:r>
          </w:p>
        </w:tc>
        <w:tc>
          <w:tcPr>
            <w:tcW w:type="dxa" w:w="1512"/>
            <w:vAlign w:val="top"/>
          </w:tcPr>
          <w:p>
            <w:pPr>
              <w:spacing w:after="40" w:before="0" w:line="259" w:lineRule="auto"/>
            </w:pPr>
            <w:r>
              <w:rPr>
                <w:rFonts w:ascii="Calibri" w:hAnsi="Calibri"/>
                <w:b w:val="0"/>
                <w:i w:val="0"/>
                <w:color w:val="212121"/>
                <w:sz w:val="19"/>
              </w:rPr>
              <w:t>Normal C3 (about 90-180 mg/dL)</w:t>
            </w:r>
          </w:p>
        </w:tc>
        <w:tc>
          <w:tcPr>
            <w:tcW w:type="dxa" w:w="1512"/>
            <w:vAlign w:val="top"/>
          </w:tcPr>
          <w:p>
            <w:pPr>
              <w:spacing w:after="40" w:before="0" w:line="259" w:lineRule="auto"/>
            </w:pPr>
            <w:r>
              <w:rPr>
                <w:rFonts w:ascii="Calibri" w:hAnsi="Calibri"/>
                <w:b w:val="0"/>
                <w:i w:val="0"/>
                <w:color w:val="212121"/>
                <w:sz w:val="19"/>
              </w:rPr>
              <w:t>Low C3, especially if persistently low beyond 8-12 weeks</w:t>
            </w:r>
          </w:p>
        </w:tc>
        <w:tc>
          <w:tcPr>
            <w:tcW w:type="dxa" w:w="1468"/>
            <w:vAlign w:val="top"/>
          </w:tcPr>
          <w:p>
            <w:pPr>
              <w:spacing w:after="60" w:line="259" w:lineRule="auto"/>
            </w:pPr>
            <w:r>
              <w:rPr>
                <w:rFonts w:ascii="Calibri" w:hAnsi="Calibri"/>
                <w:b w:val="0"/>
                <w:i w:val="0"/>
                <w:color w:val="212121"/>
                <w:sz w:val="19"/>
              </w:rPr>
              <w:t>Low C3 that fails to normalise suggests lupus, MPGN or C3 glomerulopathy rather than PSGN</w:t>
            </w:r>
          </w:p>
          <w:p>
            <w:pPr>
              <w:spacing w:after="40" w:line="252" w:lineRule="auto"/>
            </w:pPr>
            <w:hyperlink r:id="rId9">
              <w:r>
                <w:rPr>
                  <w:rFonts w:ascii="Calibri" w:hAnsi="Calibri" w:cs="Calibri"/>
                  <w:sz w:val="18"/>
                  <w:color w:val="1155CC"/>
                  <w:u w:val="single"/>
                </w:rPr>
                <w:t xml:space="preserve">https://pmc.ncbi.nlm.nih.gov/articles/PMC6482747/</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Urine microscopy</w:t>
            </w:r>
          </w:p>
        </w:tc>
        <w:tc>
          <w:tcPr>
            <w:tcW w:type="dxa" w:w="1036"/>
            <w:vAlign w:val="top"/>
          </w:tcPr>
          <w:p>
            <w:pPr>
              <w:spacing w:after="40" w:before="0" w:line="259" w:lineRule="auto"/>
            </w:pPr>
            <w:r>
              <w:rPr>
                <w:rFonts w:ascii="Calibri" w:hAnsi="Calibri"/>
                <w:b w:val="0"/>
                <w:i w:val="0"/>
                <w:color w:val="212121"/>
                <w:sz w:val="16"/>
              </w:rPr>
              <w:t>Dysmorphic RBCs &amp; red-cell casts</w:t>
            </w:r>
          </w:p>
        </w:tc>
        <w:tc>
          <w:tcPr>
            <w:tcW w:type="dxa" w:w="892"/>
            <w:vAlign w:val="top"/>
          </w:tcPr>
          <w:p>
            <w:pPr>
              <w:spacing w:after="40" w:before="0" w:line="259" w:lineRule="auto"/>
            </w:pPr>
            <w:r>
              <w:rPr>
                <w:rFonts w:ascii="Calibri" w:hAnsi="Calibri"/>
                <w:b w:val="0"/>
                <w:i w:val="0"/>
                <w:color w:val="212121"/>
                <w:sz w:val="16"/>
              </w:rPr>
              <w:t>Urinalysis / urine sediment</w:t>
            </w:r>
          </w:p>
        </w:tc>
        <w:tc>
          <w:tcPr>
            <w:tcW w:type="dxa" w:w="950"/>
            <w:vAlign w:val="top"/>
          </w:tcPr>
          <w:p>
            <w:pPr>
              <w:spacing w:after="40" w:before="0" w:line="259" w:lineRule="auto"/>
            </w:pPr>
            <w:r>
              <w:rPr>
                <w:rFonts w:ascii="Calibri" w:hAnsi="Calibri"/>
                <w:b w:val="0"/>
                <w:i w:val="0"/>
                <w:color w:val="212121"/>
                <w:sz w:val="16"/>
              </w:rPr>
              <w:t>No RBC casts; &lt; 3 RBC/hpf</w:t>
            </w:r>
          </w:p>
        </w:tc>
        <w:tc>
          <w:tcPr>
            <w:tcW w:type="dxa" w:w="950"/>
            <w:vAlign w:val="top"/>
          </w:tcPr>
          <w:p>
            <w:pPr>
              <w:spacing w:after="40" w:before="0" w:line="259" w:lineRule="auto"/>
            </w:pPr>
            <w:r>
              <w:rPr>
                <w:rFonts w:ascii="Calibri" w:hAnsi="Calibri"/>
                <w:b w:val="0"/>
                <w:i w:val="0"/>
                <w:color w:val="212121"/>
                <w:sz w:val="16"/>
              </w:rPr>
              <w:t>Dysmorphic RBCs and/or red-cell casts present</w:t>
            </w:r>
          </w:p>
        </w:tc>
        <w:tc>
          <w:tcPr>
            <w:tcW w:type="dxa" w:w="1036"/>
            <w:vAlign w:val="top"/>
          </w:tcPr>
          <w:p>
            <w:pPr>
              <w:spacing w:after="40" w:before="0" w:line="259" w:lineRule="auto"/>
            </w:pPr>
            <w:r>
              <w:rPr>
                <w:rFonts w:ascii="Calibri" w:hAnsi="Calibri"/>
                <w:b w:val="0"/>
                <w:i w:val="0"/>
                <w:color w:val="212121"/>
                <w:sz w:val="16"/>
              </w:rPr>
              <w:t>Hallmark of glomerular (nephritic) haematuria; localises bleeding to the glomerulus</w:t>
            </w:r>
          </w:p>
        </w:tc>
        <w:tc>
          <w:tcPr>
            <w:tcW w:type="dxa" w:w="1036"/>
            <w:vAlign w:val="top"/>
          </w:tcPr>
          <w:p>
            <w:pPr>
              <w:spacing w:after="40" w:before="0" w:line="259" w:lineRule="auto"/>
            </w:pPr>
            <w:r>
              <w:rPr>
                <w:rFonts w:ascii="Calibri" w:hAnsi="Calibri"/>
                <w:b w:val="0"/>
                <w:i w:val="0"/>
                <w:color w:val="212121"/>
                <w:sz w:val="16"/>
              </w:rPr>
              <w:t>All suspected GN, children with cola-coloured urine, IgA nephropathy</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Fresh, unspun sample; phase-contrast microscopy ideal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Urine chemistry</w:t>
            </w:r>
          </w:p>
        </w:tc>
        <w:tc>
          <w:tcPr>
            <w:tcW w:type="dxa" w:w="1036"/>
            <w:vAlign w:val="top"/>
          </w:tcPr>
          <w:p>
            <w:pPr>
              <w:spacing w:after="40" w:before="0" w:line="259" w:lineRule="auto"/>
            </w:pPr>
            <w:r>
              <w:rPr>
                <w:rFonts w:ascii="Calibri" w:hAnsi="Calibri"/>
                <w:b w:val="0"/>
                <w:i w:val="0"/>
                <w:color w:val="212121"/>
                <w:sz w:val="16"/>
              </w:rPr>
              <w:t>Urine protein:creatinine ratio / 24-h protein</w:t>
            </w:r>
          </w:p>
        </w:tc>
        <w:tc>
          <w:tcPr>
            <w:tcW w:type="dxa" w:w="892"/>
            <w:vAlign w:val="top"/>
          </w:tcPr>
          <w:p>
            <w:pPr>
              <w:spacing w:after="40" w:before="0" w:line="259" w:lineRule="auto"/>
            </w:pPr>
            <w:r>
              <w:rPr>
                <w:rFonts w:ascii="Calibri" w:hAnsi="Calibri"/>
                <w:b w:val="0"/>
                <w:i w:val="0"/>
                <w:color w:val="212121"/>
                <w:sz w:val="16"/>
              </w:rPr>
              <w:t>Proteinuria quantification</w:t>
            </w:r>
          </w:p>
        </w:tc>
        <w:tc>
          <w:tcPr>
            <w:tcW w:type="dxa" w:w="950"/>
            <w:vAlign w:val="top"/>
          </w:tcPr>
          <w:p>
            <w:pPr>
              <w:spacing w:after="40" w:before="0" w:line="259" w:lineRule="auto"/>
            </w:pPr>
            <w:r>
              <w:rPr>
                <w:rFonts w:ascii="Calibri" w:hAnsi="Calibri"/>
                <w:b w:val="0"/>
                <w:i w:val="0"/>
                <w:color w:val="212121"/>
                <w:sz w:val="16"/>
              </w:rPr>
              <w:t>&lt; 0.2 g/g (&lt; 150 mg/day)</w:t>
            </w:r>
          </w:p>
        </w:tc>
        <w:tc>
          <w:tcPr>
            <w:tcW w:type="dxa" w:w="950"/>
            <w:vAlign w:val="top"/>
          </w:tcPr>
          <w:p>
            <w:pPr>
              <w:spacing w:after="40" w:before="0" w:line="259" w:lineRule="auto"/>
            </w:pPr>
            <w:r>
              <w:rPr>
                <w:rFonts w:ascii="Calibri" w:hAnsi="Calibri"/>
                <w:b w:val="0"/>
                <w:i w:val="0"/>
                <w:color w:val="212121"/>
                <w:sz w:val="16"/>
              </w:rPr>
              <w:t>Sub-nephrotic in nephritic GN; nephrotic if &gt; 3.5 g/day</w:t>
            </w:r>
          </w:p>
        </w:tc>
        <w:tc>
          <w:tcPr>
            <w:tcW w:type="dxa" w:w="1036"/>
            <w:vAlign w:val="top"/>
          </w:tcPr>
          <w:p>
            <w:pPr>
              <w:spacing w:after="40" w:before="0" w:line="259" w:lineRule="auto"/>
            </w:pPr>
            <w:r>
              <w:rPr>
                <w:rFonts w:ascii="Calibri" w:hAnsi="Calibri"/>
                <w:b w:val="0"/>
                <w:i w:val="0"/>
                <w:color w:val="212121"/>
                <w:sz w:val="16"/>
              </w:rPr>
              <w:t>Quantifies glomerular protein leak; degree predicts prognosis and guides therapy</w:t>
            </w:r>
          </w:p>
        </w:tc>
        <w:tc>
          <w:tcPr>
            <w:tcW w:type="dxa" w:w="1036"/>
            <w:vAlign w:val="top"/>
          </w:tcPr>
          <w:p>
            <w:pPr>
              <w:spacing w:after="40" w:before="0" w:line="259" w:lineRule="auto"/>
            </w:pPr>
            <w:r>
              <w:rPr>
                <w:rFonts w:ascii="Calibri" w:hAnsi="Calibri"/>
                <w:b w:val="0"/>
                <w:i w:val="0"/>
                <w:color w:val="212121"/>
                <w:sz w:val="16"/>
              </w:rPr>
              <w:t>All GN, IgA nephropathy, lupus nephritis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Spot UPCR acceptable; correlate with serum albumin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creatinine &amp; eGFR</w:t>
            </w:r>
          </w:p>
        </w:tc>
        <w:tc>
          <w:tcPr>
            <w:tcW w:type="dxa" w:w="892"/>
            <w:vAlign w:val="top"/>
          </w:tcPr>
          <w:p>
            <w:pPr>
              <w:spacing w:after="40" w:before="0" w:line="259" w:lineRule="auto"/>
            </w:pPr>
            <w:r>
              <w:rPr>
                <w:rFonts w:ascii="Calibri" w:hAnsi="Calibri"/>
                <w:b w:val="0"/>
                <w:i w:val="0"/>
                <w:color w:val="212121"/>
                <w:sz w:val="16"/>
              </w:rPr>
              <w:t>Renal function test</w:t>
            </w:r>
          </w:p>
        </w:tc>
        <w:tc>
          <w:tcPr>
            <w:tcW w:type="dxa" w:w="950"/>
            <w:vAlign w:val="top"/>
          </w:tcPr>
          <w:p>
            <w:pPr>
              <w:spacing w:after="40" w:before="0" w:line="259" w:lineRule="auto"/>
            </w:pPr>
            <w:r>
              <w:rPr>
                <w:rFonts w:ascii="Calibri" w:hAnsi="Calibri"/>
                <w:b w:val="0"/>
                <w:i w:val="0"/>
                <w:color w:val="212121"/>
                <w:sz w:val="16"/>
              </w:rPr>
              <w:t>0.6-1.2 mg/dL; eGFR &gt;= 90 mL/min/1.73m2</w:t>
            </w:r>
          </w:p>
        </w:tc>
        <w:tc>
          <w:tcPr>
            <w:tcW w:type="dxa" w:w="950"/>
            <w:vAlign w:val="top"/>
          </w:tcPr>
          <w:p>
            <w:pPr>
              <w:spacing w:after="40" w:before="0" w:line="259" w:lineRule="auto"/>
            </w:pPr>
            <w:r>
              <w:rPr>
                <w:rFonts w:ascii="Calibri" w:hAnsi="Calibri"/>
                <w:b w:val="0"/>
                <w:i w:val="0"/>
                <w:color w:val="212121"/>
                <w:sz w:val="16"/>
              </w:rPr>
              <w:t>Raised creatinine; falling eGFR</w:t>
            </w:r>
          </w:p>
        </w:tc>
        <w:tc>
          <w:tcPr>
            <w:tcW w:type="dxa" w:w="1036"/>
            <w:vAlign w:val="top"/>
          </w:tcPr>
          <w:p>
            <w:pPr>
              <w:spacing w:after="40" w:before="0" w:line="259" w:lineRule="auto"/>
            </w:pPr>
            <w:r>
              <w:rPr>
                <w:rFonts w:ascii="Calibri" w:hAnsi="Calibri"/>
                <w:b w:val="0"/>
                <w:i w:val="0"/>
                <w:color w:val="212121"/>
                <w:sz w:val="16"/>
              </w:rPr>
              <w:t>Detects and grades acute kidney injury; rapid rise suggests crescentic (RPGN) disease</w:t>
            </w:r>
          </w:p>
        </w:tc>
        <w:tc>
          <w:tcPr>
            <w:tcW w:type="dxa" w:w="1036"/>
            <w:vAlign w:val="top"/>
          </w:tcPr>
          <w:p>
            <w:pPr>
              <w:spacing w:after="40" w:before="0" w:line="259" w:lineRule="auto"/>
            </w:pPr>
            <w:r>
              <w:rPr>
                <w:rFonts w:ascii="Calibri" w:hAnsi="Calibri"/>
                <w:b w:val="0"/>
                <w:i w:val="0"/>
                <w:color w:val="212121"/>
                <w:sz w:val="16"/>
              </w:rPr>
              <w:t>All GN, elderly, crescentic GN, oliguric patients</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Serial values define the tempo (acute vs rapidly progressive)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w:t>
            </w:r>
          </w:p>
        </w:tc>
        <w:tc>
          <w:tcPr>
            <w:tcW w:type="dxa" w:w="1036"/>
            <w:vAlign w:val="top"/>
          </w:tcPr>
          <w:p>
            <w:pPr>
              <w:spacing w:after="40" w:before="0" w:line="259" w:lineRule="auto"/>
            </w:pPr>
            <w:r>
              <w:rPr>
                <w:rFonts w:ascii="Calibri" w:hAnsi="Calibri"/>
                <w:b w:val="0"/>
                <w:i w:val="0"/>
                <w:color w:val="212121"/>
                <w:sz w:val="16"/>
              </w:rPr>
              <w:t>Serum complement C3 and C4</w:t>
            </w:r>
          </w:p>
        </w:tc>
        <w:tc>
          <w:tcPr>
            <w:tcW w:type="dxa" w:w="892"/>
            <w:vAlign w:val="top"/>
          </w:tcPr>
          <w:p>
            <w:pPr>
              <w:spacing w:after="40" w:before="0" w:line="259" w:lineRule="auto"/>
            </w:pPr>
            <w:r>
              <w:rPr>
                <w:rFonts w:ascii="Calibri" w:hAnsi="Calibri"/>
                <w:b w:val="0"/>
                <w:i w:val="0"/>
                <w:color w:val="212121"/>
                <w:sz w:val="16"/>
              </w:rPr>
              <w:t>Complement assay</w:t>
            </w:r>
          </w:p>
        </w:tc>
        <w:tc>
          <w:tcPr>
            <w:tcW w:type="dxa" w:w="950"/>
            <w:vAlign w:val="top"/>
          </w:tcPr>
          <w:p>
            <w:pPr>
              <w:spacing w:after="40" w:before="0" w:line="259" w:lineRule="auto"/>
            </w:pPr>
            <w:r>
              <w:rPr>
                <w:rFonts w:ascii="Calibri" w:hAnsi="Calibri"/>
                <w:b w:val="0"/>
                <w:i w:val="0"/>
                <w:color w:val="212121"/>
                <w:sz w:val="16"/>
              </w:rPr>
              <w:t>C3 ~90-180 mg/dL; C4 ~10-40 mg/dL</w:t>
            </w:r>
          </w:p>
        </w:tc>
        <w:tc>
          <w:tcPr>
            <w:tcW w:type="dxa" w:w="950"/>
            <w:vAlign w:val="top"/>
          </w:tcPr>
          <w:p>
            <w:pPr>
              <w:spacing w:after="40" w:before="0" w:line="259" w:lineRule="auto"/>
            </w:pPr>
            <w:r>
              <w:rPr>
                <w:rFonts w:ascii="Calibri" w:hAnsi="Calibri"/>
                <w:b w:val="0"/>
                <w:i w:val="0"/>
                <w:color w:val="212121"/>
                <w:sz w:val="16"/>
              </w:rPr>
              <w:t>Low C3 +/- C4</w:t>
            </w:r>
          </w:p>
        </w:tc>
        <w:tc>
          <w:tcPr>
            <w:tcW w:type="dxa" w:w="1036"/>
            <w:vAlign w:val="top"/>
          </w:tcPr>
          <w:p>
            <w:pPr>
              <w:spacing w:after="40" w:before="0" w:line="259" w:lineRule="auto"/>
            </w:pPr>
            <w:r>
              <w:rPr>
                <w:rFonts w:ascii="Calibri" w:hAnsi="Calibri"/>
                <w:b w:val="0"/>
                <w:i w:val="0"/>
                <w:color w:val="212121"/>
                <w:sz w:val="16"/>
              </w:rPr>
              <w:t>Low C3 points to post-infectious GN, lupus nephritis, MPGN or C3 glomerulopathy; helps narrow cause</w:t>
            </w:r>
          </w:p>
        </w:tc>
        <w:tc>
          <w:tcPr>
            <w:tcW w:type="dxa" w:w="1036"/>
            <w:vAlign w:val="top"/>
          </w:tcPr>
          <w:p>
            <w:pPr>
              <w:spacing w:after="40" w:before="0" w:line="259" w:lineRule="auto"/>
            </w:pPr>
            <w:r>
              <w:rPr>
                <w:rFonts w:ascii="Calibri" w:hAnsi="Calibri"/>
                <w:b w:val="0"/>
                <w:i w:val="0"/>
                <w:color w:val="212121"/>
                <w:sz w:val="16"/>
              </w:rPr>
              <w:t>Post-streptococcal GN, lupus, MPGN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PSGN C3 normalises by 8 weeks; persistent low C3 needs biopsy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ASO titre / anti-DNase B</w:t>
            </w:r>
          </w:p>
        </w:tc>
        <w:tc>
          <w:tcPr>
            <w:tcW w:type="dxa" w:w="892"/>
            <w:vAlign w:val="top"/>
          </w:tcPr>
          <w:p>
            <w:pPr>
              <w:spacing w:after="40" w:before="0" w:line="259" w:lineRule="auto"/>
            </w:pPr>
            <w:r>
              <w:rPr>
                <w:rFonts w:ascii="Calibri" w:hAnsi="Calibri"/>
                <w:b w:val="0"/>
                <w:i w:val="0"/>
                <w:color w:val="212121"/>
                <w:sz w:val="16"/>
              </w:rPr>
              <w:t>Streptococcal serology</w:t>
            </w:r>
          </w:p>
        </w:tc>
        <w:tc>
          <w:tcPr>
            <w:tcW w:type="dxa" w:w="950"/>
            <w:vAlign w:val="top"/>
          </w:tcPr>
          <w:p>
            <w:pPr>
              <w:spacing w:after="40" w:before="0" w:line="259" w:lineRule="auto"/>
            </w:pPr>
            <w:r>
              <w:rPr>
                <w:rFonts w:ascii="Calibri" w:hAnsi="Calibri"/>
                <w:b w:val="0"/>
                <w:i w:val="0"/>
                <w:color w:val="212121"/>
                <w:sz w:val="16"/>
              </w:rPr>
              <w:t>ASO &lt; 200 Todd units</w:t>
            </w:r>
          </w:p>
        </w:tc>
        <w:tc>
          <w:tcPr>
            <w:tcW w:type="dxa" w:w="950"/>
            <w:vAlign w:val="top"/>
          </w:tcPr>
          <w:p>
            <w:pPr>
              <w:spacing w:after="40" w:before="0" w:line="259" w:lineRule="auto"/>
            </w:pPr>
            <w:r>
              <w:rPr>
                <w:rFonts w:ascii="Calibri" w:hAnsi="Calibri"/>
                <w:b w:val="0"/>
                <w:i w:val="0"/>
                <w:color w:val="212121"/>
                <w:sz w:val="16"/>
              </w:rPr>
              <w:t>Rising or elevated titres</w:t>
            </w:r>
          </w:p>
        </w:tc>
        <w:tc>
          <w:tcPr>
            <w:tcW w:type="dxa" w:w="1036"/>
            <w:vAlign w:val="top"/>
          </w:tcPr>
          <w:p>
            <w:pPr>
              <w:spacing w:after="40" w:before="0" w:line="259" w:lineRule="auto"/>
            </w:pPr>
            <w:r>
              <w:rPr>
                <w:rFonts w:ascii="Calibri" w:hAnsi="Calibri"/>
                <w:b w:val="0"/>
                <w:i w:val="0"/>
                <w:color w:val="212121"/>
                <w:sz w:val="16"/>
              </w:rPr>
              <w:t>Confirms recent streptococcal infection in suspected post-streptococcal GN</w:t>
            </w:r>
          </w:p>
        </w:tc>
        <w:tc>
          <w:tcPr>
            <w:tcW w:type="dxa" w:w="1036"/>
            <w:vAlign w:val="top"/>
          </w:tcPr>
          <w:p>
            <w:pPr>
              <w:spacing w:after="40" w:before="0" w:line="259" w:lineRule="auto"/>
            </w:pPr>
            <w:r>
              <w:rPr>
                <w:rFonts w:ascii="Calibri" w:hAnsi="Calibri"/>
                <w:b w:val="0"/>
                <w:i w:val="0"/>
                <w:color w:val="212121"/>
                <w:sz w:val="16"/>
              </w:rPr>
              <w:t>Children with recent pyoderma/pharyngitis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Anti-DNase B is more sensitive after skin infection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Autoimmune serology</w:t>
            </w:r>
          </w:p>
        </w:tc>
        <w:tc>
          <w:tcPr>
            <w:tcW w:type="dxa" w:w="1036"/>
            <w:vAlign w:val="top"/>
          </w:tcPr>
          <w:p>
            <w:pPr>
              <w:spacing w:after="40" w:before="0" w:line="259" w:lineRule="auto"/>
            </w:pPr>
            <w:r>
              <w:rPr>
                <w:rFonts w:ascii="Calibri" w:hAnsi="Calibri"/>
                <w:b w:val="0"/>
                <w:i w:val="0"/>
                <w:color w:val="212121"/>
                <w:sz w:val="16"/>
              </w:rPr>
              <w:t>ANA, anti-dsDNA, ANCA, anti-GBM</w:t>
            </w:r>
          </w:p>
        </w:tc>
        <w:tc>
          <w:tcPr>
            <w:tcW w:type="dxa" w:w="892"/>
            <w:vAlign w:val="top"/>
          </w:tcPr>
          <w:p>
            <w:pPr>
              <w:spacing w:after="40" w:before="0" w:line="259" w:lineRule="auto"/>
            </w:pPr>
            <w:r>
              <w:rPr>
                <w:rFonts w:ascii="Calibri" w:hAnsi="Calibri"/>
                <w:b w:val="0"/>
                <w:i w:val="0"/>
                <w:color w:val="212121"/>
                <w:sz w:val="16"/>
              </w:rPr>
              <w:t>Vasculitis / lupus panel</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ANA/anti-dsDNA (lupus), MPO/PR3-ANCA (pauci-immune), anti-GBM (Goodpasture)</w:t>
            </w:r>
          </w:p>
        </w:tc>
        <w:tc>
          <w:tcPr>
            <w:tcW w:type="dxa" w:w="1036"/>
            <w:vAlign w:val="top"/>
          </w:tcPr>
          <w:p>
            <w:pPr>
              <w:spacing w:after="40" w:before="0" w:line="259" w:lineRule="auto"/>
            </w:pPr>
            <w:r>
              <w:rPr>
                <w:rFonts w:ascii="Calibri" w:hAnsi="Calibri"/>
                <w:b w:val="0"/>
                <w:i w:val="0"/>
                <w:color w:val="212121"/>
                <w:sz w:val="16"/>
              </w:rPr>
              <w:t>Identifies secondary and rapidly progressive causes and directs immunosuppression</w:t>
            </w:r>
          </w:p>
        </w:tc>
        <w:tc>
          <w:tcPr>
            <w:tcW w:type="dxa" w:w="1036"/>
            <w:vAlign w:val="top"/>
          </w:tcPr>
          <w:p>
            <w:pPr>
              <w:spacing w:after="40" w:before="0" w:line="259" w:lineRule="auto"/>
            </w:pPr>
            <w:r>
              <w:rPr>
                <w:rFonts w:ascii="Calibri" w:hAnsi="Calibri"/>
                <w:b w:val="0"/>
                <w:i w:val="0"/>
                <w:color w:val="212121"/>
                <w:sz w:val="16"/>
              </w:rPr>
              <w:t>Young women (lupus), elderly (ANCA), pulmonary-renal syndrome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Order urgently when creatinine is rising fast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 / infection screen</w:t>
            </w:r>
          </w:p>
        </w:tc>
        <w:tc>
          <w:tcPr>
            <w:tcW w:type="dxa" w:w="1036"/>
            <w:vAlign w:val="top"/>
          </w:tcPr>
          <w:p>
            <w:pPr>
              <w:spacing w:after="40" w:before="0" w:line="259" w:lineRule="auto"/>
            </w:pPr>
            <w:r>
              <w:rPr>
                <w:rFonts w:ascii="Calibri" w:hAnsi="Calibri"/>
                <w:b w:val="0"/>
                <w:i w:val="0"/>
                <w:color w:val="212121"/>
                <w:sz w:val="16"/>
              </w:rPr>
              <w:t>CBC, ESR/CRP, hepatitis B/C, HIV</w:t>
            </w:r>
          </w:p>
        </w:tc>
        <w:tc>
          <w:tcPr>
            <w:tcW w:type="dxa" w:w="892"/>
            <w:vAlign w:val="top"/>
          </w:tcPr>
          <w:p>
            <w:pPr>
              <w:spacing w:after="40" w:before="0" w:line="259" w:lineRule="auto"/>
            </w:pPr>
            <w:r>
              <w:rPr>
                <w:rFonts w:ascii="Calibri" w:hAnsi="Calibri"/>
                <w:b w:val="0"/>
                <w:i w:val="0"/>
                <w:color w:val="212121"/>
                <w:sz w:val="16"/>
              </w:rPr>
              <w:t>Baseline &amp; secondary-cause screen</w:t>
            </w:r>
          </w:p>
        </w:tc>
        <w:tc>
          <w:tcPr>
            <w:tcW w:type="dxa" w:w="950"/>
            <w:vAlign w:val="top"/>
          </w:tcPr>
          <w:p>
            <w:pPr>
              <w:spacing w:after="40" w:before="0" w:line="259" w:lineRule="auto"/>
            </w:pPr>
            <w:r>
              <w:rPr>
                <w:rFonts w:ascii="Calibri" w:hAnsi="Calibri"/>
                <w:b w:val="0"/>
                <w:i w:val="0"/>
                <w:color w:val="212121"/>
                <w:sz w:val="16"/>
              </w:rPr>
              <w:t>Normal counts; non-reactive serology</w:t>
            </w:r>
          </w:p>
        </w:tc>
        <w:tc>
          <w:tcPr>
            <w:tcW w:type="dxa" w:w="950"/>
            <w:vAlign w:val="top"/>
          </w:tcPr>
          <w:p>
            <w:pPr>
              <w:spacing w:after="40" w:before="0" w:line="259" w:lineRule="auto"/>
            </w:pPr>
            <w:r>
              <w:rPr>
                <w:rFonts w:ascii="Calibri" w:hAnsi="Calibri"/>
                <w:b w:val="0"/>
                <w:i w:val="0"/>
                <w:color w:val="212121"/>
                <w:sz w:val="16"/>
              </w:rPr>
              <w:t>Anaemia, raised inflammatory markers, positive viral serology</w:t>
            </w:r>
          </w:p>
        </w:tc>
        <w:tc>
          <w:tcPr>
            <w:tcW w:type="dxa" w:w="1036"/>
            <w:vAlign w:val="top"/>
          </w:tcPr>
          <w:p>
            <w:pPr>
              <w:spacing w:after="40" w:before="0" w:line="259" w:lineRule="auto"/>
            </w:pPr>
            <w:r>
              <w:rPr>
                <w:rFonts w:ascii="Calibri" w:hAnsi="Calibri"/>
                <w:b w:val="0"/>
                <w:i w:val="0"/>
                <w:color w:val="212121"/>
                <w:sz w:val="16"/>
              </w:rPr>
              <w:t>Detects anaemia of renal disease and infection-related secondary GN</w:t>
            </w:r>
          </w:p>
        </w:tc>
        <w:tc>
          <w:tcPr>
            <w:tcW w:type="dxa" w:w="1036"/>
            <w:vAlign w:val="top"/>
          </w:tcPr>
          <w:p>
            <w:pPr>
              <w:spacing w:after="40" w:before="0" w:line="259" w:lineRule="auto"/>
            </w:pPr>
            <w:r>
              <w:rPr>
                <w:rFonts w:ascii="Calibri" w:hAnsi="Calibri"/>
                <w:b w:val="0"/>
                <w:i w:val="0"/>
                <w:color w:val="212121"/>
                <w:sz w:val="16"/>
              </w:rPr>
              <w:t>All GN, chronic infection risk groups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Positive viral serology changes management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Kidney biopsy (LM, IF, EM)</w:t>
            </w:r>
          </w:p>
        </w:tc>
        <w:tc>
          <w:tcPr>
            <w:tcW w:type="dxa" w:w="892"/>
            <w:vAlign w:val="top"/>
          </w:tcPr>
          <w:p>
            <w:pPr>
              <w:spacing w:after="40" w:before="0" w:line="259" w:lineRule="auto"/>
            </w:pPr>
            <w:r>
              <w:rPr>
                <w:rFonts w:ascii="Calibri" w:hAnsi="Calibri"/>
                <w:b w:val="0"/>
                <w:i w:val="0"/>
                <w:color w:val="212121"/>
                <w:sz w:val="16"/>
              </w:rPr>
              <w:t>Renal biopsy</w:t>
            </w:r>
          </w:p>
        </w:tc>
        <w:tc>
          <w:tcPr>
            <w:tcW w:type="dxa" w:w="950"/>
            <w:vAlign w:val="top"/>
          </w:tcPr>
          <w:p>
            <w:pPr>
              <w:spacing w:after="40" w:before="0" w:line="259" w:lineRule="auto"/>
            </w:pPr>
            <w:r>
              <w:rPr>
                <w:rFonts w:ascii="Calibri" w:hAnsi="Calibri"/>
                <w:b w:val="0"/>
                <w:i w:val="0"/>
                <w:color w:val="212121"/>
                <w:sz w:val="16"/>
              </w:rPr>
              <w:t>No glomerular inflammation</w:t>
            </w:r>
          </w:p>
        </w:tc>
        <w:tc>
          <w:tcPr>
            <w:tcW w:type="dxa" w:w="950"/>
            <w:vAlign w:val="top"/>
          </w:tcPr>
          <w:p>
            <w:pPr>
              <w:spacing w:after="40" w:before="0" w:line="259" w:lineRule="auto"/>
            </w:pPr>
            <w:r>
              <w:rPr>
                <w:rFonts w:ascii="Calibri" w:hAnsi="Calibri"/>
                <w:b w:val="0"/>
                <w:i w:val="0"/>
                <w:color w:val="212121"/>
                <w:sz w:val="16"/>
              </w:rPr>
              <w:t>Proliferative changes, crescents, immune deposits (IgA, immune-complex or pauci-immune)</w:t>
            </w:r>
          </w:p>
        </w:tc>
        <w:tc>
          <w:tcPr>
            <w:tcW w:type="dxa" w:w="1036"/>
            <w:vAlign w:val="top"/>
          </w:tcPr>
          <w:p>
            <w:pPr>
              <w:spacing w:after="40" w:before="0" w:line="259" w:lineRule="auto"/>
            </w:pPr>
            <w:r>
              <w:rPr>
                <w:rFonts w:ascii="Calibri" w:hAnsi="Calibri"/>
                <w:b w:val="0"/>
                <w:i w:val="0"/>
                <w:color w:val="212121"/>
                <w:sz w:val="16"/>
              </w:rPr>
              <w:t>Definitive - establishes pattern, activity/chronicity and guides treatment and prognosis</w:t>
            </w:r>
          </w:p>
        </w:tc>
        <w:tc>
          <w:tcPr>
            <w:tcW w:type="dxa" w:w="1036"/>
            <w:vAlign w:val="top"/>
          </w:tcPr>
          <w:p>
            <w:pPr>
              <w:spacing w:after="40" w:before="0" w:line="259" w:lineRule="auto"/>
            </w:pPr>
            <w:r>
              <w:rPr>
                <w:rFonts w:ascii="Calibri" w:hAnsi="Calibri"/>
                <w:b w:val="0"/>
                <w:i w:val="0"/>
                <w:color w:val="212121"/>
                <w:sz w:val="16"/>
              </w:rPr>
              <w:t>Adults with GN, RPGN, atypical or persistent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Often deferred in classic childhood PSGN; essential if RPGN suspected</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Preceding infection</w:t>
            </w:r>
          </w:p>
        </w:tc>
        <w:tc>
          <w:tcPr>
            <w:tcW w:type="dxa" w:w="979"/>
            <w:vAlign w:val="top"/>
          </w:tcPr>
          <w:p>
            <w:pPr>
              <w:spacing w:after="40" w:before="0" w:line="259" w:lineRule="auto"/>
            </w:pPr>
            <w:r>
              <w:rPr>
                <w:rFonts w:ascii="Calibri" w:hAnsi="Calibri"/>
                <w:b w:val="0"/>
                <w:i w:val="0"/>
                <w:color w:val="212121"/>
                <w:sz w:val="16"/>
              </w:rPr>
              <w:t>Recent sore throat or skin infection (latent period)</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Pharyngitis 1-3 weeks or pyoderma 3-6 weeks earlier</w:t>
            </w:r>
          </w:p>
        </w:tc>
        <w:tc>
          <w:tcPr>
            <w:tcW w:type="dxa" w:w="1036"/>
            <w:vAlign w:val="top"/>
          </w:tcPr>
          <w:p>
            <w:pPr>
              <w:spacing w:after="40" w:before="0" w:line="259" w:lineRule="auto"/>
            </w:pPr>
            <w:r>
              <w:rPr>
                <w:rFonts w:ascii="Calibri" w:hAnsi="Calibri"/>
                <w:b w:val="0"/>
                <w:i w:val="0"/>
                <w:color w:val="212121"/>
                <w:sz w:val="16"/>
              </w:rPr>
              <w:t>Latent period supports post-streptococcal GN and distinguishes it from synpharyngitic IgA nephropathy</w:t>
            </w:r>
          </w:p>
        </w:tc>
        <w:tc>
          <w:tcPr>
            <w:tcW w:type="dxa" w:w="1036"/>
            <w:vAlign w:val="top"/>
          </w:tcPr>
          <w:p>
            <w:pPr>
              <w:spacing w:after="40" w:before="0" w:line="259" w:lineRule="auto"/>
            </w:pPr>
            <w:r>
              <w:rPr>
                <w:rFonts w:ascii="Calibri" w:hAnsi="Calibri"/>
                <w:b w:val="0"/>
                <w:i w:val="0"/>
                <w:color w:val="212121"/>
                <w:sz w:val="16"/>
              </w:rPr>
              <w:t>Children, overcrowded households, recent scabies/impetigo</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Simultaneous haematuria with sore throat suggests IgA nephropathy instead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Urine colour &amp; output</w:t>
            </w:r>
          </w:p>
        </w:tc>
        <w:tc>
          <w:tcPr>
            <w:tcW w:type="dxa" w:w="979"/>
            <w:vAlign w:val="top"/>
          </w:tcPr>
          <w:p>
            <w:pPr>
              <w:spacing w:after="40" w:before="0" w:line="259" w:lineRule="auto"/>
            </w:pPr>
            <w:r>
              <w:rPr>
                <w:rFonts w:ascii="Calibri" w:hAnsi="Calibri"/>
                <w:b w:val="0"/>
                <w:i w:val="0"/>
                <w:color w:val="212121"/>
                <w:sz w:val="16"/>
              </w:rPr>
              <w:t>Cola/tea-coloured urine, reduced volume</w:t>
            </w:r>
          </w:p>
        </w:tc>
        <w:tc>
          <w:tcPr>
            <w:tcW w:type="dxa" w:w="950"/>
            <w:vAlign w:val="top"/>
          </w:tcPr>
          <w:p>
            <w:pPr>
              <w:spacing w:after="40" w:before="0" w:line="259" w:lineRule="auto"/>
            </w:pPr>
            <w:r>
              <w:rPr>
                <w:rFonts w:ascii="Calibri" w:hAnsi="Calibri"/>
                <w:b w:val="0"/>
                <w:i w:val="0"/>
                <w:color w:val="212121"/>
                <w:sz w:val="16"/>
              </w:rPr>
              <w:t>Clear, normal volume</w:t>
            </w:r>
          </w:p>
        </w:tc>
        <w:tc>
          <w:tcPr>
            <w:tcW w:type="dxa" w:w="950"/>
            <w:vAlign w:val="top"/>
          </w:tcPr>
          <w:p>
            <w:pPr>
              <w:spacing w:after="40" w:before="0" w:line="259" w:lineRule="auto"/>
            </w:pPr>
            <w:r>
              <w:rPr>
                <w:rFonts w:ascii="Calibri" w:hAnsi="Calibri"/>
                <w:b w:val="0"/>
                <w:i w:val="0"/>
                <w:color w:val="212121"/>
                <w:sz w:val="16"/>
              </w:rPr>
              <w:t>Smoky/cola-coloured urine, oliguria</w:t>
            </w:r>
          </w:p>
        </w:tc>
        <w:tc>
          <w:tcPr>
            <w:tcW w:type="dxa" w:w="1036"/>
            <w:vAlign w:val="top"/>
          </w:tcPr>
          <w:p>
            <w:pPr>
              <w:spacing w:after="40" w:before="0" w:line="259" w:lineRule="auto"/>
            </w:pPr>
            <w:r>
              <w:rPr>
                <w:rFonts w:ascii="Calibri" w:hAnsi="Calibri"/>
                <w:b w:val="0"/>
                <w:i w:val="0"/>
                <w:color w:val="212121"/>
                <w:sz w:val="16"/>
              </w:rPr>
              <w:t>Visible (macroscopic) glomerular haematuria and oliguria signal active nephritic syndrome</w:t>
            </w:r>
          </w:p>
        </w:tc>
        <w:tc>
          <w:tcPr>
            <w:tcW w:type="dxa" w:w="1036"/>
            <w:vAlign w:val="top"/>
          </w:tcPr>
          <w:p>
            <w:pPr>
              <w:spacing w:after="40" w:before="0" w:line="259" w:lineRule="auto"/>
            </w:pPr>
            <w:r>
              <w:rPr>
                <w:rFonts w:ascii="Calibri" w:hAnsi="Calibri"/>
                <w:b w:val="0"/>
                <w:i w:val="0"/>
                <w:color w:val="212121"/>
                <w:sz w:val="16"/>
              </w:rPr>
              <w:t>All GN, IgA nephropathy, PSGN</w:t>
            </w:r>
          </w:p>
        </w:tc>
        <w:tc>
          <w:tcPr>
            <w:tcW w:type="dxa" w:w="720"/>
            <w:vAlign w:val="top"/>
          </w:tcPr>
          <w:p>
            <w:pPr>
              <w:spacing w:after="40" w:before="0" w:line="259" w:lineRule="auto"/>
            </w:pPr>
            <w:r>
              <w:rPr>
                <w:rFonts w:ascii="Calibri" w:hAnsi="Calibri"/>
                <w:b w:val="0"/>
                <w:i w:val="0"/>
                <w:color w:val="212121"/>
                <w:sz w:val="16"/>
              </w:rPr>
              <w:t>Water;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about frothy urine (proteinuria) and swelling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Blood pressure</w:t>
            </w:r>
          </w:p>
        </w:tc>
        <w:tc>
          <w:tcPr>
            <w:tcW w:type="dxa" w:w="979"/>
            <w:vAlign w:val="top"/>
          </w:tcPr>
          <w:p>
            <w:pPr>
              <w:spacing w:after="40" w:before="0" w:line="259" w:lineRule="auto"/>
            </w:pPr>
            <w:r>
              <w:rPr>
                <w:rFonts w:ascii="Calibri" w:hAnsi="Calibri"/>
                <w:b w:val="0"/>
                <w:i w:val="0"/>
                <w:color w:val="212121"/>
                <w:sz w:val="16"/>
              </w:rPr>
              <w:t>Hypertension for age</w:t>
            </w:r>
          </w:p>
        </w:tc>
        <w:tc>
          <w:tcPr>
            <w:tcW w:type="dxa" w:w="950"/>
            <w:vAlign w:val="top"/>
          </w:tcPr>
          <w:p>
            <w:pPr>
              <w:spacing w:after="40" w:before="0" w:line="259" w:lineRule="auto"/>
            </w:pPr>
            <w:r>
              <w:rPr>
                <w:rFonts w:ascii="Calibri" w:hAnsi="Calibri"/>
                <w:b w:val="0"/>
                <w:i w:val="0"/>
                <w:color w:val="212121"/>
                <w:sz w:val="16"/>
              </w:rPr>
              <w:t>&lt; 130/80 (adult); &lt; 90th centile (child)</w:t>
            </w:r>
          </w:p>
        </w:tc>
        <w:tc>
          <w:tcPr>
            <w:tcW w:type="dxa" w:w="950"/>
            <w:vAlign w:val="top"/>
          </w:tcPr>
          <w:p>
            <w:pPr>
              <w:spacing w:after="40" w:before="0" w:line="259" w:lineRule="auto"/>
            </w:pPr>
            <w:r>
              <w:rPr>
                <w:rFonts w:ascii="Calibri" w:hAnsi="Calibri"/>
                <w:b w:val="0"/>
                <w:i w:val="0"/>
                <w:color w:val="212121"/>
                <w:sz w:val="16"/>
              </w:rPr>
              <w:t>Elevated BP, sometimes hypertensive emergency</w:t>
            </w:r>
          </w:p>
        </w:tc>
        <w:tc>
          <w:tcPr>
            <w:tcW w:type="dxa" w:w="1036"/>
            <w:vAlign w:val="top"/>
          </w:tcPr>
          <w:p>
            <w:pPr>
              <w:spacing w:after="40" w:before="0" w:line="259" w:lineRule="auto"/>
            </w:pPr>
            <w:r>
              <w:rPr>
                <w:rFonts w:ascii="Calibri" w:hAnsi="Calibri"/>
                <w:b w:val="0"/>
                <w:i w:val="0"/>
                <w:color w:val="212121"/>
                <w:sz w:val="16"/>
              </w:rPr>
              <w:t>Salt-and-water retention raises BP; severe elevation risks encephalopathy and heart failure</w:t>
            </w:r>
          </w:p>
        </w:tc>
        <w:tc>
          <w:tcPr>
            <w:tcW w:type="dxa" w:w="1036"/>
            <w:vAlign w:val="top"/>
          </w:tcPr>
          <w:p>
            <w:pPr>
              <w:spacing w:after="40" w:before="0" w:line="259" w:lineRule="auto"/>
            </w:pPr>
            <w:r>
              <w:rPr>
                <w:rFonts w:ascii="Calibri" w:hAnsi="Calibri"/>
                <w:b w:val="0"/>
                <w:i w:val="0"/>
                <w:color w:val="212121"/>
                <w:sz w:val="16"/>
              </w:rPr>
              <w:t>All GN, children with PSGN, elderly</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Encephalopathy/seizures occurred in ~8% of a North Indian PSGN series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Oedema &amp; volume status</w:t>
            </w:r>
          </w:p>
        </w:tc>
        <w:tc>
          <w:tcPr>
            <w:tcW w:type="dxa" w:w="979"/>
            <w:vAlign w:val="top"/>
          </w:tcPr>
          <w:p>
            <w:pPr>
              <w:spacing w:after="40" w:before="0" w:line="259" w:lineRule="auto"/>
            </w:pPr>
            <w:r>
              <w:rPr>
                <w:rFonts w:ascii="Calibri" w:hAnsi="Calibri"/>
                <w:b w:val="0"/>
                <w:i w:val="0"/>
                <w:color w:val="212121"/>
                <w:sz w:val="16"/>
              </w:rPr>
              <w:t>Periorbital puffiness, pedal/sacral oedema, raised JVP</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Facial puffiness (worse on waking), pitting oedema, signs of overload</w:t>
            </w:r>
          </w:p>
        </w:tc>
        <w:tc>
          <w:tcPr>
            <w:tcW w:type="dxa" w:w="1036"/>
            <w:vAlign w:val="top"/>
          </w:tcPr>
          <w:p>
            <w:pPr>
              <w:spacing w:after="40" w:before="0" w:line="259" w:lineRule="auto"/>
            </w:pPr>
            <w:r>
              <w:rPr>
                <w:rFonts w:ascii="Calibri" w:hAnsi="Calibri"/>
                <w:b w:val="0"/>
                <w:i w:val="0"/>
                <w:color w:val="212121"/>
                <w:sz w:val="16"/>
              </w:rPr>
              <w:t>Reflects renal sodium/water retention; may progress to pulmonary oedema</w:t>
            </w:r>
          </w:p>
        </w:tc>
        <w:tc>
          <w:tcPr>
            <w:tcW w:type="dxa" w:w="1036"/>
            <w:vAlign w:val="top"/>
          </w:tcPr>
          <w:p>
            <w:pPr>
              <w:spacing w:after="40" w:before="0" w:line="259" w:lineRule="auto"/>
            </w:pPr>
            <w:r>
              <w:rPr>
                <w:rFonts w:ascii="Calibri" w:hAnsi="Calibri"/>
                <w:b w:val="0"/>
                <w:i w:val="0"/>
                <w:color w:val="212121"/>
                <w:sz w:val="16"/>
              </w:rPr>
              <w:t>Children (facial puffiness), all nephritic patients</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Facial puffiness present in ~98% of one PSGN paediatric series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Systemic / extrarenal features</w:t>
            </w:r>
          </w:p>
        </w:tc>
        <w:tc>
          <w:tcPr>
            <w:tcW w:type="dxa" w:w="979"/>
            <w:vAlign w:val="top"/>
          </w:tcPr>
          <w:p>
            <w:pPr>
              <w:spacing w:after="40" w:before="0" w:line="259" w:lineRule="auto"/>
            </w:pPr>
            <w:r>
              <w:rPr>
                <w:rFonts w:ascii="Calibri" w:hAnsi="Calibri"/>
                <w:b w:val="0"/>
                <w:i w:val="0"/>
                <w:color w:val="212121"/>
                <w:sz w:val="16"/>
              </w:rPr>
              <w:t>Rash, purpura, arthralgia, haemoptysis, oral ulcers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Palpable purpura (IgA vasculitis), malar rash/arthritis (lupus), haemoptysis (anti-GBM/ANCA)</w:t>
            </w:r>
          </w:p>
        </w:tc>
        <w:tc>
          <w:tcPr>
            <w:tcW w:type="dxa" w:w="1036"/>
            <w:vAlign w:val="top"/>
          </w:tcPr>
          <w:p>
            <w:pPr>
              <w:spacing w:after="40" w:before="0" w:line="259" w:lineRule="auto"/>
            </w:pPr>
            <w:r>
              <w:rPr>
                <w:rFonts w:ascii="Calibri" w:hAnsi="Calibri"/>
                <w:b w:val="0"/>
                <w:i w:val="0"/>
                <w:color w:val="212121"/>
                <w:sz w:val="16"/>
              </w:rPr>
              <w:t>Points to a systemic secondary cause and a pulmonary-renal syndrome needing urgent therapy</w:t>
            </w:r>
          </w:p>
        </w:tc>
        <w:tc>
          <w:tcPr>
            <w:tcW w:type="dxa" w:w="1036"/>
            <w:vAlign w:val="top"/>
          </w:tcPr>
          <w:p>
            <w:pPr>
              <w:spacing w:after="40" w:before="0" w:line="259" w:lineRule="auto"/>
            </w:pPr>
            <w:r>
              <w:rPr>
                <w:rFonts w:ascii="Calibri" w:hAnsi="Calibri"/>
                <w:b w:val="0"/>
                <w:i w:val="0"/>
                <w:color w:val="212121"/>
                <w:sz w:val="16"/>
              </w:rPr>
              <w:t>Young women (lupus), children (HSP), vasculitis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Haemoptysis with GN is a medical emergency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drug history</w:t>
            </w:r>
          </w:p>
        </w:tc>
        <w:tc>
          <w:tcPr>
            <w:tcW w:type="dxa" w:w="979"/>
            <w:vAlign w:val="top"/>
          </w:tcPr>
          <w:p>
            <w:pPr>
              <w:spacing w:after="40" w:before="0" w:line="259" w:lineRule="auto"/>
            </w:pPr>
            <w:r>
              <w:rPr>
                <w:rFonts w:ascii="Calibri" w:hAnsi="Calibri"/>
                <w:b w:val="0"/>
                <w:i w:val="0"/>
                <w:color w:val="212121"/>
                <w:sz w:val="16"/>
              </w:rPr>
              <w:t>Familial haematuria/deafness, nephrotoxin/NSAID use</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Alport-type family history; recent NSAIDs or nephrotoxins</w:t>
            </w:r>
          </w:p>
        </w:tc>
        <w:tc>
          <w:tcPr>
            <w:tcW w:type="dxa" w:w="1036"/>
            <w:vAlign w:val="top"/>
          </w:tcPr>
          <w:p>
            <w:pPr>
              <w:spacing w:after="40" w:before="0" w:line="259" w:lineRule="auto"/>
            </w:pPr>
            <w:r>
              <w:rPr>
                <w:rFonts w:ascii="Calibri" w:hAnsi="Calibri"/>
                <w:b w:val="0"/>
                <w:i w:val="0"/>
                <w:color w:val="212121"/>
                <w:sz w:val="16"/>
              </w:rPr>
              <w:t>Identifies hereditary nephritis and avoidable aggravating factors</w:t>
            </w:r>
          </w:p>
        </w:tc>
        <w:tc>
          <w:tcPr>
            <w:tcW w:type="dxa" w:w="1036"/>
            <w:vAlign w:val="top"/>
          </w:tcPr>
          <w:p>
            <w:pPr>
              <w:spacing w:after="40" w:before="0" w:line="259" w:lineRule="auto"/>
            </w:pPr>
            <w:r>
              <w:rPr>
                <w:rFonts w:ascii="Calibri" w:hAnsi="Calibri"/>
                <w:b w:val="0"/>
                <w:i w:val="0"/>
                <w:color w:val="212121"/>
                <w:sz w:val="16"/>
              </w:rPr>
              <w:t>First-degree relatives with GN, Alport families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age at onset and dialysis in relatives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Haematuria (cola/tea/smoky-coloured urine)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Visible or microscopic blood in urine from glomerular inflammation - the cardinal symptom of nephritic syndrome.</w:t>
            </w:r>
          </w:p>
        </w:tc>
      </w:tr>
      <w:tr>
        <w:trPr>
          <w:cantSplit/>
        </w:trPr>
        <w:tc>
          <w:tcPr>
            <w:tcW w:type="dxa" w:w="2304"/>
            <w:vAlign w:val="top"/>
          </w:tcPr>
          <w:p>
            <w:pPr>
              <w:spacing w:after="40" w:before="0" w:line="259" w:lineRule="auto"/>
            </w:pPr>
            <w:r>
              <w:rPr>
                <w:rFonts w:ascii="Calibri" w:hAnsi="Calibri"/>
                <w:b/>
                <w:i w:val="0"/>
                <w:color w:val="212121"/>
                <w:sz w:val="19"/>
              </w:rPr>
              <w:t>Facial/periorbital puffiness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Swelling around the eyes, typically worse on waking, from renal salt and water retention; often the first thing parents notice in children.</w:t>
            </w:r>
          </w:p>
        </w:tc>
      </w:tr>
      <w:tr>
        <w:trPr>
          <w:cantSplit/>
        </w:trPr>
        <w:tc>
          <w:tcPr>
            <w:tcW w:type="dxa" w:w="2304"/>
            <w:vAlign w:val="top"/>
          </w:tcPr>
          <w:p>
            <w:pPr>
              <w:spacing w:after="40" w:before="0" w:line="259" w:lineRule="auto"/>
            </w:pPr>
            <w:r>
              <w:rPr>
                <w:rFonts w:ascii="Calibri" w:hAnsi="Calibri"/>
                <w:b/>
                <w:i w:val="0"/>
                <w:color w:val="212121"/>
                <w:sz w:val="19"/>
              </w:rPr>
              <w:t>Pedal / leg swelling (oedema)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Pitting oedema of the feet and ankles due to fluid retention.</w:t>
            </w:r>
          </w:p>
        </w:tc>
      </w:tr>
      <w:tr>
        <w:trPr>
          <w:cantSplit/>
        </w:trPr>
        <w:tc>
          <w:tcPr>
            <w:tcW w:type="dxa" w:w="2304"/>
            <w:vAlign w:val="top"/>
          </w:tcPr>
          <w:p>
            <w:pPr>
              <w:spacing w:after="40" w:before="0" w:line="259" w:lineRule="auto"/>
            </w:pPr>
            <w:r>
              <w:rPr>
                <w:rFonts w:ascii="Calibri" w:hAnsi="Calibri"/>
                <w:b/>
                <w:i w:val="0"/>
                <w:color w:val="212121"/>
                <w:sz w:val="19"/>
              </w:rPr>
              <w:t>Reduced urine output (oliguria)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Passing less urine than usual, reflecting acute kidney injury and fluid overload.</w:t>
            </w:r>
          </w:p>
        </w:tc>
      </w:tr>
      <w:tr>
        <w:trPr>
          <w:cantSplit/>
        </w:trPr>
        <w:tc>
          <w:tcPr>
            <w:tcW w:type="dxa" w:w="2304"/>
            <w:vAlign w:val="top"/>
          </w:tcPr>
          <w:p>
            <w:pPr>
              <w:spacing w:after="40" w:before="0" w:line="259" w:lineRule="auto"/>
            </w:pPr>
            <w:r>
              <w:rPr>
                <w:rFonts w:ascii="Calibri" w:hAnsi="Calibri"/>
                <w:b/>
                <w:i w:val="0"/>
                <w:color w:val="212121"/>
                <w:sz w:val="19"/>
              </w:rPr>
              <w:t>Headache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Frequently due to acute hypertension from fluid overload.</w:t>
            </w:r>
          </w:p>
        </w:tc>
      </w:tr>
      <w:tr>
        <w:trPr>
          <w:cantSplit/>
        </w:trPr>
        <w:tc>
          <w:tcPr>
            <w:tcW w:type="dxa" w:w="2304"/>
            <w:vAlign w:val="top"/>
          </w:tcPr>
          <w:p>
            <w:pPr>
              <w:spacing w:after="40" w:before="0" w:line="259" w:lineRule="auto"/>
            </w:pPr>
            <w:r>
              <w:rPr>
                <w:rFonts w:ascii="Calibri" w:hAnsi="Calibri"/>
                <w:b/>
                <w:i w:val="0"/>
                <w:color w:val="212121"/>
                <w:sz w:val="19"/>
              </w:rPr>
              <w:t>Fatigue and malaise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General tiredness from anaemia, uraemia and the underlying inflammatory illness.</w:t>
            </w:r>
          </w:p>
        </w:tc>
      </w:tr>
      <w:tr>
        <w:trPr>
          <w:cantSplit/>
        </w:trPr>
        <w:tc>
          <w:tcPr>
            <w:tcW w:type="dxa" w:w="2304"/>
            <w:vAlign w:val="top"/>
          </w:tcPr>
          <w:p>
            <w:pPr>
              <w:spacing w:after="40" w:before="0" w:line="259" w:lineRule="auto"/>
            </w:pPr>
            <w:r>
              <w:rPr>
                <w:rFonts w:ascii="Calibri" w:hAnsi="Calibri"/>
                <w:b/>
                <w:i w:val="0"/>
                <w:color w:val="212121"/>
                <w:sz w:val="19"/>
              </w:rPr>
              <w:t>Recent sore throat or skin sores / fever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Antecedent streptococcal pharyngitis or pyoderma preceding post-streptococcal GN by 1-6 weeks.</w:t>
            </w:r>
          </w:p>
        </w:tc>
      </w:tr>
      <w:tr>
        <w:trPr>
          <w:cantSplit/>
        </w:trPr>
        <w:tc>
          <w:tcPr>
            <w:tcW w:type="dxa" w:w="2304"/>
            <w:vAlign w:val="top"/>
          </w:tcPr>
          <w:p>
            <w:pPr>
              <w:spacing w:after="40" w:before="0" w:line="259" w:lineRule="auto"/>
            </w:pPr>
            <w:r>
              <w:rPr>
                <w:rFonts w:ascii="Calibri" w:hAnsi="Calibri"/>
                <w:b/>
                <w:i w:val="0"/>
                <w:color w:val="212121"/>
                <w:sz w:val="19"/>
              </w:rPr>
              <w:t>Frothy urine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significant proteinuria accompanying the haematuria.</w:t>
            </w:r>
          </w:p>
        </w:tc>
      </w:tr>
      <w:tr>
        <w:trPr>
          <w:cantSplit/>
        </w:trPr>
        <w:tc>
          <w:tcPr>
            <w:tcW w:type="dxa" w:w="2304"/>
            <w:vAlign w:val="top"/>
          </w:tcPr>
          <w:p>
            <w:pPr>
              <w:spacing w:after="40" w:before="0" w:line="259" w:lineRule="auto"/>
            </w:pPr>
            <w:r>
              <w:rPr>
                <w:rFonts w:ascii="Calibri" w:hAnsi="Calibri"/>
                <w:b/>
                <w:i w:val="0"/>
                <w:color w:val="212121"/>
                <w:sz w:val="19"/>
              </w:rPr>
              <w:t>Nausea, vomiting and poor appetite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Features of uraemia when kidney function falls.</w:t>
            </w:r>
          </w:p>
        </w:tc>
      </w:tr>
      <w:tr>
        <w:trPr>
          <w:cantSplit/>
        </w:trPr>
        <w:tc>
          <w:tcPr>
            <w:tcW w:type="dxa" w:w="2304"/>
            <w:vAlign w:val="top"/>
          </w:tcPr>
          <w:p>
            <w:pPr>
              <w:spacing w:after="40" w:before="0" w:line="259" w:lineRule="auto"/>
            </w:pPr>
            <w:r>
              <w:rPr>
                <w:rFonts w:ascii="Calibri" w:hAnsi="Calibri"/>
                <w:b/>
                <w:i w:val="0"/>
                <w:color w:val="212121"/>
                <w:sz w:val="19"/>
              </w:rPr>
              <w:t>Breathlessness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fluid overload and pulmonary congestion/oedema in severe cases.</w:t>
            </w:r>
          </w:p>
        </w:tc>
      </w:tr>
      <w:tr>
        <w:trPr>
          <w:cantSplit/>
        </w:trPr>
        <w:tc>
          <w:tcPr>
            <w:tcW w:type="dxa" w:w="2304"/>
            <w:vAlign w:val="top"/>
          </w:tcPr>
          <w:p>
            <w:pPr>
              <w:spacing w:after="40" w:before="0" w:line="259" w:lineRule="auto"/>
            </w:pPr>
            <w:r>
              <w:rPr>
                <w:rFonts w:ascii="Calibri" w:hAnsi="Calibri"/>
                <w:b/>
                <w:i w:val="0"/>
                <w:color w:val="212121"/>
                <w:sz w:val="19"/>
              </w:rPr>
              <w:t>Flank / loin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Dull loin ache from renal capsular stretch during acute inflammation.</w:t>
            </w:r>
          </w:p>
        </w:tc>
      </w:tr>
      <w:tr>
        <w:trPr>
          <w:cantSplit/>
        </w:trPr>
        <w:tc>
          <w:tcPr>
            <w:tcW w:type="dxa" w:w="2304"/>
            <w:vAlign w:val="top"/>
          </w:tcPr>
          <w:p>
            <w:pPr>
              <w:spacing w:after="40" w:before="0" w:line="259" w:lineRule="auto"/>
            </w:pPr>
            <w:r>
              <w:rPr>
                <w:rFonts w:ascii="Calibri" w:hAnsi="Calibri"/>
                <w:b/>
                <w:i w:val="0"/>
                <w:color w:val="212121"/>
                <w:sz w:val="19"/>
              </w:rPr>
              <w:t>Seizures or altered consciousness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Hypertensive encephalopathy - a medical emergency, seen in a minority of severe childhood PSGN.</w:t>
            </w:r>
          </w:p>
        </w:tc>
      </w:tr>
      <w:tr>
        <w:trPr>
          <w:cantSplit/>
        </w:trPr>
        <w:tc>
          <w:tcPr>
            <w:tcW w:type="dxa" w:w="2304"/>
            <w:vAlign w:val="top"/>
          </w:tcPr>
          <w:p>
            <w:pPr>
              <w:spacing w:after="40" w:before="0" w:line="259" w:lineRule="auto"/>
            </w:pPr>
            <w:r>
              <w:rPr>
                <w:rFonts w:ascii="Calibri" w:hAnsi="Calibri"/>
                <w:b/>
                <w:i w:val="0"/>
                <w:color w:val="212121"/>
                <w:sz w:val="19"/>
              </w:rPr>
              <w:t>Coughing up blood (haemoptysis)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Indicates a pulmonary-renal syndrome (anti-GBM/Goodpasture or ANCA vasculitis) requiring urgent treatment.</w:t>
            </w:r>
          </w:p>
        </w:tc>
      </w:tr>
      <w:tr>
        <w:trPr>
          <w:cantSplit/>
        </w:trPr>
        <w:tc>
          <w:tcPr>
            <w:tcW w:type="dxa" w:w="2304"/>
            <w:vAlign w:val="top"/>
          </w:tcPr>
          <w:p>
            <w:pPr>
              <w:spacing w:after="40" w:before="0" w:line="259" w:lineRule="auto"/>
            </w:pPr>
            <w:r>
              <w:rPr>
                <w:rFonts w:ascii="Calibri" w:hAnsi="Calibri"/>
                <w:b/>
                <w:i w:val="0"/>
                <w:color w:val="212121"/>
                <w:sz w:val="19"/>
              </w:rPr>
              <w:t>Joint pain and skin rash</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Points to a systemic cause such as lupus nephritis or IgA vasculitis (HSP).</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Hypertension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Raised blood pressure from salt and water retention; may be severe enough to cause encephalopathy.</w:t>
            </w:r>
          </w:p>
        </w:tc>
      </w:tr>
      <w:tr>
        <w:trPr>
          <w:cantSplit/>
        </w:trPr>
        <w:tc>
          <w:tcPr>
            <w:tcW w:type="dxa" w:w="3456"/>
            <w:vAlign w:val="top"/>
          </w:tcPr>
          <w:p>
            <w:pPr>
              <w:spacing w:after="40" w:before="0" w:line="259" w:lineRule="auto"/>
            </w:pPr>
            <w:r>
              <w:rPr>
                <w:rFonts w:ascii="Calibri" w:hAnsi="Calibri"/>
                <w:b/>
                <w:i w:val="0"/>
                <w:color w:val="212121"/>
                <w:sz w:val="19"/>
              </w:rPr>
              <w:t>Periorbital / facial oedema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Puffiness around the eyes, characteristically worse in the morning.</w:t>
            </w:r>
          </w:p>
        </w:tc>
      </w:tr>
      <w:tr>
        <w:trPr>
          <w:cantSplit/>
        </w:trPr>
        <w:tc>
          <w:tcPr>
            <w:tcW w:type="dxa" w:w="3456"/>
            <w:vAlign w:val="top"/>
          </w:tcPr>
          <w:p>
            <w:pPr>
              <w:spacing w:after="40" w:before="0" w:line="259" w:lineRule="auto"/>
            </w:pPr>
            <w:r>
              <w:rPr>
                <w:rFonts w:ascii="Calibri" w:hAnsi="Calibri"/>
                <w:b/>
                <w:i w:val="0"/>
                <w:color w:val="212121"/>
                <w:sz w:val="19"/>
              </w:rPr>
              <w:t>Pedal and sacral pitting oedema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Dependent fluid accumulation on examination.</w:t>
            </w:r>
          </w:p>
        </w:tc>
      </w:tr>
      <w:tr>
        <w:trPr>
          <w:cantSplit/>
        </w:trPr>
        <w:tc>
          <w:tcPr>
            <w:tcW w:type="dxa" w:w="3456"/>
            <w:vAlign w:val="top"/>
          </w:tcPr>
          <w:p>
            <w:pPr>
              <w:spacing w:after="40" w:before="0" w:line="259" w:lineRule="auto"/>
            </w:pPr>
            <w:r>
              <w:rPr>
                <w:rFonts w:ascii="Calibri" w:hAnsi="Calibri"/>
                <w:b/>
                <w:i w:val="0"/>
                <w:color w:val="212121"/>
                <w:sz w:val="19"/>
              </w:rPr>
              <w:t>Gross haematuria (discoloured urine)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Visibly cola- or smoky-coloured urine on inspection.</w:t>
            </w:r>
          </w:p>
        </w:tc>
      </w:tr>
      <w:tr>
        <w:trPr>
          <w:cantSplit/>
        </w:trPr>
        <w:tc>
          <w:tcPr>
            <w:tcW w:type="dxa" w:w="3456"/>
            <w:vAlign w:val="top"/>
          </w:tcPr>
          <w:p>
            <w:pPr>
              <w:spacing w:after="40" w:before="0" w:line="259" w:lineRule="auto"/>
            </w:pPr>
            <w:r>
              <w:rPr>
                <w:rFonts w:ascii="Calibri" w:hAnsi="Calibri"/>
                <w:b/>
                <w:i w:val="0"/>
                <w:color w:val="212121"/>
                <w:sz w:val="19"/>
              </w:rPr>
              <w:t>Oliguria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Reduced measured urine output during the acute phase.</w:t>
            </w:r>
          </w:p>
        </w:tc>
      </w:tr>
      <w:tr>
        <w:trPr>
          <w:cantSplit/>
        </w:trPr>
        <w:tc>
          <w:tcPr>
            <w:tcW w:type="dxa" w:w="3456"/>
            <w:vAlign w:val="top"/>
          </w:tcPr>
          <w:p>
            <w:pPr>
              <w:spacing w:after="40" w:before="0" w:line="259" w:lineRule="auto"/>
            </w:pPr>
            <w:r>
              <w:rPr>
                <w:rFonts w:ascii="Calibri" w:hAnsi="Calibri"/>
                <w:b/>
                <w:i w:val="0"/>
                <w:color w:val="212121"/>
                <w:sz w:val="19"/>
              </w:rPr>
              <w:t>Signs of volume overload (raised JVP, gallop)</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Elevated jugular venous pressure and cardiac gallop when fluid retention is marked.</w:t>
            </w:r>
          </w:p>
        </w:tc>
      </w:tr>
      <w:tr>
        <w:trPr>
          <w:cantSplit/>
        </w:trPr>
        <w:tc>
          <w:tcPr>
            <w:tcW w:type="dxa" w:w="3456"/>
            <w:vAlign w:val="top"/>
          </w:tcPr>
          <w:p>
            <w:pPr>
              <w:spacing w:after="40" w:before="0" w:line="259" w:lineRule="auto"/>
            </w:pPr>
            <w:r>
              <w:rPr>
                <w:rFonts w:ascii="Calibri" w:hAnsi="Calibri"/>
                <w:b/>
                <w:i w:val="0"/>
                <w:color w:val="212121"/>
                <w:sz w:val="19"/>
              </w:rPr>
              <w:t>Pulmonary crackles / pulmonary oedema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Basal crepitations from fluid overload in severe nephritic syndrome.</w:t>
            </w:r>
          </w:p>
        </w:tc>
      </w:tr>
      <w:tr>
        <w:trPr>
          <w:cantSplit/>
        </w:trPr>
        <w:tc>
          <w:tcPr>
            <w:tcW w:type="dxa" w:w="3456"/>
            <w:vAlign w:val="top"/>
          </w:tcPr>
          <w:p>
            <w:pPr>
              <w:spacing w:after="40" w:before="0" w:line="259" w:lineRule="auto"/>
            </w:pPr>
            <w:r>
              <w:rPr>
                <w:rFonts w:ascii="Calibri" w:hAnsi="Calibri"/>
                <w:b/>
                <w:i w:val="0"/>
                <w:color w:val="212121"/>
                <w:sz w:val="19"/>
              </w:rPr>
              <w:t>Pallor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From anaemia of acute kidney injury or chronic renal disease.</w:t>
            </w:r>
          </w:p>
        </w:tc>
      </w:tr>
      <w:tr>
        <w:trPr>
          <w:cantSplit/>
        </w:trPr>
        <w:tc>
          <w:tcPr>
            <w:tcW w:type="dxa" w:w="3456"/>
            <w:vAlign w:val="top"/>
          </w:tcPr>
          <w:p>
            <w:pPr>
              <w:spacing w:after="40" w:before="0" w:line="259" w:lineRule="auto"/>
            </w:pPr>
            <w:r>
              <w:rPr>
                <w:rFonts w:ascii="Calibri" w:hAnsi="Calibri"/>
                <w:b/>
                <w:i w:val="0"/>
                <w:color w:val="212121"/>
                <w:sz w:val="19"/>
              </w:rPr>
              <w:t>Skin findings (impetigo, scabies, palpable purpura)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Healing pyoderma/scabies (post-streptococcal GN) or palpable purpura (IgA vasculitis).</w:t>
            </w:r>
          </w:p>
        </w:tc>
      </w:tr>
      <w:tr>
        <w:trPr>
          <w:cantSplit/>
        </w:trPr>
        <w:tc>
          <w:tcPr>
            <w:tcW w:type="dxa" w:w="3456"/>
            <w:vAlign w:val="top"/>
          </w:tcPr>
          <w:p>
            <w:pPr>
              <w:spacing w:after="40" w:before="0" w:line="259" w:lineRule="auto"/>
            </w:pPr>
            <w:r>
              <w:rPr>
                <w:rFonts w:ascii="Calibri" w:hAnsi="Calibri"/>
                <w:b/>
                <w:i w:val="0"/>
                <w:color w:val="212121"/>
                <w:sz w:val="19"/>
              </w:rPr>
              <w:t>Hypertensive retinopathy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Retinal arteriolar changes on fundoscopy with severe or sustained hypertension.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kidney injury / acute nephritic state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Fluid overload with pulmonary oedema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 emergency and hypertensive encephalopathy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Hyperkalaemia and metabolic acidosis / electrolyte disturbance</w:t>
            </w:r>
          </w:p>
        </w:tc>
        <w:tc>
          <w:tcPr>
            <w:tcW w:type="dxa" w:w="2980"/>
            <w:vAlign w:val="top"/>
          </w:tcPr>
          <w:p>
            <w:pPr>
              <w:spacing w:after="40" w:before="0" w:line="259" w:lineRule="auto"/>
            </w:pPr>
            <w:r>
              <w:rPr>
                <w:rFonts w:ascii="Calibri" w:hAnsi="Calibri"/>
                <w:b w:val="0"/>
                <w:i w:val="0"/>
                <w:color w:val="212121"/>
                <w:sz w:val="19"/>
              </w:rPr>
              <w:t>Direct consequences of acute glomerular inflammation with salt-water retention and falling GFR</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Rapidly progressive (crescentic) glomerulonephritis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Nephrotic-range proteinuria and hypoalbuminaemia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Refractory hypertension and congestive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Seizures from hypertensive encephalopathy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Anaemia of renal disease and uraemic complications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Need for acute dialysis</w:t>
            </w:r>
          </w:p>
        </w:tc>
        <w:tc>
          <w:tcPr>
            <w:tcW w:type="dxa" w:w="2980"/>
            <w:vAlign w:val="top"/>
          </w:tcPr>
          <w:p>
            <w:pPr>
              <w:spacing w:after="40" w:before="0" w:line="259" w:lineRule="auto"/>
            </w:pPr>
            <w:r>
              <w:rPr>
                <w:rFonts w:ascii="Calibri" w:hAnsi="Calibri"/>
                <w:b w:val="0"/>
                <w:i w:val="0"/>
                <w:color w:val="212121"/>
                <w:sz w:val="19"/>
              </w:rPr>
              <w:t>Result from severe, prolonged or progressive glomerular injury and volume/uraemic derangement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glomerulonephritis and chronic kidney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End-stage kidney disease requiring maintenance dialysis or transplantation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Sustained hypertension and accelerated cardiovascular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Growth failure and rickets in affected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from uraemia, hyperkalaemia or pulmonary-renal syndrome</w:t>
            </w:r>
          </w:p>
        </w:tc>
        <w:tc>
          <w:tcPr>
            <w:tcW w:type="dxa" w:w="2980"/>
            <w:vAlign w:val="top"/>
          </w:tcPr>
          <w:p>
            <w:pPr>
              <w:spacing w:after="40" w:before="0" w:line="259" w:lineRule="auto"/>
            </w:pPr>
            <w:r>
              <w:rPr>
                <w:rFonts w:ascii="Calibri" w:hAnsi="Calibri"/>
                <w:b w:val="0"/>
                <w:i w:val="0"/>
                <w:color w:val="212121"/>
                <w:sz w:val="19"/>
              </w:rPr>
              <w:t>Irreversible, disabling outcomes of unresolved or repeatedly relapsing glomerular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Almost universal in acute nephritic syndrome from salt-and-water retention, and a key driver of ongoing glomerular scarring; tight BP control (ACEi/ARB) is central to management.</w:t>
            </w:r>
          </w:p>
          <w:p>
            <w:pPr>
              <w:spacing w:after="40" w:before="0" w:line="259" w:lineRule="auto"/>
            </w:pPr>
            <w:r>
              <w:rPr>
                <w:rFonts w:ascii="Calibri" w:hAnsi="Calibri"/>
                <w:b/>
                <w:i w:val="0"/>
                <w:color w:val="212121"/>
                <w:sz w:val="19"/>
              </w:rPr>
              <w:t>~60-80% at presentation</w:t>
            </w:r>
          </w:p>
        </w:tc>
      </w:tr>
      <w:tr>
        <w:trPr>
          <w:cantSplit/>
        </w:trPr>
        <w:tc>
          <w:tcPr>
            <w:tcW w:type="dxa" w:w="2232"/>
            <w:vAlign w:val="top"/>
          </w:tcPr>
          <w:p>
            <w:pPr>
              <w:spacing w:after="40" w:before="0" w:line="259" w:lineRule="auto"/>
            </w:pPr>
            <w:r>
              <w:rPr>
                <w:rFonts w:ascii="Calibri" w:hAnsi="Calibri"/>
                <w:b/>
                <w:i w:val="0"/>
                <w:color w:val="212121"/>
                <w:sz w:val="19"/>
              </w:rPr>
              <w:t>Chronic kidney disease / end-stage kidney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and rapidly progressive glomerulonephritis are among the leading causes of CKD and ESKD in India, sometimes requiring dialysis or transplantation.</w:t>
            </w:r>
          </w:p>
        </w:tc>
      </w:tr>
      <w:tr>
        <w:trPr>
          <w:cantSplit/>
        </w:trPr>
        <w:tc>
          <w:tcPr>
            <w:tcW w:type="dxa" w:w="2232"/>
            <w:vAlign w:val="top"/>
          </w:tcPr>
          <w:p>
            <w:pPr>
              <w:spacing w:after="40" w:before="0" w:line="259" w:lineRule="auto"/>
            </w:pPr>
            <w:r>
              <w:rPr>
                <w:rFonts w:ascii="Calibri" w:hAnsi="Calibri"/>
                <w:b/>
                <w:i w:val="0"/>
                <w:color w:val="212121"/>
                <w:sz w:val="19"/>
              </w:rPr>
              <w:t>Streptococcal skin/throat infection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preceding group A streptococcal pyoderma or pharyngitis triggers post-streptococcal GN after a latent period; recognising it (ASO, low C3) shapes diagnosis and management.</w:t>
            </w:r>
          </w:p>
          <w:p>
            <w:pPr>
              <w:spacing w:after="40" w:before="0" w:line="259" w:lineRule="auto"/>
            </w:pPr>
            <w:r>
              <w:rPr>
                <w:rFonts w:ascii="Calibri" w:hAnsi="Calibri"/>
                <w:b/>
                <w:i w:val="0"/>
                <w:color w:val="212121"/>
                <w:sz w:val="19"/>
              </w:rPr>
              <w:t>Skin infection precipitant in 68.9% of paediatric cases</w:t>
            </w:r>
          </w:p>
        </w:tc>
      </w:tr>
      <w:tr>
        <w:trPr>
          <w:cantSplit/>
        </w:trPr>
        <w:tc>
          <w:tcPr>
            <w:tcW w:type="dxa" w:w="2232"/>
            <w:vAlign w:val="top"/>
          </w:tcPr>
          <w:p>
            <w:pPr>
              <w:spacing w:after="40" w:before="0" w:line="259" w:lineRule="auto"/>
            </w:pPr>
            <w:r>
              <w:rPr>
                <w:rFonts w:ascii="Calibri" w:hAnsi="Calibri"/>
                <w:b/>
                <w:i w:val="0"/>
                <w:color w:val="212121"/>
                <w:sz w:val="19"/>
              </w:rPr>
              <w:t>Systemic lupus erythematosus (lupus nephritis)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major secondary cause; immune-complex proliferative GN with low complement and anti-dsDNA, often the presenting feature of lupus, especially in young Indian women.</w:t>
            </w:r>
          </w:p>
        </w:tc>
      </w:tr>
      <w:tr>
        <w:trPr>
          <w:cantSplit/>
        </w:trPr>
        <w:tc>
          <w:tcPr>
            <w:tcW w:type="dxa" w:w="2232"/>
            <w:vAlign w:val="top"/>
          </w:tcPr>
          <w:p>
            <w:pPr>
              <w:spacing w:after="40" w:before="0" w:line="259" w:lineRule="auto"/>
            </w:pPr>
            <w:r>
              <w:rPr>
                <w:rFonts w:ascii="Calibri" w:hAnsi="Calibri"/>
                <w:b/>
                <w:i w:val="0"/>
                <w:color w:val="212121"/>
                <w:sz w:val="19"/>
              </w:rPr>
              <w:t>IgA vasculitis (Henoch-Schonlein purpura)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the IgA-immune-complex mechanism of IgA nephropathy, presenting with palpable purpura, arthralgia and nephritis, mainly in children.</w:t>
            </w:r>
          </w:p>
        </w:tc>
      </w:tr>
      <w:tr>
        <w:trPr>
          <w:cantSplit/>
        </w:trPr>
        <w:tc>
          <w:tcPr>
            <w:tcW w:type="dxa" w:w="2232"/>
            <w:vAlign w:val="top"/>
          </w:tcPr>
          <w:p>
            <w:pPr>
              <w:spacing w:after="40" w:before="0" w:line="259" w:lineRule="auto"/>
            </w:pPr>
            <w:r>
              <w:rPr>
                <w:rFonts w:ascii="Calibri" w:hAnsi="Calibri"/>
                <w:b/>
                <w:i w:val="0"/>
                <w:color w:val="212121"/>
                <w:sz w:val="19"/>
              </w:rPr>
              <w:t>ANCA-associated vasculitis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Causes pauci-immune rapidly progressive GN, particularly in older adults, and demands urgent immunosuppression to preserve kidney function.</w:t>
            </w:r>
          </w:p>
        </w:tc>
      </w:tr>
      <w:tr>
        <w:trPr>
          <w:cantSplit/>
        </w:trPr>
        <w:tc>
          <w:tcPr>
            <w:tcW w:type="dxa" w:w="2232"/>
            <w:vAlign w:val="top"/>
          </w:tcPr>
          <w:p>
            <w:pPr>
              <w:spacing w:after="40" w:before="0" w:line="259" w:lineRule="auto"/>
            </w:pPr>
            <w:r>
              <w:rPr>
                <w:rFonts w:ascii="Calibri" w:hAnsi="Calibri"/>
                <w:b/>
                <w:i w:val="0"/>
                <w:color w:val="212121"/>
                <w:sz w:val="19"/>
              </w:rPr>
              <w:t>Chronic viral hepatitis (B/C) and HIV</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Drive secondary membranous, membranoproliferative, cryoglobulinaemic or collapsing glomerular lesions; treating the virus is part of managing the nephritis.</w:t>
            </w:r>
          </w:p>
        </w:tc>
      </w:tr>
      <w:tr>
        <w:trPr>
          <w:cantSplit/>
        </w:trPr>
        <w:tc>
          <w:tcPr>
            <w:tcW w:type="dxa" w:w="2232"/>
            <w:vAlign w:val="top"/>
          </w:tcPr>
          <w:p>
            <w:pPr>
              <w:spacing w:after="40" w:before="0" w:line="259" w:lineRule="auto"/>
            </w:pPr>
            <w:r>
              <w:rPr>
                <w:rFonts w:ascii="Calibri" w:hAnsi="Calibri"/>
                <w:b/>
                <w:i w:val="0"/>
                <w:color w:val="212121"/>
                <w:sz w:val="19"/>
              </w:rPr>
              <w:t>Infective endocarditis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infection causes immune-complex glomerulonephritis that improves with eradication of the underlying infection.</w:t>
            </w:r>
          </w:p>
        </w:tc>
      </w:tr>
      <w:tr>
        <w:trPr>
          <w:cantSplit/>
        </w:trPr>
        <w:tc>
          <w:tcPr>
            <w:tcW w:type="dxa" w:w="2232"/>
            <w:vAlign w:val="top"/>
          </w:tcPr>
          <w:p>
            <w:pPr>
              <w:spacing w:after="40" w:before="0" w:line="259" w:lineRule="auto"/>
            </w:pPr>
            <w:r>
              <w:rPr>
                <w:rFonts w:ascii="Calibri" w:hAnsi="Calibri"/>
                <w:b/>
                <w:i w:val="0"/>
                <w:color w:val="212121"/>
                <w:sz w:val="19"/>
              </w:rPr>
              <w:t>Congestive heart failure / fluid overload</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Results from acute volume retention and hypertension in severe nephritic syndrome and complicates fluid management.</w:t>
            </w:r>
          </w:p>
        </w:tc>
      </w:tr>
      <w:tr>
        <w:trPr>
          <w:cantSplit/>
        </w:trPr>
        <w:tc>
          <w:tcPr>
            <w:tcW w:type="dxa" w:w="2232"/>
            <w:vAlign w:val="top"/>
          </w:tcPr>
          <w:p>
            <w:pPr>
              <w:spacing w:after="40" w:before="0" w:line="259" w:lineRule="auto"/>
            </w:pPr>
            <w:r>
              <w:rPr>
                <w:rFonts w:ascii="Calibri" w:hAnsi="Calibri"/>
                <w:b/>
                <w:i w:val="0"/>
                <w:color w:val="212121"/>
                <w:sz w:val="19"/>
              </w:rPr>
              <w:t>Anaemia of renal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Develops with acute kidney injury and chronic GN through reduced erythropoietin and inflammation, requiring monitoring and sometimes treatment.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streptococcal sore throats and skin infections (impetigo, infected scabies) promptly and completely - this is the main way to prevent post-streptococcal glomerulonephritis in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warning signs: cola- or tea-coloured urine, puffy eyes on waking, ankle swelling, reduced urine and headache - and seek care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frothy plus bloody urine, or blood in the urine with a sore throat, needs a kidney check (urine test and blood pressure).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most childhood post-streptococcal GN recovers fully, but IgA nephropathy, lupus and crescentic GN need long-term follow-up.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a close relative has kidney disease with haematuria or deafness (Alport) or is on dialysis young, get your urine and blood pressure screened.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self-medicate with NSAID painkillers or unlabelled herbal/ayurvedic nephrotoxins during an acute kidney illness.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school-age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overcrowding/pyoderma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adults with recurrent visible haematuria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Relatives of patients with hereditary nephritis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the acute nephritic phase with swelling and high blood pressure, rest and avoid strenuous exertion until oedema and BP settle.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Once recovered, resume regular moderate activity (brisk walking, cycling) to help control blood pressure and weight.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weight loss if overweight/obese, targeting an Asian-Indian BMI below 23 to reduce glomerular hyperfiltration.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aerobic activity with blood-pressure monitoring, as controlled BP is the strongest lever to slow progression.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nephritic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 with GN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glomerulonephritis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Restrict salt to under 5 g/day (about one level teaspoon): avoid pickles, papad, chips, processed and restaurant foods and added table salt.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oliguria and fluid overload, follow prescribed fluid restriction and daily weight checks to control oedema.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high-potassium foods (coconut water, bananas, citrus, potatoes) if blood potassium is high or urine output is low.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a moderate, not high, protein intake (around 0.8 g/kg/day) unless advised otherwise; avoid high-protein powders and supplements.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fresh home-cooked meals, whole grains, vegetables and fruit permitted for your potassium level over ultra-processed foods.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phosphorus-rich processed and cola drinks if kidney function is reduced.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with active GN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Hypertensive/oedematous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reduced eGFR or hyperkalaemia</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habitual salt intake low from a young age to protect against hypertension and proteinuria.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balanced diet rich in vegetables, fruit and whole grains and limit ultra-processed, salty snacks.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weight to avoid obesity-related glomerular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but not excessive protein, avoiding fad high-protein regimens.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Family members of GN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adults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per night to support healthy blood-pressure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evaluation for snoring and daytime sleepiness, as untreated obstructive sleep apnoea worsens hypertension and kidney progression.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consistent sleep and wake times to help stabilise blood pressure.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GN and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completely - it accelerates loss of kidney function and proteinuria in glomerular disease in a dose-dependent way.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and, where appropriate, nicotine-replacement or pharmacological aids to quit.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also raises cardiovascular and renal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stopping smoking adds to the benefit of blood-pressure and proteinuria control.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smokers with GN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IgA nephropathy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CKD stage 3-4</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minimise alcohol, as heavy intake raises blood pressure and is linked to albuminuria and renal damage.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you drink, keep well within safe limits and never with a background of uncontrolled hypertension or reduced kidney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aware alcohol can interact with immunosuppressants and antihypertensives used to treat GN.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GN or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immunosuppression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for the anxiety and low mood that commonly accompany chronic kidney disease and long-term immunosuppression.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Good mental health improves adherence to salt restriction, medication and follow-up, which directly protects the kidneys.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relaxation, counselling or peer support, and treat significant depression, as poor adherence worsens outcomes.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GN/CKD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long-term steroids/immunosuppression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Dialysis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all nephrology follow-up visits and repeat urine protein, blood pressure and creatinine checks as advised.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ACE inhibitors/ARBs and immunosuppressants exactly as prescribed and do not stop them abruptly.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worsening swelling, breathlessness, reduced urine, severe headache or blood in urine urgently.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vaccinations (including pneumococcal and, where relevant, hepatitis B) up to date if on immunosuppression.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Bring all medicines to review and avoid nephrotoxic painkillers and unverified herbal remedies.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established GN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immunosuppression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kidney disease patients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mc.ncbi.nlm.nih.gov/articles/PMC6482747/" TargetMode="External"/><Relationship Id="rId10" Type="http://schemas.openxmlformats.org/officeDocument/2006/relationships/hyperlink" Target="https://indianjnephrol.org/etiological-spectrum-and-clinical-features-in-215-patients-of-crescentic-glomerulonephritis-is-it-different-in-india/" TargetMode="External"/><Relationship Id="rId11" Type="http://schemas.openxmlformats.org/officeDocument/2006/relationships/hyperlink" Target="https://indianjnephrol.org/pattern-of-biopsy-proven-renal-disease-in-a-single-center-of-south-india-19-years-experience/" TargetMode="External"/><Relationship Id="rId12" Type="http://schemas.openxmlformats.org/officeDocument/2006/relationships/hyperlink" Target="https://www.ijpediatrics.com/index.php/ijcp/article/view/760" TargetMode="External"/><Relationship Id="rId13" Type="http://schemas.openxmlformats.org/officeDocument/2006/relationships/hyperlink" Target="https://link.springer.com/article/10.1186/s12882-021-02453-4" TargetMode="External"/><Relationship Id="rId14" Type="http://schemas.openxmlformats.org/officeDocument/2006/relationships/hyperlink" Target="https://www.nature.com/articles/nrneph.2016.75" TargetMode="External"/><Relationship Id="rId15" Type="http://schemas.openxmlformats.org/officeDocument/2006/relationships/hyperlink" Target="https://academic.oup.com/qjmed/article/108/7/539/1568006" TargetMode="External"/><Relationship Id="rId16" Type="http://schemas.openxmlformats.org/officeDocument/2006/relationships/hyperlink" Target="https://www.aafp.org/pubs/afp/issues/2017/0401/p42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