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Polycystic Kidney Disease</w:t>
      </w:r>
    </w:p>
    <w:p>
      <w:pPr>
        <w:spacing w:before="0" w:after="160"/>
      </w:pPr>
      <w:r>
        <w:rPr>
          <w:rFonts w:ascii="Calibri" w:hAnsi="Calibri"/>
          <w:b/>
          <w:i w:val="0"/>
          <w:color w:val="212121"/>
          <w:sz w:val="22"/>
        </w:rPr>
        <w:t xml:space="preserve">AKA </w:t>
      </w:r>
      <w:r>
        <w:rPr>
          <w:rFonts w:ascii="Calibri" w:hAnsi="Calibri"/>
          <w:b w:val="0"/>
          <w:i w:val="0"/>
          <w:color w:val="212121"/>
          <w:sz w:val="22"/>
        </w:rPr>
        <w:t>i.e., PKD, Autosomal Dominant Polycystic Kidney Disease (ADPKD), Autosomal Recessive Polycystic Kidney Disease (ARPKD), Adult Polycystic Kidney Disease, Polycystic Kidneys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Polycystic kidney disease (PKD) is an inherited disorder in which numerous fluid-filled cysts develop progressively in both kidneys, causing them to enlarge massively and gradually lose function. The common form, autosomal dominant PKD (ADPKD), is caused mainly by mutations in the PKD1 or PKD2 genes and typically presents in adulthood with hypertension, flank pain and haematuria, advancing over decades to end-stage kidney disease. A rarer, more severe autosomal recessive form (ARPKD, PKHD1 gene) presents in infancy or childhood and is often accompanied by congenital hepatic fibrosis.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ADPKD is the most common inherited kidney disorder, affecting roughly 1 in 400 to 1 in 1,000 people worldwide. In the first Indian CKD Registry, ADPKD accounted for about 2.6% of all chronic kidney disease cases, making it a leading hereditary cause of end-stage renal disease in India. The recessive form (ARPKD) is far rarer, occurring in about 1 in 20,000 to 40,000 live births.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PKD is diagnosed by a combination of family history, imaging (age-dependent cyst counts) and, where needed, genetic testing. In an at-risk adult with a positive family history, the Pei unified ultrasound criteria are applied: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an at-risk individual aged 15–39 years: three or more renal cysts (unilateral or bilateral);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aged 40–59 years: two or more cysts in each kidney;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aged ≥60 years: four or more cysts in each kidney;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ultrasonography is first-line (detects cysts of 1–1.5 cm); CT (cysts ≥0.5 cm) and MRI are more sensitive, and MRI-measured total kidney volume (TKV) is used for prognosis and to assess eligibility for disease-modifying therapy;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 genetic testing (PKD1, PKD2, PKHD1) is reserved for equivocal imaging, absent family history, evaluation of young related kidney donors, and reproductive/pre-implantation counselling;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ARPKD is diagnosed by markedly enlarged, echogenic kidneys on prenatal/neonatal ultrasound with absence of renal cysts in either parent, features of congenital hepatic fibrosis, and PKHD1 confirmation.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Polycystic kidney disease is classified by its inheritance pattern and underlying gene:</w:t>
      </w:r>
    </w:p>
    <w:p>
      <w:pPr>
        <w:spacing w:before="0" w:after="80"/>
      </w:pPr>
      <w:r>
        <w:rPr>
          <w:rFonts w:ascii="Calibri" w:hAnsi="Calibri"/>
          <w:b w:val="0"/>
          <w:i w:val="0"/>
          <w:color w:val="212121"/>
          <w:sz w:val="21"/>
        </w:rPr>
        <w:t>(1) Autosomal dominant PKD (ADPKD) — by far the commonest form. PKD1 mutations cause about 85% of cases and produce more severe disease, with roughly half of patients reaching end-stage kidney disease by their late 50s; PKD2 mutations cause about 15% and run a milder, later-onset course. Rare GANAB, DNAJB11 and other genes account for the remainder;</w:t>
      </w:r>
    </w:p>
    <w:p>
      <w:pPr>
        <w:spacing w:before="0" w:after="80"/>
      </w:pPr>
      <w:r>
        <w:rPr>
          <w:rFonts w:ascii="Calibri" w:hAnsi="Calibri"/>
          <w:b w:val="0"/>
          <w:i w:val="0"/>
          <w:color w:val="212121"/>
          <w:sz w:val="21"/>
        </w:rPr>
        <w:t>(2) Autosomal recessive PKD (ARPKD) — caused in over 90% of cases by PKHD1 mutations (encoding fibrocystin). It presents in the perinatal period or childhood with grossly enlarged kidneys and invariable congenital hepatic fibrosis, and about half of survivors reach end-stage kidney failure within the first two decades of life;</w:t>
      </w:r>
    </w:p>
    <w:p>
      <w:pPr>
        <w:spacing w:before="0" w:after="80"/>
      </w:pPr>
      <w:r>
        <w:rPr>
          <w:rFonts w:ascii="Calibri" w:hAnsi="Calibri"/>
          <w:b w:val="0"/>
          <w:i w:val="0"/>
          <w:color w:val="212121"/>
          <w:sz w:val="21"/>
        </w:rPr>
        <w:t>(3) Radiological/prognostic sub-classification — the Mayo imaging classification (classes 1A–1E) stratifies typical ADPKD by height-adjusted total kidney volume and age to predict the rate of GFR decline and guide treatment;</w:t>
      </w:r>
    </w:p>
    <w:p>
      <w:pPr>
        <w:spacing w:before="0" w:after="80"/>
      </w:pPr>
      <w:r>
        <w:rPr>
          <w:rFonts w:ascii="Calibri" w:hAnsi="Calibri"/>
          <w:b w:val="0"/>
          <w:i w:val="0"/>
          <w:color w:val="212121"/>
          <w:sz w:val="21"/>
        </w:rPr>
        <w:t>(4) Differential cystic disorders — acquired cystic kidney disease (in long-standing dialysis patients), simple renal cysts, tuberous sclerosis and von Hippel–Lindau disease must be distinguished from true hereditary PKD.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PKD1 gene mutation: Mutation in PKD1 (chromosome 16, encoding polycystin-1) causes ~85% of ADPKD and the most aggressive phenotype with earliest end-stage kidney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PKD2 gene mutation: Mutation in PKD2 (encoding polycystin-2) causes ~15% of ADPKD, with fewer cysts, later hypertension and later kidney failure.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PKHD1 gene mutation: Biallelic mutation in PKHD1 (encoding fibrocystin) causes the recessive form (ARPKD), presenting in infancy with congenital hepatic fibrosis.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Autosomal dominant inheritance: Each child of an affected parent has a 50% chance of inheriting ADPKD; a positive family history is present in most patients.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Ciliary dysfunction and the 'two-hit' mechanism: Polycystins are located in the primary cilium; a germline mutation plus a somatic 'second hit' triggers focal cyst formation and cyclic-AMP–driven cyst growth.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 novo mutation: About 10–15% of ADPKD patients have no family history, arising from new spontaneous mutations or mosaicism.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ADPKD cysts enlarge slowly over decades, so symptoms (hypertension, flank pain, haematuria) and diagnosis typically emerge in the third to fifth decades, even though the mutation is present from birth.</w:t>
            </w:r>
          </w:p>
          <w:p>
            <w:pPr>
              <w:spacing w:after="40" w:before="60" w:line="259" w:lineRule="auto"/>
            </w:pPr>
            <w:r>
              <w:rPr>
                <w:rFonts w:ascii="Calibri" w:hAnsi="Calibri"/>
                <w:b w:val="0"/>
                <w:i w:val="0"/>
                <w:color w:val="212121"/>
                <w:sz w:val="19"/>
              </w:rPr>
              <w:t>In an Indian ADPKD cohort the median age at diagnosis was 35 years (range 30–67).</w:t>
            </w:r>
          </w:p>
          <w:p>
            <w:pPr>
              <w:spacing w:after="40" w:line="252" w:lineRule="auto"/>
            </w:pPr>
            <w:hyperlink r:id="rId9">
              <w:r>
                <w:rPr>
                  <w:rFonts w:ascii="Calibri" w:hAnsi="Calibri" w:cs="Calibri"/>
                  <w:sz w:val="18"/>
                  <w:color w:val="1155CC"/>
                  <w:u w:val="single"/>
                </w:rPr>
                <w:t xml:space="preserve">pmc.ncbi.nlm.nih.gov — Indian ADPKD PROPKD cohort</w:t>
              </w:r>
            </w:hyperlink>
          </w:p>
          <w:p>
            <w:pPr>
              <w:spacing w:before="60" w:after="40"/>
            </w:pPr>
            <w:r>
              <w:rPr>
                <w:rFonts w:ascii="Calibri" w:hAnsi="Calibri"/>
                <w:b w:val="0"/>
                <w:i w:val="0"/>
                <w:color w:val="5A5A5A"/>
                <w:sz w:val="18"/>
              </w:rPr>
              <w:t>#adpkd  #adultonset  #cystgrowth  #hereditary  #earlydiagnosis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Milder PKD2 disease and slowly progressive PKD1 may only reach advanced kidney failure in older age; cyst burden, hepatic cysts and cardiovascular complications accumulate over time.</w:t>
            </w:r>
          </w:p>
          <w:p>
            <w:pPr>
              <w:spacing w:after="40" w:before="60" w:line="259" w:lineRule="auto"/>
            </w:pPr>
            <w:r>
              <w:rPr>
                <w:rFonts w:ascii="Calibri" w:hAnsi="Calibri"/>
                <w:b w:val="0"/>
                <w:i w:val="0"/>
                <w:color w:val="212121"/>
                <w:sz w:val="19"/>
              </w:rPr>
              <w:t>In Canadian ADPKD data ~50% reached end-stage kidney disease by age 59 and ~75% by age 70.</w:t>
            </w:r>
          </w:p>
          <w:p>
            <w:pPr>
              <w:spacing w:after="40" w:line="252" w:lineRule="auto"/>
            </w:pPr>
            <w:hyperlink r:id="rId10">
              <w:r>
                <w:rPr>
                  <w:rFonts w:ascii="Calibri" w:hAnsi="Calibri" w:cs="Calibri"/>
                  <w:sz w:val="18"/>
                  <w:color w:val="1155CC"/>
                  <w:u w:val="single"/>
                </w:rPr>
                <w:t xml:space="preserve">ncbi.nlm.nih.gov — StatPearls ADPKD</w:t>
              </w:r>
            </w:hyperlink>
          </w:p>
          <w:p>
            <w:pPr>
              <w:spacing w:before="60" w:after="40"/>
            </w:pPr>
            <w:r>
              <w:rPr>
                <w:rFonts w:ascii="Calibri" w:hAnsi="Calibri"/>
                <w:b w:val="0"/>
                <w:i w:val="0"/>
                <w:color w:val="5A5A5A"/>
                <w:sz w:val="18"/>
              </w:rPr>
              <w:t>#ageing  #eskd  #pkd2  #lateprogression  #cystburden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 sex is an independent predictor of faster progression to end-stage kidney disease and earlier, more severe hypertension in ADPKD, and is a component of the PROPKD risk score.</w:t>
            </w:r>
          </w:p>
          <w:p>
            <w:pPr>
              <w:spacing w:after="40" w:before="60" w:line="259" w:lineRule="auto"/>
            </w:pPr>
            <w:r>
              <w:rPr>
                <w:rFonts w:ascii="Calibri" w:hAnsi="Calibri"/>
                <w:b w:val="0"/>
                <w:i w:val="0"/>
                <w:color w:val="212121"/>
                <w:sz w:val="19"/>
              </w:rPr>
              <w:t>In the Indian PROPKD cohort 53% were male and hypertension before age 35 occurred in 58.9%.</w:t>
            </w:r>
          </w:p>
          <w:p>
            <w:pPr>
              <w:spacing w:after="40" w:line="252" w:lineRule="auto"/>
            </w:pPr>
            <w:hyperlink r:id="rId9">
              <w:r>
                <w:rPr>
                  <w:rFonts w:ascii="Calibri" w:hAnsi="Calibri" w:cs="Calibri"/>
                  <w:sz w:val="18"/>
                  <w:color w:val="1155CC"/>
                  <w:u w:val="single"/>
                </w:rPr>
                <w:t xml:space="preserve">pmc.ncbi.nlm.nih.gov — Indian ADPKD PROPKD cohort</w:t>
              </w:r>
            </w:hyperlink>
          </w:p>
          <w:p>
            <w:pPr>
              <w:spacing w:before="60" w:after="40"/>
            </w:pPr>
            <w:r>
              <w:rPr>
                <w:rFonts w:ascii="Calibri" w:hAnsi="Calibri"/>
                <w:b w:val="0"/>
                <w:i w:val="0"/>
                <w:color w:val="5A5A5A"/>
                <w:sz w:val="18"/>
              </w:rPr>
              <w:t>#malesex  #fastprogressor  #propkd  #hypertension  #eskdrisk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tend to have milder kidney disease but a heavier polycystic-liver burden, because oestrogen stimulates hepatic cyst growth; pregnancy in ADPKD carries higher rates of hypertension and pre-eclampsia.</w:t>
            </w:r>
          </w:p>
          <w:p>
            <w:pPr>
              <w:spacing w:after="40" w:before="60" w:line="259" w:lineRule="auto"/>
            </w:pPr>
            <w:r>
              <w:rPr>
                <w:rFonts w:ascii="Calibri" w:hAnsi="Calibri"/>
                <w:b w:val="0"/>
                <w:i w:val="0"/>
                <w:color w:val="212121"/>
                <w:sz w:val="19"/>
              </w:rPr>
              <w:t>Hepatic cysts are more numerous and symptomatic in women and rise from 10–20% under age 30 to 50–70% in those over 60.</w:t>
            </w:r>
          </w:p>
          <w:p>
            <w:pPr>
              <w:spacing w:after="40" w:line="252" w:lineRule="auto"/>
            </w:pPr>
            <w:hyperlink r:id="rId10">
              <w:r>
                <w:rPr>
                  <w:rFonts w:ascii="Calibri" w:hAnsi="Calibri" w:cs="Calibri"/>
                  <w:sz w:val="18"/>
                  <w:color w:val="1155CC"/>
                  <w:u w:val="single"/>
                </w:rPr>
                <w:t xml:space="preserve">ncbi.nlm.nih.gov — StatPearls ADPKD</w:t>
              </w:r>
            </w:hyperlink>
          </w:p>
          <w:p>
            <w:pPr>
              <w:spacing w:before="60" w:after="40"/>
            </w:pPr>
            <w:r>
              <w:rPr>
                <w:rFonts w:ascii="Calibri" w:hAnsi="Calibri"/>
                <w:b w:val="0"/>
                <w:i w:val="0"/>
                <w:color w:val="5A5A5A"/>
                <w:sz w:val="18"/>
              </w:rPr>
              <w:t>#female  #hepaticcysts  #oestrogen  #pregnancy  #preeclampsia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Indian patients</w:t>
            </w:r>
          </w:p>
        </w:tc>
        <w:tc>
          <w:tcPr>
            <w:tcW w:type="dxa" w:w="4276"/>
            <w:vAlign w:val="top"/>
          </w:tcPr>
          <w:p>
            <w:pPr>
              <w:spacing w:after="60" w:line="259" w:lineRule="auto"/>
            </w:pPr>
            <w:r>
              <w:rPr>
                <w:rFonts w:ascii="Calibri" w:hAnsi="Calibri"/>
                <w:b w:val="0"/>
                <w:i w:val="0"/>
                <w:color w:val="212121"/>
                <w:sz w:val="19"/>
              </w:rPr>
              <w:t>Limited access to screening, genetic testing, disease-modifying drugs and dialysis means many Indian patients present late with already advanced kidney failure.</w:t>
            </w:r>
          </w:p>
          <w:p>
            <w:pPr>
              <w:spacing w:after="40" w:before="60" w:line="259" w:lineRule="auto"/>
            </w:pPr>
            <w:r>
              <w:rPr>
                <w:rFonts w:ascii="Calibri" w:hAnsi="Calibri"/>
                <w:b w:val="0"/>
                <w:i w:val="0"/>
                <w:color w:val="212121"/>
                <w:sz w:val="19"/>
              </w:rPr>
              <w:t>In the Indian cohort the median eGFR at diagnosis was only 26.3 mL/min/1.73 m², indicating late presentation.</w:t>
            </w:r>
          </w:p>
          <w:p>
            <w:pPr>
              <w:spacing w:after="40" w:line="252" w:lineRule="auto"/>
            </w:pPr>
            <w:hyperlink r:id="rId9">
              <w:r>
                <w:rPr>
                  <w:rFonts w:ascii="Calibri" w:hAnsi="Calibri" w:cs="Calibri"/>
                  <w:sz w:val="18"/>
                  <w:color w:val="1155CC"/>
                  <w:u w:val="single"/>
                </w:rPr>
                <w:t xml:space="preserve">pmc.ncbi.nlm.nih.gov — Indian ADPKD PROPKD cohort</w:t>
              </w:r>
            </w:hyperlink>
          </w:p>
          <w:p>
            <w:pPr>
              <w:spacing w:before="60" w:after="40"/>
            </w:pPr>
            <w:r>
              <w:rPr>
                <w:rFonts w:ascii="Calibri" w:hAnsi="Calibri"/>
                <w:b w:val="0"/>
                <w:i w:val="0"/>
                <w:color w:val="5A5A5A"/>
                <w:sz w:val="18"/>
              </w:rPr>
              <w:t>#latepresentation  #accessgap  #ruralindia  #dialysisburden  #lowegfr</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ADPKD patients</w:t>
            </w:r>
          </w:p>
        </w:tc>
        <w:tc>
          <w:tcPr>
            <w:tcW w:type="dxa" w:w="4276"/>
            <w:vAlign w:val="top"/>
          </w:tcPr>
          <w:p>
            <w:pPr>
              <w:spacing w:after="60" w:line="259" w:lineRule="auto"/>
            </w:pPr>
            <w:r>
              <w:rPr>
                <w:rFonts w:ascii="Calibri" w:hAnsi="Calibri"/>
                <w:b w:val="0"/>
                <w:i w:val="0"/>
                <w:color w:val="212121"/>
                <w:sz w:val="19"/>
              </w:rPr>
              <w:t>ADPKD is one of the leading hereditary causes of chronic kidney disease and dialysis-dependent renal failure across India, affecting all regions and ethnic groups.</w:t>
            </w:r>
          </w:p>
          <w:p>
            <w:pPr>
              <w:spacing w:after="40" w:before="60" w:line="259" w:lineRule="auto"/>
            </w:pPr>
            <w:r>
              <w:rPr>
                <w:rFonts w:ascii="Calibri" w:hAnsi="Calibri"/>
                <w:b w:val="0"/>
                <w:i w:val="0"/>
                <w:color w:val="212121"/>
                <w:sz w:val="19"/>
              </w:rPr>
              <w:t>ADPKD accounted for 2.6% of all CKD cases in the first Indian CKD Registry (1,366 of 52,273 patients).</w:t>
            </w:r>
          </w:p>
          <w:p>
            <w:pPr>
              <w:spacing w:after="40" w:line="252" w:lineRule="auto"/>
            </w:pPr>
            <w:hyperlink r:id="rId11">
              <w:r>
                <w:rPr>
                  <w:rFonts w:ascii="Calibri" w:hAnsi="Calibri" w:cs="Calibri"/>
                  <w:sz w:val="18"/>
                  <w:color w:val="1155CC"/>
                  <w:u w:val="single"/>
                </w:rPr>
                <w:t xml:space="preserve">pmc.ncbi.nlm.nih.gov — Indian CKD Registry</w:t>
              </w:r>
            </w:hyperlink>
          </w:p>
          <w:p>
            <w:pPr>
              <w:spacing w:before="60" w:after="40"/>
            </w:pPr>
            <w:r>
              <w:rPr>
                <w:rFonts w:ascii="Calibri" w:hAnsi="Calibri"/>
                <w:b w:val="0"/>
                <w:i w:val="0"/>
                <w:color w:val="5A5A5A"/>
                <w:sz w:val="18"/>
              </w:rPr>
              <w:t>#india  #ckdregistry  #hereditaryckd  #eskdcause  #nephrology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Communities with consanguineous marriage</w:t>
            </w:r>
          </w:p>
        </w:tc>
        <w:tc>
          <w:tcPr>
            <w:tcW w:type="dxa" w:w="4276"/>
            <w:vAlign w:val="top"/>
          </w:tcPr>
          <w:p>
            <w:pPr>
              <w:spacing w:after="60" w:line="259" w:lineRule="auto"/>
            </w:pPr>
            <w:r>
              <w:rPr>
                <w:rFonts w:ascii="Calibri" w:hAnsi="Calibri"/>
                <w:b w:val="0"/>
                <w:i w:val="0"/>
                <w:color w:val="212121"/>
                <w:sz w:val="19"/>
              </w:rPr>
              <w:t>The recessive form (ARPKD) requires two mutated PKHD1 copies; consanguineous unions, common in some Indian communities, substantially raise the chance a child inherits both.</w:t>
            </w:r>
          </w:p>
          <w:p>
            <w:pPr>
              <w:spacing w:after="40" w:before="60" w:line="259" w:lineRule="auto"/>
            </w:pPr>
            <w:r>
              <w:rPr>
                <w:rFonts w:ascii="Calibri" w:hAnsi="Calibri"/>
                <w:b w:val="0"/>
                <w:i w:val="0"/>
                <w:color w:val="212121"/>
                <w:sz w:val="19"/>
              </w:rPr>
              <w:t>ARPKD carrier frequency is about 1 in 70 in non-isolated populations, giving a birth incidence of ~1 in 20,000–40,000.</w:t>
            </w:r>
          </w:p>
          <w:p>
            <w:pPr>
              <w:spacing w:after="40" w:line="252" w:lineRule="auto"/>
            </w:pPr>
            <w:hyperlink r:id="rId12">
              <w:r>
                <w:rPr>
                  <w:rFonts w:ascii="Calibri" w:hAnsi="Calibri" w:cs="Calibri"/>
                  <w:sz w:val="18"/>
                  <w:color w:val="1155CC"/>
                  <w:u w:val="single"/>
                </w:rPr>
                <w:t xml:space="preserve">ncbi.nlm.nih.gov — StatPearls ARPKD</w:t>
              </w:r>
            </w:hyperlink>
          </w:p>
          <w:p>
            <w:pPr>
              <w:spacing w:before="60" w:after="40"/>
            </w:pPr>
            <w:r>
              <w:rPr>
                <w:rFonts w:ascii="Calibri" w:hAnsi="Calibri"/>
                <w:b w:val="0"/>
                <w:i w:val="0"/>
                <w:color w:val="5A5A5A"/>
                <w:sz w:val="18"/>
              </w:rPr>
              <w:t>#arpkd  #consanguinity  #pkhd1  #recessive  #carrier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urban sedentary adults</w:t>
            </w:r>
          </w:p>
        </w:tc>
        <w:tc>
          <w:tcPr>
            <w:tcW w:type="dxa" w:w="4276"/>
            <w:vAlign w:val="top"/>
          </w:tcPr>
          <w:p>
            <w:pPr>
              <w:spacing w:after="60" w:line="259" w:lineRule="auto"/>
            </w:pPr>
            <w:r>
              <w:rPr>
                <w:rFonts w:ascii="Calibri" w:hAnsi="Calibri"/>
                <w:b w:val="0"/>
                <w:i w:val="0"/>
                <w:color w:val="212121"/>
                <w:sz w:val="19"/>
              </w:rPr>
              <w:t>Physical inactivity worsens hypertension, weight gain and cardiovascular risk, all of which accelerate kidney decline in ADPKD; regular activity supports blood-pressure and weight control.</w:t>
            </w:r>
          </w:p>
          <w:p>
            <w:pPr>
              <w:spacing w:after="40" w:before="60" w:line="259" w:lineRule="auto"/>
            </w:pPr>
            <w:r>
              <w:rPr>
                <w:rFonts w:ascii="Calibri" w:hAnsi="Calibri"/>
                <w:b w:val="0"/>
                <w:i w:val="0"/>
                <w:color w:val="212121"/>
                <w:sz w:val="19"/>
              </w:rPr>
              <w:t>Overweight and obesity were strong independent predictors of faster kidney volume growth and GFR decline in the HALT-PKD trials.</w:t>
            </w:r>
          </w:p>
          <w:p>
            <w:pPr>
              <w:spacing w:after="40" w:line="252" w:lineRule="auto"/>
            </w:pPr>
            <w:hyperlink r:id="rId13">
              <w:r>
                <w:rPr>
                  <w:rFonts w:ascii="Calibri" w:hAnsi="Calibri" w:cs="Calibri"/>
                  <w:sz w:val="18"/>
                  <w:color w:val="1155CC"/>
                  <w:u w:val="single"/>
                </w:rPr>
                <w:t xml:space="preserve">mdpi.com — Dietary Care for ADPKD</w:t>
              </w:r>
            </w:hyperlink>
          </w:p>
          <w:p>
            <w:pPr>
              <w:spacing w:before="60" w:after="40"/>
            </w:pPr>
            <w:r>
              <w:rPr>
                <w:rFonts w:ascii="Calibri" w:hAnsi="Calibri"/>
                <w:b w:val="0"/>
                <w:i w:val="0"/>
                <w:color w:val="5A5A5A"/>
                <w:sz w:val="18"/>
              </w:rPr>
              <w:t>#sedentary  #inactivity  #bloodpressure  #cvrisk  #weightgain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adults</w:t>
            </w:r>
          </w:p>
        </w:tc>
        <w:tc>
          <w:tcPr>
            <w:tcW w:type="dxa" w:w="4276"/>
            <w:vAlign w:val="top"/>
          </w:tcPr>
          <w:p>
            <w:pPr>
              <w:spacing w:after="60" w:line="259" w:lineRule="auto"/>
            </w:pPr>
            <w:r>
              <w:rPr>
                <w:rFonts w:ascii="Calibri" w:hAnsi="Calibri"/>
                <w:b w:val="0"/>
                <w:i w:val="0"/>
                <w:color w:val="212121"/>
                <w:sz w:val="19"/>
              </w:rPr>
              <w:t>Excess body fat drives insulin resistance, higher blood pressure and metabolic stress that independently speed total-kidney-volume growth and loss of kidney function in early ADPKD.</w:t>
            </w:r>
          </w:p>
          <w:p>
            <w:pPr>
              <w:spacing w:after="40" w:before="60" w:line="259" w:lineRule="auto"/>
            </w:pPr>
            <w:r>
              <w:rPr>
                <w:rFonts w:ascii="Calibri" w:hAnsi="Calibri"/>
                <w:b w:val="0"/>
                <w:i w:val="0"/>
                <w:color w:val="212121"/>
                <w:sz w:val="19"/>
              </w:rPr>
              <w:t>In HALT-PKD, obesity was a strong independent predictor of annualized TKV growth and eGFR decline in early-stage ADPKD.</w:t>
            </w:r>
          </w:p>
          <w:p>
            <w:pPr>
              <w:spacing w:after="40" w:line="252" w:lineRule="auto"/>
            </w:pPr>
            <w:hyperlink r:id="rId13">
              <w:r>
                <w:rPr>
                  <w:rFonts w:ascii="Calibri" w:hAnsi="Calibri" w:cs="Calibri"/>
                  <w:sz w:val="18"/>
                  <w:color w:val="1155CC"/>
                  <w:u w:val="single"/>
                </w:rPr>
                <w:t xml:space="preserve">mdpi.com — Dietary Care for ADPKD</w:t>
              </w:r>
            </w:hyperlink>
          </w:p>
          <w:p>
            <w:pPr>
              <w:spacing w:before="60" w:after="40"/>
            </w:pPr>
            <w:r>
              <w:rPr>
                <w:rFonts w:ascii="Calibri" w:hAnsi="Calibri"/>
                <w:b w:val="0"/>
                <w:i w:val="0"/>
                <w:color w:val="5A5A5A"/>
                <w:sz w:val="18"/>
              </w:rPr>
              <w:t>#obesity  #bmi  #tkvgrowth  #metabolic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accelerates chronic kidney disease progression, worsens hypertension and endothelial damage, and increases the risk of intracranial aneurysm growth and rupture in ADPKD.</w:t>
            </w:r>
          </w:p>
          <w:p>
            <w:pPr>
              <w:spacing w:after="40" w:before="60" w:line="259" w:lineRule="auto"/>
            </w:pPr>
            <w:r>
              <w:rPr>
                <w:rFonts w:ascii="Calibri" w:hAnsi="Calibri"/>
                <w:b w:val="0"/>
                <w:i w:val="0"/>
                <w:color w:val="212121"/>
                <w:sz w:val="19"/>
              </w:rPr>
              <w:t>Smoking is an established accelerator of vascular injury and CKD progression and is discouraged in all ADPKD patients.</w:t>
            </w:r>
          </w:p>
          <w:p>
            <w:pPr>
              <w:spacing w:before="60" w:after="40"/>
            </w:pPr>
            <w:r>
              <w:rPr>
                <w:rFonts w:ascii="Calibri" w:hAnsi="Calibri"/>
                <w:b w:val="0"/>
                <w:i w:val="0"/>
                <w:color w:val="5A5A5A"/>
                <w:sz w:val="18"/>
              </w:rPr>
              <w:t>#smoking  #vascular  #aneurysmrisk  #ckdprogression  #endothelium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Chronic heavy drinking raises blood pressure and adds to hepatic burden in patients who already carry polycystic liver disease, compounding cardiovascular and liver risk.</w:t>
            </w:r>
          </w:p>
          <w:p>
            <w:pPr>
              <w:spacing w:after="40" w:before="60" w:line="259" w:lineRule="auto"/>
            </w:pPr>
            <w:r>
              <w:rPr>
                <w:rFonts w:ascii="Calibri" w:hAnsi="Calibri"/>
                <w:b w:val="0"/>
                <w:i w:val="0"/>
                <w:color w:val="212121"/>
                <w:sz w:val="19"/>
              </w:rPr>
              <w:t>Excess alcohol raises blood pressure, a key modifiable driver of kidney decline in ADPKD.</w:t>
            </w:r>
          </w:p>
          <w:p>
            <w:pPr>
              <w:spacing w:before="60" w:after="40"/>
            </w:pPr>
            <w:r>
              <w:rPr>
                <w:rFonts w:ascii="Calibri" w:hAnsi="Calibri"/>
                <w:b w:val="0"/>
                <w:i w:val="0"/>
                <w:color w:val="5A5A5A"/>
                <w:sz w:val="18"/>
              </w:rPr>
              <w:t>#alcohol  #hypertension  #liverburden  #polycysticliver  #cvrisk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sodium intake</w:t>
            </w:r>
          </w:p>
        </w:tc>
        <w:tc>
          <w:tcPr>
            <w:tcW w:type="dxa" w:w="2160"/>
            <w:vAlign w:val="top"/>
          </w:tcPr>
          <w:p>
            <w:pPr>
              <w:spacing w:after="40" w:before="0" w:line="259" w:lineRule="auto"/>
            </w:pPr>
            <w:r>
              <w:rPr>
                <w:rFonts w:ascii="Calibri" w:hAnsi="Calibri"/>
                <w:b w:val="0"/>
                <w:i w:val="0"/>
                <w:color w:val="212121"/>
                <w:sz w:val="19"/>
              </w:rPr>
              <w:t>High-salt diet consumers</w:t>
            </w:r>
          </w:p>
        </w:tc>
        <w:tc>
          <w:tcPr>
            <w:tcW w:type="dxa" w:w="4276"/>
            <w:vAlign w:val="top"/>
          </w:tcPr>
          <w:p>
            <w:pPr>
              <w:spacing w:after="60" w:line="259" w:lineRule="auto"/>
            </w:pPr>
            <w:r>
              <w:rPr>
                <w:rFonts w:ascii="Calibri" w:hAnsi="Calibri"/>
                <w:b w:val="0"/>
                <w:i w:val="0"/>
                <w:color w:val="212121"/>
                <w:sz w:val="19"/>
              </w:rPr>
              <w:t>High dietary sodium raises blood pressure and stimulates cyst-promoting pathways, accelerating kidney enlargement and functional loss; Indian diets are frequently salt-heavy.</w:t>
            </w:r>
          </w:p>
          <w:p>
            <w:pPr>
              <w:spacing w:after="40" w:before="60" w:line="259" w:lineRule="auto"/>
            </w:pPr>
            <w:r>
              <w:rPr>
                <w:rFonts w:ascii="Calibri" w:hAnsi="Calibri"/>
                <w:b w:val="0"/>
                <w:i w:val="0"/>
                <w:color w:val="212121"/>
                <w:sz w:val="19"/>
              </w:rPr>
              <w:t>Higher sodium intake was associated with faster TKV increase and GFR decline in HALT-PKD; guidelines advise &lt;2.3 g sodium (&lt;6 g salt)/day.</w:t>
            </w:r>
          </w:p>
          <w:p>
            <w:pPr>
              <w:spacing w:after="40" w:line="252" w:lineRule="auto"/>
            </w:pPr>
            <w:hyperlink r:id="rId13">
              <w:r>
                <w:rPr>
                  <w:rFonts w:ascii="Calibri" w:hAnsi="Calibri" w:cs="Calibri"/>
                  <w:sz w:val="18"/>
                  <w:color w:val="1155CC"/>
                  <w:u w:val="single"/>
                </w:rPr>
                <w:t xml:space="preserve">mdpi.com — Dietary Care for ADPKD</w:t>
              </w:r>
            </w:hyperlink>
          </w:p>
          <w:p>
            <w:pPr>
              <w:spacing w:before="60" w:after="40"/>
            </w:pPr>
            <w:r>
              <w:rPr>
                <w:rFonts w:ascii="Calibri" w:hAnsi="Calibri"/>
                <w:b w:val="0"/>
                <w:i w:val="0"/>
                <w:color w:val="5A5A5A"/>
                <w:sz w:val="18"/>
              </w:rPr>
              <w:t>#sodium  #saltrestriction  #bloodpressure  #halt-pkd  #tkv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fluid / high-osmolar diet</w:t>
            </w:r>
          </w:p>
        </w:tc>
        <w:tc>
          <w:tcPr>
            <w:tcW w:type="dxa" w:w="2160"/>
            <w:vAlign w:val="top"/>
          </w:tcPr>
          <w:p>
            <w:pPr>
              <w:spacing w:after="40" w:before="0" w:line="259" w:lineRule="auto"/>
            </w:pPr>
            <w:r>
              <w:rPr>
                <w:rFonts w:ascii="Calibri" w:hAnsi="Calibri"/>
                <w:b w:val="0"/>
                <w:i w:val="0"/>
                <w:color w:val="212121"/>
                <w:sz w:val="19"/>
              </w:rPr>
              <w:t>Chronically dehydrated / low-water-intake adults</w:t>
            </w:r>
          </w:p>
        </w:tc>
        <w:tc>
          <w:tcPr>
            <w:tcW w:type="dxa" w:w="4276"/>
            <w:vAlign w:val="top"/>
          </w:tcPr>
          <w:p>
            <w:pPr>
              <w:spacing w:after="60" w:line="259" w:lineRule="auto"/>
            </w:pPr>
            <w:r>
              <w:rPr>
                <w:rFonts w:ascii="Calibri" w:hAnsi="Calibri"/>
                <w:b w:val="0"/>
                <w:i w:val="0"/>
                <w:color w:val="212121"/>
                <w:sz w:val="19"/>
              </w:rPr>
              <w:t>Low fluid intake and a high-osmolar diet raise circulating vasopressin, which drives cyclic-AMP–mediated cyst growth; higher water intake suppresses vasopressin and may slow cyst expansion.</w:t>
            </w:r>
          </w:p>
          <w:p>
            <w:pPr>
              <w:spacing w:after="40" w:before="60" w:line="259" w:lineRule="auto"/>
            </w:pPr>
            <w:r>
              <w:rPr>
                <w:rFonts w:ascii="Calibri" w:hAnsi="Calibri"/>
                <w:b w:val="0"/>
                <w:i w:val="0"/>
                <w:color w:val="212121"/>
                <w:sz w:val="19"/>
              </w:rPr>
              <w:t>In the DRINK trial, prescribed high water intake lowered urine osmolality to a median 194 vs 379 mOsm/kg and raised urine output to ~3.15 L/day.</w:t>
            </w:r>
          </w:p>
          <w:p>
            <w:pPr>
              <w:spacing w:after="40" w:line="252" w:lineRule="auto"/>
            </w:pPr>
            <w:hyperlink r:id="rId14">
              <w:r>
                <w:rPr>
                  <w:rFonts w:ascii="Calibri" w:hAnsi="Calibri" w:cs="Calibri"/>
                  <w:sz w:val="18"/>
                  <w:color w:val="1155CC"/>
                  <w:u w:val="single"/>
                </w:rPr>
                <w:t xml:space="preserve">academic.oup.com — DRINK water-intake trial</w:t>
              </w:r>
            </w:hyperlink>
          </w:p>
          <w:p>
            <w:pPr>
              <w:spacing w:before="60" w:after="40"/>
            </w:pPr>
            <w:r>
              <w:rPr>
                <w:rFonts w:ascii="Calibri" w:hAnsi="Calibri"/>
                <w:b w:val="0"/>
                <w:i w:val="0"/>
                <w:color w:val="5A5A5A"/>
                <w:sz w:val="18"/>
              </w:rPr>
              <w:t>#hydration  #vasopressin  #urineosmolality  #cystgrowth  #water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ADPKD patients</w:t>
            </w:r>
          </w:p>
        </w:tc>
        <w:tc>
          <w:tcPr>
            <w:tcW w:type="dxa" w:w="4276"/>
            <w:vAlign w:val="top"/>
          </w:tcPr>
          <w:p>
            <w:pPr>
              <w:spacing w:after="60" w:line="259" w:lineRule="auto"/>
            </w:pPr>
            <w:r>
              <w:rPr>
                <w:rFonts w:ascii="Calibri" w:hAnsi="Calibri"/>
                <w:b w:val="0"/>
                <w:i w:val="0"/>
                <w:color w:val="212121"/>
                <w:sz w:val="19"/>
              </w:rPr>
              <w:t>ADPKD is autosomal dominant, so each first-degree relative of an affected person has a 50% chance of carrying the mutation and developing the disease.</w:t>
            </w:r>
          </w:p>
          <w:p>
            <w:pPr>
              <w:spacing w:after="40" w:before="60" w:line="259" w:lineRule="auto"/>
            </w:pPr>
            <w:r>
              <w:rPr>
                <w:rFonts w:ascii="Calibri" w:hAnsi="Calibri"/>
                <w:b w:val="0"/>
                <w:i w:val="0"/>
                <w:color w:val="212121"/>
                <w:sz w:val="19"/>
              </w:rPr>
              <w:t>A positive family history was documented in 69.9% of an Indian ADPKD cohort; ~10–15% of cases arise de novo.</w:t>
            </w:r>
          </w:p>
          <w:p>
            <w:pPr>
              <w:spacing w:after="40" w:line="252" w:lineRule="auto"/>
            </w:pPr>
            <w:hyperlink r:id="rId9">
              <w:r>
                <w:rPr>
                  <w:rFonts w:ascii="Calibri" w:hAnsi="Calibri" w:cs="Calibri"/>
                  <w:sz w:val="18"/>
                  <w:color w:val="1155CC"/>
                  <w:u w:val="single"/>
                </w:rPr>
                <w:t xml:space="preserve">pmc.ncbi.nlm.nih.gov — Indian ADPKD PROPKD cohort</w:t>
              </w:r>
            </w:hyperlink>
          </w:p>
          <w:p>
            <w:pPr>
              <w:spacing w:before="60" w:after="40"/>
            </w:pPr>
            <w:r>
              <w:rPr>
                <w:rFonts w:ascii="Calibri" w:hAnsi="Calibri"/>
                <w:b w:val="0"/>
                <w:i w:val="0"/>
                <w:color w:val="5A5A5A"/>
                <w:sz w:val="18"/>
              </w:rPr>
              <w:t>#familyhistory  #autosomaldominant  #50percent  #screening  #denovo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PKD1 truncating mutation</w:t>
            </w:r>
          </w:p>
        </w:tc>
        <w:tc>
          <w:tcPr>
            <w:tcW w:type="dxa" w:w="2160"/>
            <w:vAlign w:val="top"/>
          </w:tcPr>
          <w:p>
            <w:pPr>
              <w:spacing w:after="40" w:before="0" w:line="259" w:lineRule="auto"/>
            </w:pPr>
            <w:r>
              <w:rPr>
                <w:rFonts w:ascii="Calibri" w:hAnsi="Calibri"/>
                <w:b w:val="0"/>
                <w:i w:val="0"/>
                <w:color w:val="212121"/>
                <w:sz w:val="19"/>
              </w:rPr>
              <w:t>Carriers of truncating PKD1 mutations</w:t>
            </w:r>
          </w:p>
        </w:tc>
        <w:tc>
          <w:tcPr>
            <w:tcW w:type="dxa" w:w="4276"/>
            <w:vAlign w:val="top"/>
          </w:tcPr>
          <w:p>
            <w:pPr>
              <w:spacing w:after="60" w:line="259" w:lineRule="auto"/>
            </w:pPr>
            <w:r>
              <w:rPr>
                <w:rFonts w:ascii="Calibri" w:hAnsi="Calibri"/>
                <w:b w:val="0"/>
                <w:i w:val="0"/>
                <w:color w:val="212121"/>
                <w:sz w:val="19"/>
              </w:rPr>
              <w:t>Truncating (protein-terminating) PKD1 mutations produce the most severe phenotype with the largest kidneys and the earliest progression to end-stage kidney disease.</w:t>
            </w:r>
          </w:p>
          <w:p>
            <w:pPr>
              <w:spacing w:after="40" w:before="60" w:line="259" w:lineRule="auto"/>
            </w:pPr>
            <w:r>
              <w:rPr>
                <w:rFonts w:ascii="Calibri" w:hAnsi="Calibri"/>
                <w:b w:val="0"/>
                <w:i w:val="0"/>
                <w:color w:val="212121"/>
                <w:sz w:val="19"/>
              </w:rPr>
              <w:t>PKD1 mutations cause ~85% of ADPKD, and about half of PKD1 patients require renal replacement therapy by age 60.</w:t>
            </w:r>
          </w:p>
          <w:p>
            <w:pPr>
              <w:spacing w:after="40" w:line="252" w:lineRule="auto"/>
            </w:pPr>
            <w:hyperlink r:id="rId10">
              <w:r>
                <w:rPr>
                  <w:rFonts w:ascii="Calibri" w:hAnsi="Calibri" w:cs="Calibri"/>
                  <w:sz w:val="18"/>
                  <w:color w:val="1155CC"/>
                  <w:u w:val="single"/>
                </w:rPr>
                <w:t xml:space="preserve">ncbi.nlm.nih.gov — StatPearls ADPKD</w:t>
              </w:r>
            </w:hyperlink>
          </w:p>
          <w:p>
            <w:pPr>
              <w:spacing w:before="60" w:after="40"/>
            </w:pPr>
            <w:r>
              <w:rPr>
                <w:rFonts w:ascii="Calibri" w:hAnsi="Calibri"/>
                <w:b w:val="0"/>
                <w:i w:val="0"/>
                <w:color w:val="5A5A5A"/>
                <w:sz w:val="18"/>
              </w:rPr>
              <w:t>#pkd1  #truncating  #severephenotype  #earlyeskd  #genotype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hypertension</w:t>
            </w:r>
          </w:p>
        </w:tc>
        <w:tc>
          <w:tcPr>
            <w:tcW w:type="dxa" w:w="4276"/>
            <w:vAlign w:val="top"/>
          </w:tcPr>
          <w:p>
            <w:pPr>
              <w:spacing w:after="60" w:line="259" w:lineRule="auto"/>
            </w:pPr>
            <w:r>
              <w:rPr>
                <w:rFonts w:ascii="Calibri" w:hAnsi="Calibri"/>
                <w:b w:val="0"/>
                <w:i w:val="0"/>
                <w:color w:val="212121"/>
                <w:sz w:val="19"/>
              </w:rPr>
              <w:t>Activation of the renin–angiotensin system by cyst-related ischaemia makes hypertension the earliest and most universal feature of ADPKD, itself accelerating kidney and cardiovascular damage.</w:t>
            </w:r>
          </w:p>
          <w:p>
            <w:pPr>
              <w:spacing w:after="40" w:before="60" w:line="259" w:lineRule="auto"/>
            </w:pPr>
            <w:r>
              <w:rPr>
                <w:rFonts w:ascii="Calibri" w:hAnsi="Calibri"/>
                <w:b w:val="0"/>
                <w:i w:val="0"/>
                <w:color w:val="212121"/>
                <w:sz w:val="19"/>
              </w:rPr>
              <w:t>Hypertension occurs in 50–75% of ADPKD patients and often precedes any fall in kidney function.</w:t>
            </w:r>
          </w:p>
          <w:p>
            <w:pPr>
              <w:spacing w:after="40" w:line="252" w:lineRule="auto"/>
            </w:pPr>
            <w:hyperlink r:id="rId15">
              <w:r>
                <w:rPr>
                  <w:rFonts w:ascii="Calibri" w:hAnsi="Calibri" w:cs="Calibri"/>
                  <w:sz w:val="18"/>
                  <w:color w:val="1155CC"/>
                  <w:u w:val="single"/>
                </w:rPr>
                <w:t xml:space="preserve">ccjm.org — ADPKD heart and brain</w:t>
              </w:r>
            </w:hyperlink>
          </w:p>
          <w:p>
            <w:pPr>
              <w:spacing w:before="60" w:after="40"/>
            </w:pPr>
            <w:r>
              <w:rPr>
                <w:rFonts w:ascii="Calibri" w:hAnsi="Calibri"/>
                <w:b w:val="0"/>
                <w:i w:val="0"/>
                <w:color w:val="5A5A5A"/>
                <w:sz w:val="18"/>
              </w:rPr>
              <w:t>#hypertension  #raas  #earlysign  #cardiorenal  #bpcontrol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Nephrolithiasis</w:t>
            </w:r>
          </w:p>
        </w:tc>
        <w:tc>
          <w:tcPr>
            <w:tcW w:type="dxa" w:w="2160"/>
            <w:vAlign w:val="top"/>
          </w:tcPr>
          <w:p>
            <w:pPr>
              <w:spacing w:after="40" w:before="0" w:line="259" w:lineRule="auto"/>
            </w:pPr>
            <w:r>
              <w:rPr>
                <w:rFonts w:ascii="Calibri" w:hAnsi="Calibri"/>
                <w:b w:val="0"/>
                <w:i w:val="0"/>
                <w:color w:val="212121"/>
                <w:sz w:val="19"/>
              </w:rPr>
              <w:t>Patients with kidney stones</w:t>
            </w:r>
          </w:p>
        </w:tc>
        <w:tc>
          <w:tcPr>
            <w:tcW w:type="dxa" w:w="4276"/>
            <w:vAlign w:val="top"/>
          </w:tcPr>
          <w:p>
            <w:pPr>
              <w:spacing w:after="60" w:line="259" w:lineRule="auto"/>
            </w:pPr>
            <w:r>
              <w:rPr>
                <w:rFonts w:ascii="Calibri" w:hAnsi="Calibri"/>
                <w:b w:val="0"/>
                <w:i w:val="0"/>
                <w:color w:val="212121"/>
                <w:sz w:val="19"/>
              </w:rPr>
              <w:t>Distorted kidney architecture, urinary stasis, low urine citrate and low urine pH promote stone formation, which in turn causes pain, obstruction and infection.</w:t>
            </w:r>
          </w:p>
          <w:p>
            <w:pPr>
              <w:spacing w:after="40" w:before="60" w:line="259" w:lineRule="auto"/>
            </w:pPr>
            <w:r>
              <w:rPr>
                <w:rFonts w:ascii="Calibri" w:hAnsi="Calibri"/>
                <w:b w:val="0"/>
                <w:i w:val="0"/>
                <w:color w:val="212121"/>
                <w:sz w:val="19"/>
              </w:rPr>
              <w:t>Kidney stones occur in about 20–25% of ADPKD patients.</w:t>
            </w:r>
          </w:p>
          <w:p>
            <w:pPr>
              <w:spacing w:after="40" w:line="252" w:lineRule="auto"/>
            </w:pPr>
            <w:hyperlink r:id="rId10">
              <w:r>
                <w:rPr>
                  <w:rFonts w:ascii="Calibri" w:hAnsi="Calibri" w:cs="Calibri"/>
                  <w:sz w:val="18"/>
                  <w:color w:val="1155CC"/>
                  <w:u w:val="single"/>
                </w:rPr>
                <w:t xml:space="preserve">ncbi.nlm.nih.gov — StatPearls ADPKD</w:t>
              </w:r>
            </w:hyperlink>
          </w:p>
          <w:p>
            <w:pPr>
              <w:spacing w:before="60" w:after="40"/>
            </w:pPr>
            <w:r>
              <w:rPr>
                <w:rFonts w:ascii="Calibri" w:hAnsi="Calibri"/>
                <w:b w:val="0"/>
                <w:i w:val="0"/>
                <w:color w:val="5A5A5A"/>
                <w:sz w:val="18"/>
              </w:rPr>
              <w:t>#nephrolithiasis  #kidneystones  #urinarystasis  #uricacid  #colic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Intracranial aneurysm</w:t>
            </w:r>
          </w:p>
        </w:tc>
        <w:tc>
          <w:tcPr>
            <w:tcW w:type="dxa" w:w="2160"/>
            <w:vAlign w:val="top"/>
          </w:tcPr>
          <w:p>
            <w:pPr>
              <w:spacing w:after="40" w:before="0" w:line="259" w:lineRule="auto"/>
            </w:pPr>
            <w:r>
              <w:rPr>
                <w:rFonts w:ascii="Calibri" w:hAnsi="Calibri"/>
                <w:b w:val="0"/>
                <w:i w:val="0"/>
                <w:color w:val="212121"/>
                <w:sz w:val="19"/>
              </w:rPr>
              <w:t>Patients with a family history of aneurysm / haemorrhagic stroke</w:t>
            </w:r>
          </w:p>
        </w:tc>
        <w:tc>
          <w:tcPr>
            <w:tcW w:type="dxa" w:w="4276"/>
            <w:vAlign w:val="top"/>
          </w:tcPr>
          <w:p>
            <w:pPr>
              <w:spacing w:after="60" w:line="259" w:lineRule="auto"/>
            </w:pPr>
            <w:r>
              <w:rPr>
                <w:rFonts w:ascii="Calibri" w:hAnsi="Calibri"/>
                <w:b w:val="0"/>
                <w:i w:val="0"/>
                <w:color w:val="212121"/>
                <w:sz w:val="19"/>
              </w:rPr>
              <w:t>The same polycystin defect weakens arterial walls, giving ADPKD patients a several-fold higher risk of berry (intracranial) aneurysms, with clustering in some families.</w:t>
            </w:r>
          </w:p>
          <w:p>
            <w:pPr>
              <w:spacing w:after="40" w:before="60" w:line="259" w:lineRule="auto"/>
            </w:pPr>
            <w:r>
              <w:rPr>
                <w:rFonts w:ascii="Calibri" w:hAnsi="Calibri"/>
                <w:b w:val="0"/>
                <w:i w:val="0"/>
                <w:color w:val="212121"/>
                <w:sz w:val="19"/>
              </w:rPr>
              <w:t>Intracranial aneurysm prevalence in ADPKD ranges from about 4% to over 40% (vs ~1% in the general population), highest with a positive family history.</w:t>
            </w:r>
          </w:p>
          <w:p>
            <w:pPr>
              <w:spacing w:after="40" w:line="252" w:lineRule="auto"/>
            </w:pPr>
            <w:hyperlink r:id="rId15">
              <w:r>
                <w:rPr>
                  <w:rFonts w:ascii="Calibri" w:hAnsi="Calibri" w:cs="Calibri"/>
                  <w:sz w:val="18"/>
                  <w:color w:val="1155CC"/>
                  <w:u w:val="single"/>
                </w:rPr>
                <w:t xml:space="preserve">ccjm.org — ADPKD heart and brain</w:t>
              </w:r>
            </w:hyperlink>
          </w:p>
          <w:p>
            <w:pPr>
              <w:spacing w:before="60" w:after="40"/>
            </w:pPr>
            <w:r>
              <w:rPr>
                <w:rFonts w:ascii="Calibri" w:hAnsi="Calibri"/>
                <w:b w:val="0"/>
                <w:i w:val="0"/>
                <w:color w:val="5A5A5A"/>
                <w:sz w:val="18"/>
              </w:rPr>
              <w:t>#intracranialaneurysm  #berryaneurysm  #stroke  #screening  #familycluster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Overweight and obesity are strong independent predictors of faster kidney-volume growth and GFR decline in ADPKD; regular activity aids blood-pressure and weight control, though contact/high-impact sport carries a cyst-rupture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dietary sodium is linked to faster total-kidney-volume growth and GFR loss; a high-osmolar diet raises vasopressin and drives cyst growth. Sodium &lt;2.3 g/day and moderate protein are advised.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obstructive sleep apnoea worsen hypertension, an important progression driver, but direct evidence linking sleep to cyst growth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accelerates CKD progression and endothelial/vascular injury and is a recognised risk factor for growth and rupture of intracranial aneurysms in ADPKD.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raises blood pressure and adds hepatic burden in patients with polycystic liver disease; moderation is recommended.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pain, progressive kidney failure, dialysis dependence and the hereditary nature of PKD are associated with anxiety and depression that reduce quality of life and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Higher fluid intake suppresses vasopressin and cyclic-AMP–mediated cyst growth; trials (DRINK, PREVENT-ADPKD) show a target urine osmolality &lt;270–280 mOsm/kg is achievable, with a small risk of hyponatraemia.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raises cyclic AMP in cultured cyst cells, but three observational studies found no association with kidney-volume growth or GFR decline; intake ≤200 mg/day is generally considered safe.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Good perineal, catheter and post-procedure hygiene reduces urinary and cyst infections, which are common and difficult-to-treat complications of PKD.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Blunt abdominal trauma or heavy contact sport can rupture cysts causing haemorrhage and gross haematuria; dehydration and nephrotoxins such as NSAIDs can precipitate acute deterioration.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(g/day)</w:t>
            </w:r>
          </w:p>
        </w:tc>
        <w:tc>
          <w:tcPr>
            <w:tcW w:type="dxa" w:w="1655"/>
            <w:vAlign w:val="top"/>
          </w:tcPr>
          <w:p>
            <w:pPr>
              <w:spacing w:after="40" w:before="0" w:line="259" w:lineRule="auto"/>
            </w:pPr>
            <w:r>
              <w:rPr>
                <w:rFonts w:ascii="Calibri" w:hAnsi="Calibri"/>
                <w:b w:val="0"/>
                <w:i w:val="0"/>
                <w:color w:val="212121"/>
                <w:sz w:val="19"/>
              </w:rPr>
              <w:t>All ADPKD adults</w:t>
            </w:r>
          </w:p>
        </w:tc>
        <w:tc>
          <w:tcPr>
            <w:tcW w:type="dxa" w:w="1512"/>
            <w:vAlign w:val="top"/>
          </w:tcPr>
          <w:p>
            <w:pPr>
              <w:spacing w:after="40" w:before="0" w:line="259" w:lineRule="auto"/>
            </w:pPr>
            <w:r>
              <w:rPr>
                <w:rFonts w:ascii="Calibri" w:hAnsi="Calibri"/>
                <w:b w:val="0"/>
                <w:i w:val="0"/>
                <w:color w:val="212121"/>
                <w:sz w:val="19"/>
              </w:rPr>
              <w:t>&lt; 2.3 g sodium (&lt; 6 g salt)/day</w:t>
            </w:r>
          </w:p>
        </w:tc>
        <w:tc>
          <w:tcPr>
            <w:tcW w:type="dxa" w:w="1512"/>
            <w:vAlign w:val="top"/>
          </w:tcPr>
          <w:p>
            <w:pPr>
              <w:spacing w:after="40" w:before="0" w:line="259" w:lineRule="auto"/>
            </w:pPr>
            <w:r>
              <w:rPr>
                <w:rFonts w:ascii="Calibri" w:hAnsi="Calibri"/>
                <w:b w:val="0"/>
                <w:i w:val="0"/>
                <w:color w:val="212121"/>
                <w:sz w:val="19"/>
              </w:rPr>
              <w:t>&gt; 2.3 g sodium/day (habitual high-salt diet)</w:t>
            </w:r>
          </w:p>
        </w:tc>
        <w:tc>
          <w:tcPr>
            <w:tcW w:type="dxa" w:w="1468"/>
            <w:vAlign w:val="top"/>
          </w:tcPr>
          <w:p>
            <w:pPr>
              <w:spacing w:after="60" w:line="259" w:lineRule="auto"/>
            </w:pPr>
            <w:r>
              <w:rPr>
                <w:rFonts w:ascii="Calibri" w:hAnsi="Calibri"/>
                <w:b w:val="0"/>
                <w:i w:val="0"/>
                <w:color w:val="212121"/>
                <w:sz w:val="19"/>
              </w:rPr>
              <w:t>Higher sodium accelerates TKV growth and GFR decline</w:t>
            </w:r>
          </w:p>
          <w:p>
            <w:pPr>
              <w:spacing w:after="40" w:line="252" w:lineRule="auto"/>
            </w:pPr>
            <w:hyperlink r:id="rId13">
              <w:r>
                <w:rPr>
                  <w:rFonts w:ascii="Calibri" w:hAnsi="Calibri" w:cs="Calibri"/>
                  <w:sz w:val="18"/>
                  <w:color w:val="1155CC"/>
                  <w:u w:val="single"/>
                </w:rPr>
                <w:t xml:space="preserve">https://www.mdpi.com/2072-6643/11/7/1576</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Urine osmolality (mOsm/kg)</w:t>
            </w:r>
          </w:p>
        </w:tc>
        <w:tc>
          <w:tcPr>
            <w:tcW w:type="dxa" w:w="1655"/>
            <w:vAlign w:val="top"/>
          </w:tcPr>
          <w:p>
            <w:pPr>
              <w:spacing w:after="40" w:before="0" w:line="259" w:lineRule="auto"/>
            </w:pPr>
            <w:r>
              <w:rPr>
                <w:rFonts w:ascii="Calibri" w:hAnsi="Calibri"/>
                <w:b w:val="0"/>
                <w:i w:val="0"/>
                <w:color w:val="212121"/>
                <w:sz w:val="19"/>
              </w:rPr>
              <w:t>Adults with preserved eGFR</w:t>
            </w:r>
          </w:p>
        </w:tc>
        <w:tc>
          <w:tcPr>
            <w:tcW w:type="dxa" w:w="1512"/>
            <w:vAlign w:val="top"/>
          </w:tcPr>
          <w:p>
            <w:pPr>
              <w:spacing w:after="40" w:before="0" w:line="259" w:lineRule="auto"/>
            </w:pPr>
            <w:r>
              <w:rPr>
                <w:rFonts w:ascii="Calibri" w:hAnsi="Calibri"/>
                <w:b w:val="0"/>
                <w:i w:val="0"/>
                <w:color w:val="212121"/>
                <w:sz w:val="19"/>
              </w:rPr>
              <w:t>&lt; 280 mOsm/kg (≈2.5–3 L intake/day)</w:t>
            </w:r>
          </w:p>
        </w:tc>
        <w:tc>
          <w:tcPr>
            <w:tcW w:type="dxa" w:w="1512"/>
            <w:vAlign w:val="top"/>
          </w:tcPr>
          <w:p>
            <w:pPr>
              <w:spacing w:after="40" w:before="0" w:line="259" w:lineRule="auto"/>
            </w:pPr>
            <w:r>
              <w:rPr>
                <w:rFonts w:ascii="Calibri" w:hAnsi="Calibri"/>
                <w:b w:val="0"/>
                <w:i w:val="0"/>
                <w:color w:val="212121"/>
                <w:sz w:val="19"/>
              </w:rPr>
              <w:t>Concentrated urine &gt; 300 mOsm/kg</w:t>
            </w:r>
          </w:p>
        </w:tc>
        <w:tc>
          <w:tcPr>
            <w:tcW w:type="dxa" w:w="1468"/>
            <w:vAlign w:val="top"/>
          </w:tcPr>
          <w:p>
            <w:pPr>
              <w:spacing w:after="60" w:line="259" w:lineRule="auto"/>
            </w:pPr>
            <w:r>
              <w:rPr>
                <w:rFonts w:ascii="Calibri" w:hAnsi="Calibri"/>
                <w:b w:val="0"/>
                <w:i w:val="0"/>
                <w:color w:val="212121"/>
                <w:sz w:val="19"/>
              </w:rPr>
              <w:t>Lower osmolality reflects vasopressin suppression; avoid over-hydration if advanced CKD/hyponatraemia risk</w:t>
            </w:r>
          </w:p>
          <w:p>
            <w:pPr>
              <w:spacing w:after="40" w:line="252" w:lineRule="auto"/>
            </w:pPr>
            <w:hyperlink r:id="rId14">
              <w:r>
                <w:rPr>
                  <w:rFonts w:ascii="Calibri" w:hAnsi="Calibri" w:cs="Calibri"/>
                  <w:sz w:val="18"/>
                  <w:color w:val="1155CC"/>
                  <w:u w:val="single"/>
                </w:rPr>
                <w:t xml:space="preserve">https://academic.oup.com/qjmed/article/113/4/258/5610088</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Overweight / obese 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60" w:line="259" w:lineRule="auto"/>
            </w:pPr>
            <w:r>
              <w:rPr>
                <w:rFonts w:ascii="Calibri" w:hAnsi="Calibri"/>
                <w:b w:val="0"/>
                <w:i w:val="0"/>
                <w:color w:val="212121"/>
                <w:sz w:val="19"/>
              </w:rPr>
              <w:t>Obesity independently predicts faster cyst growth and GFR decline</w:t>
            </w:r>
          </w:p>
          <w:p>
            <w:pPr>
              <w:spacing w:after="40" w:line="252" w:lineRule="auto"/>
            </w:pPr>
            <w:hyperlink r:id="rId13">
              <w:r>
                <w:rPr>
                  <w:rFonts w:ascii="Calibri" w:hAnsi="Calibri" w:cs="Calibri"/>
                  <w:sz w:val="18"/>
                  <w:color w:val="1155CC"/>
                  <w:u w:val="single"/>
                </w:rPr>
                <w:t xml:space="preserve">https://www.mdpi.com/2072-6643/11/7/1576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ADPKD adults, young patients</w:t>
            </w:r>
          </w:p>
        </w:tc>
        <w:tc>
          <w:tcPr>
            <w:tcW w:type="dxa" w:w="1512"/>
            <w:vAlign w:val="top"/>
          </w:tcPr>
          <w:p>
            <w:pPr>
              <w:spacing w:after="40" w:before="0" w:line="259" w:lineRule="auto"/>
            </w:pPr>
            <w:r>
              <w:rPr>
                <w:rFonts w:ascii="Calibri" w:hAnsi="Calibri"/>
                <w:b w:val="0"/>
                <w:i w:val="0"/>
                <w:color w:val="212121"/>
                <w:sz w:val="19"/>
              </w:rPr>
              <w:t>≤ 110/75 in young patients with preserved GFR; &lt; 130/80 generally</w:t>
            </w:r>
          </w:p>
        </w:tc>
        <w:tc>
          <w:tcPr>
            <w:tcW w:type="dxa" w:w="1512"/>
            <w:vAlign w:val="top"/>
          </w:tcPr>
          <w:p>
            <w:pPr>
              <w:spacing w:after="40" w:before="0" w:line="259" w:lineRule="auto"/>
            </w:pPr>
            <w:r>
              <w:rPr>
                <w:rFonts w:ascii="Calibri" w:hAnsi="Calibri"/>
                <w:b w:val="0"/>
                <w:i w:val="0"/>
                <w:color w:val="212121"/>
                <w:sz w:val="19"/>
              </w:rPr>
              <w:t>≥ 130/80 mmHg</w:t>
            </w:r>
          </w:p>
        </w:tc>
        <w:tc>
          <w:tcPr>
            <w:tcW w:type="dxa" w:w="1468"/>
            <w:vAlign w:val="top"/>
          </w:tcPr>
          <w:p>
            <w:pPr>
              <w:spacing w:after="60" w:line="259" w:lineRule="auto"/>
            </w:pPr>
            <w:r>
              <w:rPr>
                <w:rFonts w:ascii="Calibri" w:hAnsi="Calibri"/>
                <w:b w:val="0"/>
                <w:i w:val="0"/>
                <w:color w:val="212121"/>
                <w:sz w:val="19"/>
              </w:rPr>
              <w:t>Tight BP control (RAAS blockade) slows kidney-volume growth and cardiovascular damage</w:t>
            </w:r>
          </w:p>
          <w:p>
            <w:pPr>
              <w:spacing w:after="40" w:line="252" w:lineRule="auto"/>
            </w:pPr>
            <w:hyperlink r:id="rId15">
              <w:r>
                <w:rPr>
                  <w:rFonts w:ascii="Calibri" w:hAnsi="Calibri" w:cs="Calibri"/>
                  <w:sz w:val="18"/>
                  <w:color w:val="1155CC"/>
                  <w:u w:val="single"/>
                </w:rPr>
                <w:t xml:space="preserve">https://www.ccjm.org/content/84/6/471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protein (g/kg/day)</w:t>
            </w:r>
          </w:p>
        </w:tc>
        <w:tc>
          <w:tcPr>
            <w:tcW w:type="dxa" w:w="1655"/>
            <w:vAlign w:val="top"/>
          </w:tcPr>
          <w:p>
            <w:pPr>
              <w:spacing w:after="40" w:before="0" w:line="259" w:lineRule="auto"/>
            </w:pPr>
            <w:r>
              <w:rPr>
                <w:rFonts w:ascii="Calibri" w:hAnsi="Calibri"/>
                <w:b w:val="0"/>
                <w:i w:val="0"/>
                <w:color w:val="212121"/>
                <w:sz w:val="19"/>
              </w:rPr>
              <w:t>Adults with CKD stage 3–4</w:t>
            </w:r>
          </w:p>
        </w:tc>
        <w:tc>
          <w:tcPr>
            <w:tcW w:type="dxa" w:w="1512"/>
            <w:vAlign w:val="top"/>
          </w:tcPr>
          <w:p>
            <w:pPr>
              <w:spacing w:after="40" w:before="0" w:line="259" w:lineRule="auto"/>
            </w:pPr>
            <w:r>
              <w:rPr>
                <w:rFonts w:ascii="Calibri" w:hAnsi="Calibri"/>
                <w:b w:val="0"/>
                <w:i w:val="0"/>
                <w:color w:val="212121"/>
                <w:sz w:val="19"/>
              </w:rPr>
              <w:t>0.75–1.0 g/kg/day (moderate)</w:t>
            </w:r>
          </w:p>
        </w:tc>
        <w:tc>
          <w:tcPr>
            <w:tcW w:type="dxa" w:w="1512"/>
            <w:vAlign w:val="top"/>
          </w:tcPr>
          <w:p>
            <w:pPr>
              <w:spacing w:after="40" w:before="0" w:line="259" w:lineRule="auto"/>
            </w:pPr>
            <w:r>
              <w:rPr>
                <w:rFonts w:ascii="Calibri" w:hAnsi="Calibri"/>
                <w:b w:val="0"/>
                <w:i w:val="0"/>
                <w:color w:val="212121"/>
                <w:sz w:val="19"/>
              </w:rPr>
              <w:t>&gt; 1.3 g/kg/day (habitual high protein)</w:t>
            </w:r>
          </w:p>
        </w:tc>
        <w:tc>
          <w:tcPr>
            <w:tcW w:type="dxa" w:w="1468"/>
            <w:vAlign w:val="top"/>
          </w:tcPr>
          <w:p>
            <w:pPr>
              <w:spacing w:after="60" w:line="259" w:lineRule="auto"/>
            </w:pPr>
            <w:r>
              <w:rPr>
                <w:rFonts w:ascii="Calibri" w:hAnsi="Calibri"/>
                <w:b w:val="0"/>
                <w:i w:val="0"/>
                <w:color w:val="212121"/>
                <w:sz w:val="19"/>
              </w:rPr>
              <w:t>Very-high protein adds glomerular load; excessive restriction risks malnutrition</w:t>
            </w:r>
          </w:p>
          <w:p>
            <w:pPr>
              <w:spacing w:after="40" w:line="252" w:lineRule="auto"/>
            </w:pPr>
            <w:hyperlink r:id="rId13">
              <w:r>
                <w:rPr>
                  <w:rFonts w:ascii="Calibri" w:hAnsi="Calibri" w:cs="Calibri"/>
                  <w:sz w:val="18"/>
                  <w:color w:val="1155CC"/>
                  <w:u w:val="single"/>
                </w:rPr>
                <w:t xml:space="preserve">https://www.mdpi.com/2072-6643/11/7/1576</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All ADPKD adults</w:t>
            </w:r>
          </w:p>
        </w:tc>
        <w:tc>
          <w:tcPr>
            <w:tcW w:type="dxa" w:w="1512"/>
            <w:vAlign w:val="top"/>
          </w:tcPr>
          <w:p>
            <w:pPr>
              <w:spacing w:after="40" w:before="0" w:line="259" w:lineRule="auto"/>
            </w:pPr>
            <w:r>
              <w:rPr>
                <w:rFonts w:ascii="Calibri" w:hAnsi="Calibri"/>
                <w:b w:val="0"/>
                <w:i w:val="0"/>
                <w:color w:val="212121"/>
                <w:sz w:val="19"/>
              </w:rPr>
              <w:t>≤ 200 mg/day (≈2 cups coffee)</w:t>
            </w:r>
          </w:p>
        </w:tc>
        <w:tc>
          <w:tcPr>
            <w:tcW w:type="dxa" w:w="1512"/>
            <w:vAlign w:val="top"/>
          </w:tcPr>
          <w:p>
            <w:pPr>
              <w:spacing w:after="40" w:before="0" w:line="259" w:lineRule="auto"/>
            </w:pPr>
            <w:r>
              <w:rPr>
                <w:rFonts w:ascii="Calibri" w:hAnsi="Calibri"/>
                <w:b w:val="0"/>
                <w:i w:val="0"/>
                <w:color w:val="212121"/>
                <w:sz w:val="19"/>
              </w:rPr>
              <w:t>&gt; 200 mg/day</w:t>
            </w:r>
          </w:p>
        </w:tc>
        <w:tc>
          <w:tcPr>
            <w:tcW w:type="dxa" w:w="1468"/>
            <w:vAlign w:val="top"/>
          </w:tcPr>
          <w:p>
            <w:pPr>
              <w:spacing w:after="60" w:line="259" w:lineRule="auto"/>
            </w:pPr>
            <w:r>
              <w:rPr>
                <w:rFonts w:ascii="Calibri" w:hAnsi="Calibri"/>
                <w:b w:val="0"/>
                <w:i w:val="0"/>
                <w:color w:val="212121"/>
                <w:sz w:val="19"/>
              </w:rPr>
              <w:t>Conservative cap; observational data show no clear effect on cyst growth</w:t>
            </w:r>
          </w:p>
          <w:p>
            <w:pPr>
              <w:spacing w:after="40" w:line="252" w:lineRule="auto"/>
            </w:pPr>
            <w:hyperlink r:id="rId13">
              <w:r>
                <w:rPr>
                  <w:rFonts w:ascii="Calibri" w:hAnsi="Calibri" w:cs="Calibri"/>
                  <w:sz w:val="18"/>
                  <w:color w:val="1155CC"/>
                  <w:u w:val="single"/>
                </w:rPr>
                <w:t xml:space="preserve">https://www.mdpi.com/2072-6643/11/7/1576</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aneurysm-risk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accelerates CKD and raises aneurysm rupture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hypertension / hepatic cysts</w:t>
            </w:r>
          </w:p>
        </w:tc>
        <w:tc>
          <w:tcPr>
            <w:tcW w:type="dxa" w:w="1512"/>
            <w:vAlign w:val="top"/>
          </w:tcPr>
          <w:p>
            <w:pPr>
              <w:spacing w:after="40" w:before="0" w:line="259" w:lineRule="auto"/>
            </w:pPr>
            <w:r>
              <w:rPr>
                <w:rFonts w:ascii="Calibri" w:hAnsi="Calibri"/>
                <w:b w:val="0"/>
                <w:i w:val="0"/>
                <w:color w:val="212121"/>
                <w:sz w:val="19"/>
              </w:rPr>
              <w:t>Minimal; ≤ 1–2 standard drinks/day</w:t>
            </w:r>
          </w:p>
        </w:tc>
        <w:tc>
          <w:tcPr>
            <w:tcW w:type="dxa" w:w="1512"/>
            <w:vAlign w:val="top"/>
          </w:tcPr>
          <w:p>
            <w:pPr>
              <w:spacing w:after="40" w:before="0" w:line="259" w:lineRule="auto"/>
            </w:pPr>
            <w:r>
              <w:rPr>
                <w:rFonts w:ascii="Calibri" w:hAnsi="Calibri"/>
                <w:b w:val="0"/>
                <w:i w:val="0"/>
                <w:color w:val="212121"/>
                <w:sz w:val="19"/>
              </w:rPr>
              <w:t>Regular heavy drinking</w:t>
            </w:r>
          </w:p>
        </w:tc>
        <w:tc>
          <w:tcPr>
            <w:tcW w:type="dxa" w:w="1468"/>
            <w:vAlign w:val="top"/>
          </w:tcPr>
          <w:p>
            <w:pPr>
              <w:spacing w:after="40" w:before="0" w:line="259" w:lineRule="auto"/>
            </w:pPr>
            <w:r>
              <w:rPr>
                <w:rFonts w:ascii="Calibri" w:hAnsi="Calibri"/>
                <w:b w:val="0"/>
                <w:i w:val="0"/>
                <w:color w:val="212121"/>
                <w:sz w:val="19"/>
              </w:rPr>
              <w:t>Raises blood pressure and hepatic burden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Renal cyst number &amp; kidney size (Pei criteria)</w:t>
            </w:r>
          </w:p>
        </w:tc>
        <w:tc>
          <w:tcPr>
            <w:tcW w:type="dxa" w:w="892"/>
            <w:vAlign w:val="top"/>
          </w:tcPr>
          <w:p>
            <w:pPr>
              <w:spacing w:after="40" w:before="0" w:line="259" w:lineRule="auto"/>
            </w:pPr>
            <w:r>
              <w:rPr>
                <w:rFonts w:ascii="Calibri" w:hAnsi="Calibri"/>
                <w:b w:val="0"/>
                <w:i w:val="0"/>
                <w:color w:val="212121"/>
                <w:sz w:val="16"/>
              </w:rPr>
              <w:t>Renal Ultrasonography</w:t>
            </w:r>
          </w:p>
        </w:tc>
        <w:tc>
          <w:tcPr>
            <w:tcW w:type="dxa" w:w="950"/>
            <w:vAlign w:val="top"/>
          </w:tcPr>
          <w:p>
            <w:pPr>
              <w:spacing w:after="40" w:before="0" w:line="259" w:lineRule="auto"/>
            </w:pPr>
            <w:r>
              <w:rPr>
                <w:rFonts w:ascii="Calibri" w:hAnsi="Calibri"/>
                <w:b w:val="0"/>
                <w:i w:val="0"/>
                <w:color w:val="212121"/>
                <w:sz w:val="16"/>
              </w:rPr>
              <w:t>No/age-inappropriate cysts</w:t>
            </w:r>
          </w:p>
        </w:tc>
        <w:tc>
          <w:tcPr>
            <w:tcW w:type="dxa" w:w="950"/>
            <w:vAlign w:val="top"/>
          </w:tcPr>
          <w:p>
            <w:pPr>
              <w:spacing w:after="40" w:before="0" w:line="259" w:lineRule="auto"/>
            </w:pPr>
            <w:r>
              <w:rPr>
                <w:rFonts w:ascii="Calibri" w:hAnsi="Calibri"/>
                <w:b w:val="0"/>
                <w:i w:val="0"/>
                <w:color w:val="212121"/>
                <w:sz w:val="16"/>
              </w:rPr>
              <w:t>Age-dependent cyst count met (e.g. ≥3 cysts at 15–39 y)</w:t>
            </w:r>
          </w:p>
        </w:tc>
        <w:tc>
          <w:tcPr>
            <w:tcW w:type="dxa" w:w="1036"/>
            <w:vAlign w:val="top"/>
          </w:tcPr>
          <w:p>
            <w:pPr>
              <w:spacing w:after="40" w:before="0" w:line="259" w:lineRule="auto"/>
            </w:pPr>
            <w:r>
              <w:rPr>
                <w:rFonts w:ascii="Calibri" w:hAnsi="Calibri"/>
                <w:b w:val="0"/>
                <w:i w:val="0"/>
                <w:color w:val="212121"/>
                <w:sz w:val="16"/>
              </w:rPr>
              <w:t>First-line diagnostic; establishes cyst burden and kidney enlargement</w:t>
            </w:r>
          </w:p>
        </w:tc>
        <w:tc>
          <w:tcPr>
            <w:tcW w:type="dxa" w:w="1036"/>
            <w:vAlign w:val="top"/>
          </w:tcPr>
          <w:p>
            <w:pPr>
              <w:spacing w:after="40" w:before="0" w:line="259" w:lineRule="auto"/>
            </w:pPr>
            <w:r>
              <w:rPr>
                <w:rFonts w:ascii="Calibri" w:hAnsi="Calibri"/>
                <w:b w:val="0"/>
                <w:i w:val="0"/>
                <w:color w:val="212121"/>
                <w:sz w:val="16"/>
              </w:rPr>
              <w:t>At-risk relatives, symptomatic adults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Gold standard (first-line)</w:t>
            </w:r>
          </w:p>
        </w:tc>
        <w:tc>
          <w:tcPr>
            <w:tcW w:type="dxa" w:w="720"/>
            <w:vAlign w:val="top"/>
          </w:tcPr>
          <w:p>
            <w:pPr>
              <w:spacing w:after="40" w:before="0" w:line="259" w:lineRule="auto"/>
            </w:pPr>
            <w:r>
              <w:rPr>
                <w:rFonts w:ascii="Calibri" w:hAnsi="Calibri"/>
                <w:b w:val="0"/>
                <w:i w:val="0"/>
                <w:color w:val="212121"/>
                <w:sz w:val="16"/>
              </w:rPr>
              <w:t>Detects cysts ≥1–1.5 cm; operator 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Height-adjusted Total Kidney Volume (htTKV)</w:t>
            </w:r>
          </w:p>
        </w:tc>
        <w:tc>
          <w:tcPr>
            <w:tcW w:type="dxa" w:w="892"/>
            <w:vAlign w:val="top"/>
          </w:tcPr>
          <w:p>
            <w:pPr>
              <w:spacing w:after="40" w:before="0" w:line="259" w:lineRule="auto"/>
            </w:pPr>
            <w:r>
              <w:rPr>
                <w:rFonts w:ascii="Calibri" w:hAnsi="Calibri"/>
                <w:b w:val="0"/>
                <w:i w:val="0"/>
                <w:color w:val="212121"/>
                <w:sz w:val="16"/>
              </w:rPr>
              <w:t>MRI (Mayo classification)</w:t>
            </w:r>
          </w:p>
        </w:tc>
        <w:tc>
          <w:tcPr>
            <w:tcW w:type="dxa" w:w="950"/>
            <w:vAlign w:val="top"/>
          </w:tcPr>
          <w:p>
            <w:pPr>
              <w:spacing w:after="40" w:before="0" w:line="259" w:lineRule="auto"/>
            </w:pPr>
            <w:r>
              <w:rPr>
                <w:rFonts w:ascii="Calibri" w:hAnsi="Calibri"/>
                <w:b w:val="0"/>
                <w:i w:val="0"/>
                <w:color w:val="212121"/>
                <w:sz w:val="16"/>
              </w:rPr>
              <w:t>Low htTKV for age (class 1A)</w:t>
            </w:r>
          </w:p>
        </w:tc>
        <w:tc>
          <w:tcPr>
            <w:tcW w:type="dxa" w:w="950"/>
            <w:vAlign w:val="top"/>
          </w:tcPr>
          <w:p>
            <w:pPr>
              <w:spacing w:after="40" w:before="0" w:line="259" w:lineRule="auto"/>
            </w:pPr>
            <w:r>
              <w:rPr>
                <w:rFonts w:ascii="Calibri" w:hAnsi="Calibri"/>
                <w:b w:val="0"/>
                <w:i w:val="0"/>
                <w:color w:val="212121"/>
                <w:sz w:val="16"/>
              </w:rPr>
              <w:t>High htTKV for age (class 1C–1E)</w:t>
            </w:r>
          </w:p>
        </w:tc>
        <w:tc>
          <w:tcPr>
            <w:tcW w:type="dxa" w:w="1036"/>
            <w:vAlign w:val="top"/>
          </w:tcPr>
          <w:p>
            <w:pPr>
              <w:spacing w:after="40" w:before="0" w:line="259" w:lineRule="auto"/>
            </w:pPr>
            <w:r>
              <w:rPr>
                <w:rFonts w:ascii="Calibri" w:hAnsi="Calibri"/>
                <w:b w:val="0"/>
                <w:i w:val="0"/>
                <w:color w:val="212121"/>
                <w:sz w:val="16"/>
              </w:rPr>
              <w:t>Prognostic marker of progression rate; guides disease-modifying therapy</w:t>
            </w:r>
          </w:p>
        </w:tc>
        <w:tc>
          <w:tcPr>
            <w:tcW w:type="dxa" w:w="1036"/>
            <w:vAlign w:val="top"/>
          </w:tcPr>
          <w:p>
            <w:pPr>
              <w:spacing w:after="40" w:before="0" w:line="259" w:lineRule="auto"/>
            </w:pPr>
            <w:r>
              <w:rPr>
                <w:rFonts w:ascii="Calibri" w:hAnsi="Calibri"/>
                <w:b w:val="0"/>
                <w:i w:val="0"/>
                <w:color w:val="212121"/>
                <w:sz w:val="16"/>
              </w:rPr>
              <w:t>Rapid progressors, tolvaptan candidates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Prognostic / gold standard for volume</w:t>
            </w:r>
          </w:p>
        </w:tc>
        <w:tc>
          <w:tcPr>
            <w:tcW w:type="dxa" w:w="720"/>
            <w:vAlign w:val="top"/>
          </w:tcPr>
          <w:p>
            <w:pPr>
              <w:spacing w:after="40" w:before="0" w:line="259" w:lineRule="auto"/>
            </w:pPr>
            <w:r>
              <w:rPr>
                <w:rFonts w:ascii="Calibri" w:hAnsi="Calibri"/>
                <w:b w:val="0"/>
                <w:i w:val="0"/>
                <w:color w:val="212121"/>
                <w:sz w:val="16"/>
              </w:rPr>
              <w:t>Most sensitive; used in trials and treatment selection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 90 mL/min/1.73 m²</w:t>
            </w:r>
          </w:p>
        </w:tc>
        <w:tc>
          <w:tcPr>
            <w:tcW w:type="dxa" w:w="950"/>
            <w:vAlign w:val="top"/>
          </w:tcPr>
          <w:p>
            <w:pPr>
              <w:spacing w:after="40" w:before="0" w:line="259" w:lineRule="auto"/>
            </w:pPr>
            <w:r>
              <w:rPr>
                <w:rFonts w:ascii="Calibri" w:hAnsi="Calibri"/>
                <w:b w:val="0"/>
                <w:i w:val="0"/>
                <w:color w:val="212121"/>
                <w:sz w:val="16"/>
              </w:rPr>
              <w:t>Rising creatinine; falling eGFR</w:t>
            </w:r>
          </w:p>
        </w:tc>
        <w:tc>
          <w:tcPr>
            <w:tcW w:type="dxa" w:w="1036"/>
            <w:vAlign w:val="top"/>
          </w:tcPr>
          <w:p>
            <w:pPr>
              <w:spacing w:after="40" w:before="0" w:line="259" w:lineRule="auto"/>
            </w:pPr>
            <w:r>
              <w:rPr>
                <w:rFonts w:ascii="Calibri" w:hAnsi="Calibri"/>
                <w:b w:val="0"/>
                <w:i w:val="0"/>
                <w:color w:val="212121"/>
                <w:sz w:val="16"/>
              </w:rPr>
              <w:t>Tracks loss of kidney function and CKD stage</w:t>
            </w:r>
          </w:p>
        </w:tc>
        <w:tc>
          <w:tcPr>
            <w:tcW w:type="dxa" w:w="1036"/>
            <w:vAlign w:val="top"/>
          </w:tcPr>
          <w:p>
            <w:pPr>
              <w:spacing w:after="40" w:before="0" w:line="259" w:lineRule="auto"/>
            </w:pPr>
            <w:r>
              <w:rPr>
                <w:rFonts w:ascii="Calibri" w:hAnsi="Calibri"/>
                <w:b w:val="0"/>
                <w:i w:val="0"/>
                <w:color w:val="212121"/>
                <w:sz w:val="16"/>
              </w:rPr>
              <w:t>All ADPKD/ARPKD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May stay normal for years despite large cysts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Biochemical/Urine</w:t>
            </w:r>
          </w:p>
        </w:tc>
        <w:tc>
          <w:tcPr>
            <w:tcW w:type="dxa" w:w="1036"/>
            <w:vAlign w:val="top"/>
          </w:tcPr>
          <w:p>
            <w:pPr>
              <w:spacing w:after="40" w:before="0" w:line="259" w:lineRule="auto"/>
            </w:pPr>
            <w:r>
              <w:rPr>
                <w:rFonts w:ascii="Calibri" w:hAnsi="Calibri"/>
                <w:b w:val="0"/>
                <w:i w:val="0"/>
                <w:color w:val="212121"/>
                <w:sz w:val="16"/>
              </w:rPr>
              <w:t>Urinalysis — haematuria &amp; proteinuria</w:t>
            </w:r>
          </w:p>
        </w:tc>
        <w:tc>
          <w:tcPr>
            <w:tcW w:type="dxa" w:w="892"/>
            <w:vAlign w:val="top"/>
          </w:tcPr>
          <w:p>
            <w:pPr>
              <w:spacing w:after="40" w:before="0" w:line="259" w:lineRule="auto"/>
            </w:pPr>
            <w:r>
              <w:rPr>
                <w:rFonts w:ascii="Calibri" w:hAnsi="Calibri"/>
                <w:b w:val="0"/>
                <w:i w:val="0"/>
                <w:color w:val="212121"/>
                <w:sz w:val="16"/>
              </w:rPr>
              <w:t>Urine Routine &amp; Microscopy</w:t>
            </w:r>
          </w:p>
        </w:tc>
        <w:tc>
          <w:tcPr>
            <w:tcW w:type="dxa" w:w="950"/>
            <w:vAlign w:val="top"/>
          </w:tcPr>
          <w:p>
            <w:pPr>
              <w:spacing w:after="40" w:before="0" w:line="259" w:lineRule="auto"/>
            </w:pPr>
            <w:r>
              <w:rPr>
                <w:rFonts w:ascii="Calibri" w:hAnsi="Calibri"/>
                <w:b w:val="0"/>
                <w:i w:val="0"/>
                <w:color w:val="212121"/>
                <w:sz w:val="16"/>
              </w:rPr>
              <w:t>No blood/protein</w:t>
            </w:r>
          </w:p>
        </w:tc>
        <w:tc>
          <w:tcPr>
            <w:tcW w:type="dxa" w:w="950"/>
            <w:vAlign w:val="top"/>
          </w:tcPr>
          <w:p>
            <w:pPr>
              <w:spacing w:after="40" w:before="0" w:line="259" w:lineRule="auto"/>
            </w:pPr>
            <w:r>
              <w:rPr>
                <w:rFonts w:ascii="Calibri" w:hAnsi="Calibri"/>
                <w:b w:val="0"/>
                <w:i w:val="0"/>
                <w:color w:val="212121"/>
                <w:sz w:val="16"/>
              </w:rPr>
              <w:t>Micro/gross haematuria; sub-nephrotic proteinuria</w:t>
            </w:r>
          </w:p>
        </w:tc>
        <w:tc>
          <w:tcPr>
            <w:tcW w:type="dxa" w:w="1036"/>
            <w:vAlign w:val="top"/>
          </w:tcPr>
          <w:p>
            <w:pPr>
              <w:spacing w:after="40" w:before="0" w:line="259" w:lineRule="auto"/>
            </w:pPr>
            <w:r>
              <w:rPr>
                <w:rFonts w:ascii="Calibri" w:hAnsi="Calibri"/>
                <w:b w:val="0"/>
                <w:i w:val="0"/>
                <w:color w:val="212121"/>
                <w:sz w:val="16"/>
              </w:rPr>
              <w:t>Cyst haemorrhage, stones or progression; proteinuria marks faster decline</w:t>
            </w:r>
          </w:p>
        </w:tc>
        <w:tc>
          <w:tcPr>
            <w:tcW w:type="dxa" w:w="1036"/>
            <w:vAlign w:val="top"/>
          </w:tcPr>
          <w:p>
            <w:pPr>
              <w:spacing w:after="40" w:before="0" w:line="259" w:lineRule="auto"/>
            </w:pPr>
            <w:r>
              <w:rPr>
                <w:rFonts w:ascii="Calibri" w:hAnsi="Calibri"/>
                <w:b w:val="0"/>
                <w:i w:val="0"/>
                <w:color w:val="212121"/>
                <w:sz w:val="16"/>
              </w:rPr>
              <w:t>Patients with flank pain, hypertension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Proteinuria seen in ~20%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Urine culture (cyst infection)</w:t>
            </w:r>
          </w:p>
        </w:tc>
        <w:tc>
          <w:tcPr>
            <w:tcW w:type="dxa" w:w="892"/>
            <w:vAlign w:val="top"/>
          </w:tcPr>
          <w:p>
            <w:pPr>
              <w:spacing w:after="40" w:before="0" w:line="259" w:lineRule="auto"/>
            </w:pPr>
            <w:r>
              <w:rPr>
                <w:rFonts w:ascii="Calibri" w:hAnsi="Calibri"/>
                <w:b w:val="0"/>
                <w:i w:val="0"/>
                <w:color w:val="212121"/>
                <w:sz w:val="16"/>
              </w:rPr>
              <w:t>Urine Culture &amp; Sensitivity</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Significant bacteriuria; suspected cyst infection</w:t>
            </w:r>
          </w:p>
        </w:tc>
        <w:tc>
          <w:tcPr>
            <w:tcW w:type="dxa" w:w="1036"/>
            <w:vAlign w:val="top"/>
          </w:tcPr>
          <w:p>
            <w:pPr>
              <w:spacing w:after="40" w:before="0" w:line="259" w:lineRule="auto"/>
            </w:pPr>
            <w:r>
              <w:rPr>
                <w:rFonts w:ascii="Calibri" w:hAnsi="Calibri"/>
                <w:b w:val="0"/>
                <w:i w:val="0"/>
                <w:color w:val="212121"/>
                <w:sz w:val="16"/>
              </w:rPr>
              <w:t>Guides antibiotic choice; lipophilic agents needed to penetrate cysts</w:t>
            </w:r>
          </w:p>
        </w:tc>
        <w:tc>
          <w:tcPr>
            <w:tcW w:type="dxa" w:w="1036"/>
            <w:vAlign w:val="top"/>
          </w:tcPr>
          <w:p>
            <w:pPr>
              <w:spacing w:after="40" w:before="0" w:line="259" w:lineRule="auto"/>
            </w:pPr>
            <w:r>
              <w:rPr>
                <w:rFonts w:ascii="Calibri" w:hAnsi="Calibri"/>
                <w:b w:val="0"/>
                <w:i w:val="0"/>
                <w:color w:val="212121"/>
                <w:sz w:val="16"/>
              </w:rPr>
              <w:t>Recurrent UTI, febrile flank pain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Negative culture does not exclude a closed cyst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PKD1 / PKD2 / PKHD1 mutation analysis</w:t>
            </w:r>
          </w:p>
        </w:tc>
        <w:tc>
          <w:tcPr>
            <w:tcW w:type="dxa" w:w="892"/>
            <w:vAlign w:val="top"/>
          </w:tcPr>
          <w:p>
            <w:pPr>
              <w:spacing w:after="40" w:before="0" w:line="259" w:lineRule="auto"/>
            </w:pPr>
            <w:r>
              <w:rPr>
                <w:rFonts w:ascii="Calibri" w:hAnsi="Calibri"/>
                <w:b w:val="0"/>
                <w:i w:val="0"/>
                <w:color w:val="212121"/>
                <w:sz w:val="16"/>
              </w:rPr>
              <w:t>Molecular Genetic Testing</w:t>
            </w:r>
          </w:p>
        </w:tc>
        <w:tc>
          <w:tcPr>
            <w:tcW w:type="dxa" w:w="950"/>
            <w:vAlign w:val="top"/>
          </w:tcPr>
          <w:p>
            <w:pPr>
              <w:spacing w:after="40" w:before="0" w:line="259" w:lineRule="auto"/>
            </w:pPr>
            <w:r>
              <w:rPr>
                <w:rFonts w:ascii="Calibri" w:hAnsi="Calibri"/>
                <w:b w:val="0"/>
                <w:i w:val="0"/>
                <w:color w:val="212121"/>
                <w:sz w:val="16"/>
              </w:rPr>
              <w:t>No pathogenic variant</w:t>
            </w:r>
          </w:p>
        </w:tc>
        <w:tc>
          <w:tcPr>
            <w:tcW w:type="dxa" w:w="950"/>
            <w:vAlign w:val="top"/>
          </w:tcPr>
          <w:p>
            <w:pPr>
              <w:spacing w:after="40" w:before="0" w:line="259" w:lineRule="auto"/>
            </w:pPr>
            <w:r>
              <w:rPr>
                <w:rFonts w:ascii="Calibri" w:hAnsi="Calibri"/>
                <w:b w:val="0"/>
                <w:i w:val="0"/>
                <w:color w:val="212121"/>
                <w:sz w:val="16"/>
              </w:rPr>
              <w:t>Pathogenic PKD1/PKD2/PKHD1 variant</w:t>
            </w:r>
          </w:p>
        </w:tc>
        <w:tc>
          <w:tcPr>
            <w:tcW w:type="dxa" w:w="1036"/>
            <w:vAlign w:val="top"/>
          </w:tcPr>
          <w:p>
            <w:pPr>
              <w:spacing w:after="40" w:before="0" w:line="259" w:lineRule="auto"/>
            </w:pPr>
            <w:r>
              <w:rPr>
                <w:rFonts w:ascii="Calibri" w:hAnsi="Calibri"/>
                <w:b w:val="0"/>
                <w:i w:val="0"/>
                <w:color w:val="212121"/>
                <w:sz w:val="16"/>
              </w:rPr>
              <w:t>Confirms diagnosis when imaging equivocal; informs prognosis and family/donor counselling</w:t>
            </w:r>
          </w:p>
        </w:tc>
        <w:tc>
          <w:tcPr>
            <w:tcW w:type="dxa" w:w="1036"/>
            <w:vAlign w:val="top"/>
          </w:tcPr>
          <w:p>
            <w:pPr>
              <w:spacing w:after="40" w:before="0" w:line="259" w:lineRule="auto"/>
            </w:pPr>
            <w:r>
              <w:rPr>
                <w:rFonts w:ascii="Calibri" w:hAnsi="Calibri"/>
                <w:b w:val="0"/>
                <w:i w:val="0"/>
                <w:color w:val="212121"/>
                <w:sz w:val="16"/>
              </w:rPr>
              <w:t>Young donors, no family history, reproductive counselling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PKD1 duplication complicates sequencing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Intracranial vessels</w:t>
            </w:r>
          </w:p>
        </w:tc>
        <w:tc>
          <w:tcPr>
            <w:tcW w:type="dxa" w:w="892"/>
            <w:vAlign w:val="top"/>
          </w:tcPr>
          <w:p>
            <w:pPr>
              <w:spacing w:after="40" w:before="0" w:line="259" w:lineRule="auto"/>
            </w:pPr>
            <w:r>
              <w:rPr>
                <w:rFonts w:ascii="Calibri" w:hAnsi="Calibri"/>
                <w:b w:val="0"/>
                <w:i w:val="0"/>
                <w:color w:val="212121"/>
                <w:sz w:val="16"/>
              </w:rPr>
              <w:t>MR Angiography (MRA)</w:t>
            </w:r>
          </w:p>
        </w:tc>
        <w:tc>
          <w:tcPr>
            <w:tcW w:type="dxa" w:w="950"/>
            <w:vAlign w:val="top"/>
          </w:tcPr>
          <w:p>
            <w:pPr>
              <w:spacing w:after="40" w:before="0" w:line="259" w:lineRule="auto"/>
            </w:pPr>
            <w:r>
              <w:rPr>
                <w:rFonts w:ascii="Calibri" w:hAnsi="Calibri"/>
                <w:b w:val="0"/>
                <w:i w:val="0"/>
                <w:color w:val="212121"/>
                <w:sz w:val="16"/>
              </w:rPr>
              <w:t>No aneurysm</w:t>
            </w:r>
          </w:p>
        </w:tc>
        <w:tc>
          <w:tcPr>
            <w:tcW w:type="dxa" w:w="950"/>
            <w:vAlign w:val="top"/>
          </w:tcPr>
          <w:p>
            <w:pPr>
              <w:spacing w:after="40" w:before="0" w:line="259" w:lineRule="auto"/>
            </w:pPr>
            <w:r>
              <w:rPr>
                <w:rFonts w:ascii="Calibri" w:hAnsi="Calibri"/>
                <w:b w:val="0"/>
                <w:i w:val="0"/>
                <w:color w:val="212121"/>
                <w:sz w:val="16"/>
              </w:rPr>
              <w:t>Berry aneurysm detected</w:t>
            </w:r>
          </w:p>
        </w:tc>
        <w:tc>
          <w:tcPr>
            <w:tcW w:type="dxa" w:w="1036"/>
            <w:vAlign w:val="top"/>
          </w:tcPr>
          <w:p>
            <w:pPr>
              <w:spacing w:after="40" w:before="0" w:line="259" w:lineRule="auto"/>
            </w:pPr>
            <w:r>
              <w:rPr>
                <w:rFonts w:ascii="Calibri" w:hAnsi="Calibri"/>
                <w:b w:val="0"/>
                <w:i w:val="0"/>
                <w:color w:val="212121"/>
                <w:sz w:val="16"/>
              </w:rPr>
              <w:t>Screens high-risk patients (family history of aneurysm/SAH) to prevent rupture</w:t>
            </w:r>
          </w:p>
        </w:tc>
        <w:tc>
          <w:tcPr>
            <w:tcW w:type="dxa" w:w="1036"/>
            <w:vAlign w:val="top"/>
          </w:tcPr>
          <w:p>
            <w:pPr>
              <w:spacing w:after="40" w:before="0" w:line="259" w:lineRule="auto"/>
            </w:pPr>
            <w:r>
              <w:rPr>
                <w:rFonts w:ascii="Calibri" w:hAnsi="Calibri"/>
                <w:b w:val="0"/>
                <w:i w:val="0"/>
                <w:color w:val="212121"/>
                <w:sz w:val="16"/>
              </w:rPr>
              <w:t>Family history of aneurysm/stroke, pre-surgery</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Selective screening</w:t>
            </w:r>
          </w:p>
        </w:tc>
        <w:tc>
          <w:tcPr>
            <w:tcW w:type="dxa" w:w="720"/>
            <w:vAlign w:val="top"/>
          </w:tcPr>
          <w:p>
            <w:pPr>
              <w:spacing w:after="40" w:before="0" w:line="259" w:lineRule="auto"/>
            </w:pPr>
            <w:r>
              <w:rPr>
                <w:rFonts w:ascii="Calibri" w:hAnsi="Calibri"/>
                <w:b w:val="0"/>
                <w:i w:val="0"/>
                <w:color w:val="212121"/>
                <w:sz w:val="16"/>
              </w:rPr>
              <w:t>Not routine for all patients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Kidney disease, dialysis, aneurysm/stroke in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first-degree relative affected</w:t>
            </w:r>
          </w:p>
        </w:tc>
        <w:tc>
          <w:tcPr>
            <w:tcW w:type="dxa" w:w="1036"/>
            <w:vAlign w:val="top"/>
          </w:tcPr>
          <w:p>
            <w:pPr>
              <w:spacing w:after="40" w:before="0" w:line="259" w:lineRule="auto"/>
            </w:pPr>
            <w:r>
              <w:rPr>
                <w:rFonts w:ascii="Calibri" w:hAnsi="Calibri"/>
                <w:b w:val="0"/>
                <w:i w:val="0"/>
                <w:color w:val="212121"/>
                <w:sz w:val="16"/>
              </w:rPr>
              <w:t>Autosomal dominant inheritance; guides screening of relatives</w:t>
            </w:r>
          </w:p>
        </w:tc>
        <w:tc>
          <w:tcPr>
            <w:tcW w:type="dxa" w:w="1036"/>
            <w:vAlign w:val="top"/>
          </w:tcPr>
          <w:p>
            <w:pPr>
              <w:spacing w:after="40" w:before="0" w:line="259" w:lineRule="auto"/>
            </w:pPr>
            <w:r>
              <w:rPr>
                <w:rFonts w:ascii="Calibri" w:hAnsi="Calibri"/>
                <w:b w:val="0"/>
                <w:i w:val="0"/>
                <w:color w:val="212121"/>
                <w:sz w:val="16"/>
              </w:rPr>
              <w:t>First-degree relatives of ADPKD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prognostic</w:t>
            </w:r>
          </w:p>
        </w:tc>
        <w:tc>
          <w:tcPr>
            <w:tcW w:type="dxa" w:w="720"/>
            <w:vAlign w:val="top"/>
          </w:tcPr>
          <w:p>
            <w:pPr>
              <w:spacing w:after="40" w:before="0" w:line="259" w:lineRule="auto"/>
            </w:pPr>
            <w:r>
              <w:rPr>
                <w:rFonts w:ascii="Calibri" w:hAnsi="Calibri"/>
                <w:b w:val="0"/>
                <w:i w:val="0"/>
                <w:color w:val="212121"/>
                <w:sz w:val="16"/>
              </w:rPr>
              <w:t>Absent in 10–15% (de novo)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Flank/abdominal pain, haematuria, abdominal fullness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Common presenting symptoms of cyst enlargement, haemorrhage or stones</w:t>
            </w:r>
          </w:p>
        </w:tc>
        <w:tc>
          <w:tcPr>
            <w:tcW w:type="dxa" w:w="1036"/>
            <w:vAlign w:val="top"/>
          </w:tcPr>
          <w:p>
            <w:pPr>
              <w:spacing w:after="40" w:before="0" w:line="259" w:lineRule="auto"/>
            </w:pPr>
            <w:r>
              <w:rPr>
                <w:rFonts w:ascii="Calibri" w:hAnsi="Calibri"/>
                <w:b w:val="0"/>
                <w:i w:val="0"/>
                <w:color w:val="212121"/>
                <w:sz w:val="16"/>
              </w:rPr>
              <w:t>Symptomatic adults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 may be acute (haemorrhage/stone) or chronic (mass effect)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Vitals</w:t>
            </w:r>
          </w:p>
        </w:tc>
        <w:tc>
          <w:tcPr>
            <w:tcW w:type="dxa" w:w="950"/>
            <w:vAlign w:val="top"/>
          </w:tcPr>
          <w:p>
            <w:pPr>
              <w:spacing w:after="40" w:before="0" w:line="259" w:lineRule="auto"/>
            </w:pPr>
            <w:r>
              <w:rPr>
                <w:rFonts w:ascii="Calibri" w:hAnsi="Calibri"/>
                <w:b w:val="0"/>
                <w:i w:val="0"/>
                <w:color w:val="212121"/>
                <w:sz w:val="16"/>
              </w:rPr>
              <w:t>Blood pressure</w:t>
            </w:r>
          </w:p>
        </w:tc>
        <w:tc>
          <w:tcPr>
            <w:tcW w:type="dxa" w:w="979"/>
            <w:vAlign w:val="top"/>
          </w:tcPr>
          <w:p>
            <w:pPr>
              <w:spacing w:after="40" w:before="0" w:line="259" w:lineRule="auto"/>
            </w:pPr>
            <w:r>
              <w:rPr>
                <w:rFonts w:ascii="Calibri" w:hAnsi="Calibri"/>
                <w:b w:val="0"/>
                <w:i w:val="0"/>
                <w:color w:val="212121"/>
                <w:sz w:val="16"/>
              </w:rPr>
              <w:t>Systolic/diastolic BP</w:t>
            </w:r>
          </w:p>
        </w:tc>
        <w:tc>
          <w:tcPr>
            <w:tcW w:type="dxa" w:w="950"/>
            <w:vAlign w:val="top"/>
          </w:tcPr>
          <w:p>
            <w:pPr>
              <w:spacing w:after="40" w:before="0" w:line="259" w:lineRule="auto"/>
            </w:pPr>
            <w:r>
              <w:rPr>
                <w:rFonts w:ascii="Calibri" w:hAnsi="Calibri"/>
                <w:b w:val="0"/>
                <w:i w:val="0"/>
                <w:color w:val="212121"/>
                <w:sz w:val="16"/>
              </w:rPr>
              <w:t>&lt; 130/80 mmHg</w:t>
            </w:r>
          </w:p>
        </w:tc>
        <w:tc>
          <w:tcPr>
            <w:tcW w:type="dxa" w:w="950"/>
            <w:vAlign w:val="top"/>
          </w:tcPr>
          <w:p>
            <w:pPr>
              <w:spacing w:after="40" w:before="0" w:line="259" w:lineRule="auto"/>
            </w:pPr>
            <w:r>
              <w:rPr>
                <w:rFonts w:ascii="Calibri" w:hAnsi="Calibri"/>
                <w:b w:val="0"/>
                <w:i w:val="0"/>
                <w:color w:val="212121"/>
                <w:sz w:val="16"/>
              </w:rPr>
              <w:t>≥ 130/80 mmHg</w:t>
            </w:r>
          </w:p>
        </w:tc>
        <w:tc>
          <w:tcPr>
            <w:tcW w:type="dxa" w:w="1036"/>
            <w:vAlign w:val="top"/>
          </w:tcPr>
          <w:p>
            <w:pPr>
              <w:spacing w:after="40" w:before="0" w:line="259" w:lineRule="auto"/>
            </w:pPr>
            <w:r>
              <w:rPr>
                <w:rFonts w:ascii="Calibri" w:hAnsi="Calibri"/>
                <w:b w:val="0"/>
                <w:i w:val="0"/>
                <w:color w:val="212121"/>
                <w:sz w:val="16"/>
              </w:rPr>
              <w:t>Hypertension is the earliest, most universal sign and accelerates decline</w:t>
            </w:r>
          </w:p>
        </w:tc>
        <w:tc>
          <w:tcPr>
            <w:tcW w:type="dxa" w:w="1036"/>
            <w:vAlign w:val="top"/>
          </w:tcPr>
          <w:p>
            <w:pPr>
              <w:spacing w:after="40" w:before="0" w:line="259" w:lineRule="auto"/>
            </w:pPr>
            <w:r>
              <w:rPr>
                <w:rFonts w:ascii="Calibri" w:hAnsi="Calibri"/>
                <w:b w:val="0"/>
                <w:i w:val="0"/>
                <w:color w:val="212121"/>
                <w:sz w:val="16"/>
              </w:rPr>
              <w:t>All ADPKD patients, young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May be raised before eGFR falls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Abdominal examination</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Bilateral flank masses, hepatomegaly</w:t>
            </w:r>
          </w:p>
        </w:tc>
        <w:tc>
          <w:tcPr>
            <w:tcW w:type="dxa" w:w="950"/>
            <w:vAlign w:val="top"/>
          </w:tcPr>
          <w:p>
            <w:pPr>
              <w:spacing w:after="40" w:before="0" w:line="259" w:lineRule="auto"/>
            </w:pPr>
            <w:r>
              <w:rPr>
                <w:rFonts w:ascii="Calibri" w:hAnsi="Calibri"/>
                <w:b w:val="0"/>
                <w:i w:val="0"/>
                <w:color w:val="212121"/>
                <w:sz w:val="16"/>
              </w:rPr>
              <w:t>No palpable masses</w:t>
            </w:r>
          </w:p>
        </w:tc>
        <w:tc>
          <w:tcPr>
            <w:tcW w:type="dxa" w:w="950"/>
            <w:vAlign w:val="top"/>
          </w:tcPr>
          <w:p>
            <w:pPr>
              <w:spacing w:after="40" w:before="0" w:line="259" w:lineRule="auto"/>
            </w:pPr>
            <w:r>
              <w:rPr>
                <w:rFonts w:ascii="Calibri" w:hAnsi="Calibri"/>
                <w:b w:val="0"/>
                <w:i w:val="0"/>
                <w:color w:val="212121"/>
                <w:sz w:val="16"/>
              </w:rPr>
              <w:t>Palpable enlarged kidneys ± liver</w:t>
            </w:r>
          </w:p>
        </w:tc>
        <w:tc>
          <w:tcPr>
            <w:tcW w:type="dxa" w:w="1036"/>
            <w:vAlign w:val="top"/>
          </w:tcPr>
          <w:p>
            <w:pPr>
              <w:spacing w:after="40" w:before="0" w:line="259" w:lineRule="auto"/>
            </w:pPr>
            <w:r>
              <w:rPr>
                <w:rFonts w:ascii="Calibri" w:hAnsi="Calibri"/>
                <w:b w:val="0"/>
                <w:i w:val="0"/>
                <w:color w:val="212121"/>
                <w:sz w:val="16"/>
              </w:rPr>
              <w:t>Reflects massively enlarged polycystic kidneys and polycystic liver</w:t>
            </w:r>
          </w:p>
        </w:tc>
        <w:tc>
          <w:tcPr>
            <w:tcW w:type="dxa" w:w="1036"/>
            <w:vAlign w:val="top"/>
          </w:tcPr>
          <w:p>
            <w:pPr>
              <w:spacing w:after="40" w:before="0" w:line="259" w:lineRule="auto"/>
            </w:pPr>
            <w:r>
              <w:rPr>
                <w:rFonts w:ascii="Calibri" w:hAnsi="Calibri"/>
                <w:b w:val="0"/>
                <w:i w:val="0"/>
                <w:color w:val="212121"/>
                <w:sz w:val="16"/>
              </w:rPr>
              <w:t>Advanced ADPKD, large-kidney phenotype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Ballotable, nodular, non-tender unless complicated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Cardiovascular examination</w:t>
            </w:r>
          </w:p>
        </w:tc>
        <w:tc>
          <w:tcPr>
            <w:tcW w:type="dxa" w:w="950"/>
            <w:vAlign w:val="top"/>
          </w:tcPr>
          <w:p>
            <w:pPr>
              <w:spacing w:after="40" w:before="0" w:line="259" w:lineRule="auto"/>
            </w:pPr>
            <w:r>
              <w:rPr>
                <w:rFonts w:ascii="Calibri" w:hAnsi="Calibri"/>
                <w:b w:val="0"/>
                <w:i w:val="0"/>
                <w:color w:val="212121"/>
                <w:sz w:val="16"/>
              </w:rPr>
              <w:t>Auscultation</w:t>
            </w:r>
          </w:p>
        </w:tc>
        <w:tc>
          <w:tcPr>
            <w:tcW w:type="dxa" w:w="979"/>
            <w:vAlign w:val="top"/>
          </w:tcPr>
          <w:p>
            <w:pPr>
              <w:spacing w:after="40" w:before="0" w:line="259" w:lineRule="auto"/>
            </w:pPr>
            <w:r>
              <w:rPr>
                <w:rFonts w:ascii="Calibri" w:hAnsi="Calibri"/>
                <w:b w:val="0"/>
                <w:i w:val="0"/>
                <w:color w:val="212121"/>
                <w:sz w:val="16"/>
              </w:rPr>
              <w:t>Cardiac murmur</w:t>
            </w:r>
          </w:p>
        </w:tc>
        <w:tc>
          <w:tcPr>
            <w:tcW w:type="dxa" w:w="950"/>
            <w:vAlign w:val="top"/>
          </w:tcPr>
          <w:p>
            <w:pPr>
              <w:spacing w:after="40" w:before="0" w:line="259" w:lineRule="auto"/>
            </w:pPr>
            <w:r>
              <w:rPr>
                <w:rFonts w:ascii="Calibri" w:hAnsi="Calibri"/>
                <w:b w:val="0"/>
                <w:i w:val="0"/>
                <w:color w:val="212121"/>
                <w:sz w:val="16"/>
              </w:rPr>
              <w:t>No murmur</w:t>
            </w:r>
          </w:p>
        </w:tc>
        <w:tc>
          <w:tcPr>
            <w:tcW w:type="dxa" w:w="950"/>
            <w:vAlign w:val="top"/>
          </w:tcPr>
          <w:p>
            <w:pPr>
              <w:spacing w:after="40" w:before="0" w:line="259" w:lineRule="auto"/>
            </w:pPr>
            <w:r>
              <w:rPr>
                <w:rFonts w:ascii="Calibri" w:hAnsi="Calibri"/>
                <w:b w:val="0"/>
                <w:i w:val="0"/>
                <w:color w:val="212121"/>
                <w:sz w:val="16"/>
              </w:rPr>
              <w:t>Systolic click/murmur</w:t>
            </w:r>
          </w:p>
        </w:tc>
        <w:tc>
          <w:tcPr>
            <w:tcW w:type="dxa" w:w="1036"/>
            <w:vAlign w:val="top"/>
          </w:tcPr>
          <w:p>
            <w:pPr>
              <w:spacing w:after="40" w:before="0" w:line="259" w:lineRule="auto"/>
            </w:pPr>
            <w:r>
              <w:rPr>
                <w:rFonts w:ascii="Calibri" w:hAnsi="Calibri"/>
                <w:b w:val="0"/>
                <w:i w:val="0"/>
                <w:color w:val="212121"/>
                <w:sz w:val="16"/>
              </w:rPr>
              <w:t>Suggests mitral valve prolapse or regurgitation, common in ADPKD</w:t>
            </w:r>
          </w:p>
        </w:tc>
        <w:tc>
          <w:tcPr>
            <w:tcW w:type="dxa" w:w="1036"/>
            <w:vAlign w:val="top"/>
          </w:tcPr>
          <w:p>
            <w:pPr>
              <w:spacing w:after="40" w:before="0" w:line="259" w:lineRule="auto"/>
            </w:pPr>
            <w:r>
              <w:rPr>
                <w:rFonts w:ascii="Calibri" w:hAnsi="Calibri"/>
                <w:b w:val="0"/>
                <w:i w:val="0"/>
                <w:color w:val="212121"/>
                <w:sz w:val="16"/>
              </w:rPr>
              <w:t>Patients with palpitations/chest discomfort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Confirm on echocardiography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history</w:t>
            </w:r>
          </w:p>
        </w:tc>
        <w:tc>
          <w:tcPr>
            <w:tcW w:type="dxa" w:w="950"/>
            <w:vAlign w:val="top"/>
          </w:tcPr>
          <w:p>
            <w:pPr>
              <w:spacing w:after="40" w:before="0" w:line="259" w:lineRule="auto"/>
            </w:pPr>
            <w:r>
              <w:rPr>
                <w:rFonts w:ascii="Calibri" w:hAnsi="Calibri"/>
                <w:b w:val="0"/>
                <w:i w:val="0"/>
                <w:color w:val="212121"/>
                <w:sz w:val="16"/>
              </w:rPr>
              <w:t>Headache assessment</w:t>
            </w:r>
          </w:p>
        </w:tc>
        <w:tc>
          <w:tcPr>
            <w:tcW w:type="dxa" w:w="979"/>
            <w:vAlign w:val="top"/>
          </w:tcPr>
          <w:p>
            <w:pPr>
              <w:spacing w:after="40" w:before="0" w:line="259" w:lineRule="auto"/>
            </w:pPr>
            <w:r>
              <w:rPr>
                <w:rFonts w:ascii="Calibri" w:hAnsi="Calibri"/>
                <w:b w:val="0"/>
                <w:i w:val="0"/>
                <w:color w:val="212121"/>
                <w:sz w:val="16"/>
              </w:rPr>
              <w:t>New severe/thunderclap headache, focal deficit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Sudden severe headache or neuro deficit</w:t>
            </w:r>
          </w:p>
        </w:tc>
        <w:tc>
          <w:tcPr>
            <w:tcW w:type="dxa" w:w="1036"/>
            <w:vAlign w:val="top"/>
          </w:tcPr>
          <w:p>
            <w:pPr>
              <w:spacing w:after="40" w:before="0" w:line="259" w:lineRule="auto"/>
            </w:pPr>
            <w:r>
              <w:rPr>
                <w:rFonts w:ascii="Calibri" w:hAnsi="Calibri"/>
                <w:b w:val="0"/>
                <w:i w:val="0"/>
                <w:color w:val="212121"/>
                <w:sz w:val="16"/>
              </w:rPr>
              <w:t>Red flag for intracranial aneurysm leak/rupture (subarachnoid haemorrhage)</w:t>
            </w:r>
          </w:p>
        </w:tc>
        <w:tc>
          <w:tcPr>
            <w:tcW w:type="dxa" w:w="1036"/>
            <w:vAlign w:val="top"/>
          </w:tcPr>
          <w:p>
            <w:pPr>
              <w:spacing w:after="40" w:before="0" w:line="259" w:lineRule="auto"/>
            </w:pPr>
            <w:r>
              <w:rPr>
                <w:rFonts w:ascii="Calibri" w:hAnsi="Calibri"/>
                <w:b w:val="0"/>
                <w:i w:val="0"/>
                <w:color w:val="212121"/>
                <w:sz w:val="16"/>
              </w:rPr>
              <w:t>Family history of aneurysm/SAH</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Emergency screening</w:t>
            </w:r>
          </w:p>
        </w:tc>
        <w:tc>
          <w:tcPr>
            <w:tcW w:type="dxa" w:w="720"/>
            <w:vAlign w:val="top"/>
          </w:tcPr>
          <w:p>
            <w:pPr>
              <w:spacing w:after="40" w:before="0" w:line="259" w:lineRule="auto"/>
            </w:pPr>
            <w:r>
              <w:rPr>
                <w:rFonts w:ascii="Calibri" w:hAnsi="Calibri"/>
                <w:b w:val="0"/>
                <w:i w:val="0"/>
                <w:color w:val="212121"/>
                <w:sz w:val="16"/>
              </w:rPr>
              <w:t>Warrants urgent CT/MRA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Flank / abdominal /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ache from mass effect of enlarged kidneys or acute pain from cyst haemorrhage, stone or infection.</w:t>
            </w:r>
          </w:p>
        </w:tc>
      </w:tr>
      <w:tr>
        <w:trPr>
          <w:cantSplit/>
        </w:trPr>
        <w:tc>
          <w:tcPr>
            <w:tcW w:type="dxa" w:w="2304"/>
            <w:vAlign w:val="top"/>
          </w:tcPr>
          <w:p>
            <w:pPr>
              <w:spacing w:after="40" w:before="0" w:line="259" w:lineRule="auto"/>
            </w:pPr>
            <w:r>
              <w:rPr>
                <w:rFonts w:ascii="Calibri" w:hAnsi="Calibri"/>
                <w:b/>
                <w:i w:val="0"/>
                <w:color w:val="212121"/>
                <w:sz w:val="19"/>
              </w:rPr>
              <w:t>Haematuria (blood in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Gross or microscopic, from rupture of a cyst into the collecting system or from a stone.</w:t>
            </w:r>
          </w:p>
        </w:tc>
      </w:tr>
      <w:tr>
        <w:trPr>
          <w:cantSplit/>
        </w:trPr>
        <w:tc>
          <w:tcPr>
            <w:tcW w:type="dxa" w:w="2304"/>
            <w:vAlign w:val="top"/>
          </w:tcPr>
          <w:p>
            <w:pPr>
              <w:spacing w:after="40" w:before="0" w:line="259" w:lineRule="auto"/>
            </w:pPr>
            <w:r>
              <w:rPr>
                <w:rFonts w:ascii="Calibri" w:hAnsi="Calibri"/>
                <w:b/>
                <w:i w:val="0"/>
                <w:color w:val="212121"/>
                <w:sz w:val="19"/>
              </w:rPr>
              <w:t>Abdominal fullness / increased girth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enlargement of polycystic kidneys and liver stretches the abdomen.</w:t>
            </w:r>
          </w:p>
        </w:tc>
      </w:tr>
      <w:tr>
        <w:trPr>
          <w:cantSplit/>
        </w:trPr>
        <w:tc>
          <w:tcPr>
            <w:tcW w:type="dxa" w:w="2304"/>
            <w:vAlign w:val="top"/>
          </w:tcPr>
          <w:p>
            <w:pPr>
              <w:spacing w:after="40" w:before="0" w:line="259" w:lineRule="auto"/>
            </w:pPr>
            <w:r>
              <w:rPr>
                <w:rFonts w:ascii="Calibri" w:hAnsi="Calibri"/>
                <w:b/>
                <w:i w:val="0"/>
                <w:color w:val="212121"/>
                <w:sz w:val="19"/>
              </w:rPr>
              <w:t>Nocturia / polyuria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loss of urine-concentrating ability from cyst-distorted tubules.</w:t>
            </w:r>
          </w:p>
        </w:tc>
      </w:tr>
      <w:tr>
        <w:trPr>
          <w:cantSplit/>
        </w:trPr>
        <w:tc>
          <w:tcPr>
            <w:tcW w:type="dxa" w:w="2304"/>
            <w:vAlign w:val="top"/>
          </w:tcPr>
          <w:p>
            <w:pPr>
              <w:spacing w:after="40" w:before="0" w:line="259" w:lineRule="auto"/>
            </w:pPr>
            <w:r>
              <w:rPr>
                <w:rFonts w:ascii="Calibri" w:hAnsi="Calibri"/>
                <w:b/>
                <w:i w:val="0"/>
                <w:color w:val="212121"/>
                <w:sz w:val="19"/>
              </w:rPr>
              <w:t>Recurrent urinary tract infection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Dysuria, frequency and fevers; cyst infections are hard to eradicate.</w:t>
            </w:r>
          </w:p>
        </w:tc>
      </w:tr>
      <w:tr>
        <w:trPr>
          <w:cantSplit/>
        </w:trPr>
        <w:tc>
          <w:tcPr>
            <w:tcW w:type="dxa" w:w="2304"/>
            <w:vAlign w:val="top"/>
          </w:tcPr>
          <w:p>
            <w:pPr>
              <w:spacing w:after="40" w:before="0" w:line="259" w:lineRule="auto"/>
            </w:pPr>
            <w:r>
              <w:rPr>
                <w:rFonts w:ascii="Calibri" w:hAnsi="Calibri"/>
                <w:b/>
                <w:i w:val="0"/>
                <w:color w:val="212121"/>
                <w:sz w:val="19"/>
              </w:rPr>
              <w:t>Fatigue /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anaemia and accumulating uraemia as kidney function declines.</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related to hypertension; a new severe headache raises concern for aneurysm.</w:t>
            </w:r>
          </w:p>
        </w:tc>
      </w:tr>
      <w:tr>
        <w:trPr>
          <w:cantSplit/>
        </w:trPr>
        <w:tc>
          <w:tcPr>
            <w:tcW w:type="dxa" w:w="2304"/>
            <w:vAlign w:val="top"/>
          </w:tcPr>
          <w:p>
            <w:pPr>
              <w:spacing w:after="40" w:before="0" w:line="259" w:lineRule="auto"/>
            </w:pPr>
            <w:r>
              <w:rPr>
                <w:rFonts w:ascii="Calibri" w:hAnsi="Calibri"/>
                <w:b/>
                <w:i w:val="0"/>
                <w:color w:val="212121"/>
                <w:sz w:val="19"/>
              </w:rPr>
              <w:t>Renal colic</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Sharp loin-to-groin pain when a kidney stone obstructs the ureter.</w:t>
            </w:r>
          </w:p>
        </w:tc>
      </w:tr>
      <w:tr>
        <w:trPr>
          <w:cantSplit/>
        </w:trPr>
        <w:tc>
          <w:tcPr>
            <w:tcW w:type="dxa" w:w="2304"/>
            <w:vAlign w:val="top"/>
          </w:tcPr>
          <w:p>
            <w:pPr>
              <w:spacing w:after="40" w:before="0" w:line="259" w:lineRule="auto"/>
            </w:pPr>
            <w:r>
              <w:rPr>
                <w:rFonts w:ascii="Calibri" w:hAnsi="Calibri"/>
                <w:b/>
                <w:i w:val="0"/>
                <w:color w:val="212121"/>
                <w:sz w:val="19"/>
              </w:rPr>
              <w:t>Early satiety / bloating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Mass effect of enlarged organs compresses the stomach and bowel.</w:t>
            </w:r>
          </w:p>
        </w:tc>
      </w:tr>
      <w:tr>
        <w:trPr>
          <w:cantSplit/>
        </w:trPr>
        <w:tc>
          <w:tcPr>
            <w:tcW w:type="dxa" w:w="2304"/>
            <w:vAlign w:val="top"/>
          </w:tcPr>
          <w:p>
            <w:pPr>
              <w:spacing w:after="40" w:before="0" w:line="259" w:lineRule="auto"/>
            </w:pPr>
            <w:r>
              <w:rPr>
                <w:rFonts w:ascii="Calibri" w:hAnsi="Calibri"/>
                <w:b/>
                <w:i w:val="0"/>
                <w:color w:val="212121"/>
                <w:sz w:val="19"/>
              </w:rPr>
              <w:t>Palpitations / chest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mitral valve prolapse or left ventricular hypertrophy.</w:t>
            </w:r>
          </w:p>
        </w:tc>
      </w:tr>
      <w:tr>
        <w:trPr>
          <w:cantSplit/>
        </w:trPr>
        <w:tc>
          <w:tcPr>
            <w:tcW w:type="dxa" w:w="2304"/>
            <w:vAlign w:val="top"/>
          </w:tcPr>
          <w:p>
            <w:pPr>
              <w:spacing w:after="40" w:before="0" w:line="259" w:lineRule="auto"/>
            </w:pPr>
            <w:r>
              <w:rPr>
                <w:rFonts w:ascii="Calibri" w:hAnsi="Calibri"/>
                <w:b/>
                <w:i w:val="0"/>
                <w:color w:val="212121"/>
                <w:sz w:val="19"/>
              </w:rPr>
              <w:t>Sudden thunderclap headache with neck stiffness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rupture of an intracranial (berry) aneurysm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Hypertension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blood pressure is the earliest and most consistent clinical sign, often before any fall in eGFR.</w:t>
            </w:r>
          </w:p>
        </w:tc>
      </w:tr>
      <w:tr>
        <w:trPr>
          <w:cantSplit/>
        </w:trPr>
        <w:tc>
          <w:tcPr>
            <w:tcW w:type="dxa" w:w="3456"/>
            <w:vAlign w:val="top"/>
          </w:tcPr>
          <w:p>
            <w:pPr>
              <w:spacing w:after="40" w:before="0" w:line="259" w:lineRule="auto"/>
            </w:pPr>
            <w:r>
              <w:rPr>
                <w:rFonts w:ascii="Calibri" w:hAnsi="Calibri"/>
                <w:b/>
                <w:i w:val="0"/>
                <w:color w:val="212121"/>
                <w:sz w:val="19"/>
              </w:rPr>
              <w:t>Bilateral ballotable flank masses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Massively enlarged, nodular polycystic kidneys palpable on abdominal examination.</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cystic liver (polycystic liver disease), especially in older women.</w:t>
            </w:r>
          </w:p>
        </w:tc>
      </w:tr>
      <w:tr>
        <w:trPr>
          <w:cantSplit/>
        </w:trPr>
        <w:tc>
          <w:tcPr>
            <w:tcW w:type="dxa" w:w="3456"/>
            <w:vAlign w:val="top"/>
          </w:tcPr>
          <w:p>
            <w:pPr>
              <w:spacing w:after="40" w:before="0" w:line="259" w:lineRule="auto"/>
            </w:pPr>
            <w:r>
              <w:rPr>
                <w:rFonts w:ascii="Calibri" w:hAnsi="Calibri"/>
                <w:b/>
                <w:i w:val="0"/>
                <w:color w:val="212121"/>
                <w:sz w:val="19"/>
              </w:rPr>
              <w:t>Positive urine dipstick for blood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Micro- or macroscopic haematuria from cyst haemorrhage or stones.</w:t>
            </w:r>
          </w:p>
        </w:tc>
      </w:tr>
      <w:tr>
        <w:trPr>
          <w:cantSplit/>
        </w:trPr>
        <w:tc>
          <w:tcPr>
            <w:tcW w:type="dxa" w:w="3456"/>
            <w:vAlign w:val="top"/>
          </w:tcPr>
          <w:p>
            <w:pPr>
              <w:spacing w:after="40" w:before="0" w:line="259" w:lineRule="auto"/>
            </w:pPr>
            <w:r>
              <w:rPr>
                <w:rFonts w:ascii="Calibri" w:hAnsi="Calibri"/>
                <w:b/>
                <w:i w:val="0"/>
                <w:color w:val="212121"/>
                <w:sz w:val="19"/>
              </w:rPr>
              <w:t>Sub-nephrotic proteinuria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proteinuria (~20% of patients); marks a faster rate of progression.</w:t>
            </w:r>
          </w:p>
        </w:tc>
      </w:tr>
      <w:tr>
        <w:trPr>
          <w:cantSplit/>
        </w:trPr>
        <w:tc>
          <w:tcPr>
            <w:tcW w:type="dxa" w:w="3456"/>
            <w:vAlign w:val="top"/>
          </w:tcPr>
          <w:p>
            <w:pPr>
              <w:spacing w:after="40" w:before="0" w:line="259" w:lineRule="auto"/>
            </w:pPr>
            <w:r>
              <w:rPr>
                <w:rFonts w:ascii="Calibri" w:hAnsi="Calibri"/>
                <w:b/>
                <w:i w:val="0"/>
                <w:color w:val="212121"/>
                <w:sz w:val="19"/>
              </w:rPr>
              <w:t>Cardiac murmur / mid-systolic click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Mitral valve prolapse or regurgitation, detected by ultrasound in 25–30% of patients.</w:t>
            </w:r>
          </w:p>
        </w:tc>
      </w:tr>
      <w:tr>
        <w:trPr>
          <w:cantSplit/>
        </w:trPr>
        <w:tc>
          <w:tcPr>
            <w:tcW w:type="dxa" w:w="3456"/>
            <w:vAlign w:val="top"/>
          </w:tcPr>
          <w:p>
            <w:pPr>
              <w:spacing w:after="40" w:before="0" w:line="259" w:lineRule="auto"/>
            </w:pPr>
            <w:r>
              <w:rPr>
                <w:rFonts w:ascii="Calibri" w:hAnsi="Calibri"/>
                <w:b/>
                <w:i w:val="0"/>
                <w:color w:val="212121"/>
                <w:sz w:val="19"/>
              </w:rPr>
              <w:t>Abdominal wall / inguinal hernia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Raised intra-abdominal pressure from enlarged organs predisposes to hernias.</w:t>
            </w:r>
          </w:p>
        </w:tc>
      </w:tr>
      <w:tr>
        <w:trPr>
          <w:cantSplit/>
        </w:trPr>
        <w:tc>
          <w:tcPr>
            <w:tcW w:type="dxa" w:w="3456"/>
            <w:vAlign w:val="top"/>
          </w:tcPr>
          <w:p>
            <w:pPr>
              <w:spacing w:after="40" w:before="0" w:line="259" w:lineRule="auto"/>
            </w:pPr>
            <w:r>
              <w:rPr>
                <w:rFonts w:ascii="Calibri" w:hAnsi="Calibri"/>
                <w:b/>
                <w:i w:val="0"/>
                <w:color w:val="212121"/>
                <w:sz w:val="19"/>
              </w:rPr>
              <w:t>Pallor and features of uraemia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Anaemia and uraemic signs appear as disease reaches end-stage kidney failure.</w:t>
            </w:r>
          </w:p>
        </w:tc>
      </w:tr>
      <w:tr>
        <w:trPr>
          <w:cantSplit/>
        </w:trPr>
        <w:tc>
          <w:tcPr>
            <w:tcW w:type="dxa" w:w="3456"/>
            <w:vAlign w:val="top"/>
          </w:tcPr>
          <w:p>
            <w:pPr>
              <w:spacing w:after="40" w:before="0" w:line="259" w:lineRule="auto"/>
            </w:pPr>
            <w:r>
              <w:rPr>
                <w:rFonts w:ascii="Calibri" w:hAnsi="Calibri"/>
                <w:b/>
                <w:i w:val="0"/>
                <w:color w:val="212121"/>
                <w:sz w:val="19"/>
              </w:rPr>
              <w:t>Focal neurological deficit / signs of subarachnoid haemorrhage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Result of a leaking or ruptured intracranial aneurysm.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Cyst haemorrhage with gross haematuria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Cyst and urinary tract infection (including pyocyst)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Nephrolithiasis (kidney stones) and renal colic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flank and back pain from mass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Early-onset hypertension (renin–angiotensin activation)</w:t>
            </w:r>
          </w:p>
        </w:tc>
        <w:tc>
          <w:tcPr>
            <w:tcW w:type="dxa" w:w="2980"/>
            <w:vAlign w:val="top"/>
          </w:tcPr>
          <w:p>
            <w:pPr>
              <w:spacing w:after="40" w:before="0" w:line="259" w:lineRule="auto"/>
            </w:pPr>
            <w:r>
              <w:rPr>
                <w:rFonts w:ascii="Calibri" w:hAnsi="Calibri"/>
                <w:b w:val="0"/>
                <w:i w:val="0"/>
                <w:color w:val="212121"/>
                <w:sz w:val="19"/>
              </w:rPr>
              <w:t>Direct local consequences of enlarging, complicated renal cysts and cyst-driven hypertension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chronic kidney disease with anaemia and mineral-bone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Polycystic liver disease (hepatic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Intracranial (berry) aneurysm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Left ventricular hypertrophy and cardiac valve disease (mitral valve prolapse)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Colonic diverticular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Abdominal wall and inguinal hernias</w:t>
            </w:r>
          </w:p>
        </w:tc>
        <w:tc>
          <w:tcPr>
            <w:tcW w:type="dxa" w:w="2980"/>
            <w:vAlign w:val="top"/>
          </w:tcPr>
          <w:p>
            <w:pPr>
              <w:spacing w:after="40" w:before="0" w:line="259" w:lineRule="auto"/>
            </w:pPr>
            <w:r>
              <w:rPr>
                <w:rFonts w:ascii="Calibri" w:hAnsi="Calibri"/>
                <w:b w:val="0"/>
                <w:i w:val="0"/>
                <w:color w:val="212121"/>
                <w:sz w:val="19"/>
              </w:rPr>
              <w:t>Systemic and extrarenal effects of chronic hyperfiltration, hypertension and the underlying polycystin/ciliary defect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kidney disease requiring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Ruptured intracranial aneurysm / subarachnoid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death (leading cause of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massive polycystic liver (portal hypertension,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and reduced quality of life</w:t>
            </w:r>
          </w:p>
        </w:tc>
        <w:tc>
          <w:tcPr>
            <w:tcW w:type="dxa" w:w="2980"/>
            <w:vAlign w:val="top"/>
          </w:tcPr>
          <w:p>
            <w:pPr>
              <w:spacing w:after="40" w:before="0" w:line="259" w:lineRule="auto"/>
            </w:pPr>
            <w:r>
              <w:rPr>
                <w:rFonts w:ascii="Calibri" w:hAnsi="Calibri"/>
                <w:b w:val="0"/>
                <w:i w:val="0"/>
                <w:color w:val="212121"/>
                <w:sz w:val="19"/>
              </w:rPr>
              <w:t>Irreversible, life-threatening or disabling end-stage outcomes of long-standing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Renin–angiotensin activation by cyst-related ischaemia makes hypertension the earliest, most universal association; it both results from and accelerates ADPKD.</w:t>
            </w:r>
          </w:p>
          <w:p>
            <w:pPr>
              <w:spacing w:after="40" w:before="0" w:line="259" w:lineRule="auto"/>
            </w:pPr>
            <w:r>
              <w:rPr>
                <w:rFonts w:ascii="Calibri" w:hAnsi="Calibri"/>
                <w:b/>
                <w:i w:val="0"/>
                <w:color w:val="212121"/>
                <w:sz w:val="19"/>
              </w:rPr>
              <w:t>50%–75%</w:t>
            </w:r>
          </w:p>
        </w:tc>
      </w:tr>
      <w:tr>
        <w:trPr>
          <w:cantSplit/>
        </w:trPr>
        <w:tc>
          <w:tcPr>
            <w:tcW w:type="dxa" w:w="2232"/>
            <w:vAlign w:val="top"/>
          </w:tcPr>
          <w:p>
            <w:pPr>
              <w:spacing w:after="40" w:before="0" w:line="259" w:lineRule="auto"/>
            </w:pPr>
            <w:r>
              <w:rPr>
                <w:rFonts w:ascii="Calibri" w:hAnsi="Calibri"/>
                <w:b/>
                <w:i w:val="0"/>
                <w:color w:val="212121"/>
                <w:sz w:val="19"/>
              </w:rPr>
              <w:t>Chronic kidney disease / End-stage renal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Progressive cyst expansion destroys functioning nephrons, making ADPKD a leading hereditary cause of dialysis and transplantation.</w:t>
            </w:r>
          </w:p>
        </w:tc>
      </w:tr>
      <w:tr>
        <w:trPr>
          <w:cantSplit/>
        </w:trPr>
        <w:tc>
          <w:tcPr>
            <w:tcW w:type="dxa" w:w="2232"/>
            <w:vAlign w:val="top"/>
          </w:tcPr>
          <w:p>
            <w:pPr>
              <w:spacing w:after="40" w:before="0" w:line="259" w:lineRule="auto"/>
            </w:pPr>
            <w:r>
              <w:rPr>
                <w:rFonts w:ascii="Calibri" w:hAnsi="Calibri"/>
                <w:b/>
                <w:i w:val="0"/>
                <w:color w:val="212121"/>
                <w:sz w:val="19"/>
              </w:rPr>
              <w:t>Polycystic liver disease (hepatic cysts)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same polycystin/ciliary defect produces liver cysts, whose burden rises with age and is worsened by oestrogen.</w:t>
            </w:r>
          </w:p>
          <w:p>
            <w:pPr>
              <w:spacing w:after="40" w:before="0" w:line="259" w:lineRule="auto"/>
            </w:pPr>
            <w:r>
              <w:rPr>
                <w:rFonts w:ascii="Calibri" w:hAnsi="Calibri"/>
                <w:b/>
                <w:i w:val="0"/>
                <w:color w:val="212121"/>
                <w:sz w:val="19"/>
              </w:rPr>
              <w:t>50%–70% (age &gt;60)</w:t>
            </w:r>
          </w:p>
        </w:tc>
      </w:tr>
      <w:tr>
        <w:trPr>
          <w:cantSplit/>
        </w:trPr>
        <w:tc>
          <w:tcPr>
            <w:tcW w:type="dxa" w:w="2232"/>
            <w:vAlign w:val="top"/>
          </w:tcPr>
          <w:p>
            <w:pPr>
              <w:spacing w:after="40" w:before="0" w:line="259" w:lineRule="auto"/>
            </w:pPr>
            <w:r>
              <w:rPr>
                <w:rFonts w:ascii="Calibri" w:hAnsi="Calibri"/>
                <w:b/>
                <w:i w:val="0"/>
                <w:color w:val="212121"/>
                <w:sz w:val="19"/>
              </w:rPr>
              <w:t>Nephrolithiasis (kidney stones)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Urinary stasis, low citrate and low urine pH promote stones, which cause pain, obstruction and infection.</w:t>
            </w:r>
          </w:p>
          <w:p>
            <w:pPr>
              <w:spacing w:after="40" w:before="0" w:line="259" w:lineRule="auto"/>
            </w:pPr>
            <w:r>
              <w:rPr>
                <w:rFonts w:ascii="Calibri" w:hAnsi="Calibri"/>
                <w:b/>
                <w:i w:val="0"/>
                <w:color w:val="212121"/>
                <w:sz w:val="19"/>
              </w:rPr>
              <w:t>20%–25%</w:t>
            </w:r>
          </w:p>
        </w:tc>
      </w:tr>
      <w:tr>
        <w:trPr>
          <w:cantSplit/>
        </w:trPr>
        <w:tc>
          <w:tcPr>
            <w:tcW w:type="dxa" w:w="2232"/>
            <w:vAlign w:val="top"/>
          </w:tcPr>
          <w:p>
            <w:pPr>
              <w:spacing w:after="40" w:before="0" w:line="259" w:lineRule="auto"/>
            </w:pPr>
            <w:r>
              <w:rPr>
                <w:rFonts w:ascii="Calibri" w:hAnsi="Calibri"/>
                <w:b/>
                <w:i w:val="0"/>
                <w:color w:val="212121"/>
                <w:sz w:val="19"/>
              </w:rPr>
              <w:t>Intracranial (berry) aneurysm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Polycystin-related arterial-wall weakness raises aneurysm risk several-fold, warranting selective MRA screening.</w:t>
            </w:r>
          </w:p>
          <w:p>
            <w:pPr>
              <w:spacing w:after="40" w:before="0" w:line="259" w:lineRule="auto"/>
            </w:pPr>
            <w:r>
              <w:rPr>
                <w:rFonts w:ascii="Calibri" w:hAnsi="Calibri"/>
                <w:b/>
                <w:i w:val="0"/>
                <w:color w:val="212121"/>
                <w:sz w:val="19"/>
              </w:rPr>
              <w:t>~4%–12%</w:t>
            </w:r>
          </w:p>
        </w:tc>
      </w:tr>
      <w:tr>
        <w:trPr>
          <w:cantSplit/>
        </w:trPr>
        <w:tc>
          <w:tcPr>
            <w:tcW w:type="dxa" w:w="2232"/>
            <w:vAlign w:val="top"/>
          </w:tcPr>
          <w:p>
            <w:pPr>
              <w:spacing w:after="40" w:before="0" w:line="259" w:lineRule="auto"/>
            </w:pPr>
            <w:r>
              <w:rPr>
                <w:rFonts w:ascii="Calibri" w:hAnsi="Calibri"/>
                <w:b/>
                <w:i w:val="0"/>
                <w:color w:val="212121"/>
                <w:sz w:val="19"/>
              </w:rPr>
              <w:t>Cardiac valve disease / Mitral valve prolapse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Connective-tissue involvement predisposes to mitral valve prolapse and regurgitation on echocardiography.</w:t>
            </w:r>
          </w:p>
          <w:p>
            <w:pPr>
              <w:spacing w:after="40" w:before="0" w:line="259" w:lineRule="auto"/>
            </w:pPr>
            <w:r>
              <w:rPr>
                <w:rFonts w:ascii="Calibri" w:hAnsi="Calibri"/>
                <w:b/>
                <w:i w:val="0"/>
                <w:color w:val="212121"/>
                <w:sz w:val="19"/>
              </w:rPr>
              <w:t>25%–30%</w:t>
            </w:r>
          </w:p>
        </w:tc>
      </w:tr>
      <w:tr>
        <w:trPr>
          <w:cantSplit/>
        </w:trPr>
        <w:tc>
          <w:tcPr>
            <w:tcW w:type="dxa" w:w="2232"/>
            <w:vAlign w:val="top"/>
          </w:tcPr>
          <w:p>
            <w:pPr>
              <w:spacing w:after="40" w:before="0" w:line="259" w:lineRule="auto"/>
            </w:pPr>
            <w:r>
              <w:rPr>
                <w:rFonts w:ascii="Calibri" w:hAnsi="Calibri"/>
                <w:b/>
                <w:i w:val="0"/>
                <w:color w:val="212121"/>
                <w:sz w:val="19"/>
              </w:rPr>
              <w:t>Left ventricular hypertrophy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Driven by long-standing hypertension; a major contributor to cardiovascular mortality in ADPKD.</w:t>
            </w:r>
          </w:p>
        </w:tc>
      </w:tr>
      <w:tr>
        <w:trPr>
          <w:cantSplit/>
        </w:trPr>
        <w:tc>
          <w:tcPr>
            <w:tcW w:type="dxa" w:w="2232"/>
            <w:vAlign w:val="top"/>
          </w:tcPr>
          <w:p>
            <w:pPr>
              <w:spacing w:after="40" w:before="0" w:line="259" w:lineRule="auto"/>
            </w:pPr>
            <w:r>
              <w:rPr>
                <w:rFonts w:ascii="Calibri" w:hAnsi="Calibri"/>
                <w:b/>
                <w:i w:val="0"/>
                <w:color w:val="212121"/>
                <w:sz w:val="19"/>
              </w:rPr>
              <w:t>Recurrent urinary tract / cyst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Cyst-distorted anatomy fosters infections that need lipophilic antibiotics able to penetrate cysts.</w:t>
            </w:r>
          </w:p>
        </w:tc>
      </w:tr>
      <w:tr>
        <w:trPr>
          <w:cantSplit/>
        </w:trPr>
        <w:tc>
          <w:tcPr>
            <w:tcW w:type="dxa" w:w="2232"/>
            <w:vAlign w:val="top"/>
          </w:tcPr>
          <w:p>
            <w:pPr>
              <w:spacing w:after="40" w:before="0" w:line="259" w:lineRule="auto"/>
            </w:pPr>
            <w:r>
              <w:rPr>
                <w:rFonts w:ascii="Calibri" w:hAnsi="Calibri"/>
                <w:b/>
                <w:i w:val="0"/>
                <w:color w:val="212121"/>
                <w:sz w:val="19"/>
              </w:rPr>
              <w:t>Colonic diverticulosis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Occurs at higher frequency in ADPKD, reflecting shared connective-tissue susceptibility.</w:t>
            </w:r>
          </w:p>
        </w:tc>
      </w:tr>
      <w:tr>
        <w:trPr>
          <w:cantSplit/>
        </w:trPr>
        <w:tc>
          <w:tcPr>
            <w:tcW w:type="dxa" w:w="2232"/>
            <w:vAlign w:val="top"/>
          </w:tcPr>
          <w:p>
            <w:pPr>
              <w:spacing w:after="40" w:before="0" w:line="259" w:lineRule="auto"/>
            </w:pPr>
            <w:r>
              <w:rPr>
                <w:rFonts w:ascii="Calibri" w:hAnsi="Calibri"/>
                <w:b/>
                <w:i w:val="0"/>
                <w:color w:val="212121"/>
                <w:sz w:val="19"/>
              </w:rPr>
              <w:t>Abdominal wall / inguinal hernia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Raised intra-abdominal pressure from enlarged kidneys and liver predisposes to herniation.</w:t>
            </w:r>
          </w:p>
        </w:tc>
      </w:tr>
      <w:tr>
        <w:trPr>
          <w:cantSplit/>
        </w:trPr>
        <w:tc>
          <w:tcPr>
            <w:tcW w:type="dxa" w:w="2232"/>
            <w:vAlign w:val="top"/>
          </w:tcPr>
          <w:p>
            <w:pPr>
              <w:spacing w:after="40" w:before="0" w:line="259" w:lineRule="auto"/>
            </w:pPr>
            <w:r>
              <w:rPr>
                <w:rFonts w:ascii="Calibri" w:hAnsi="Calibri"/>
                <w:b/>
                <w:i w:val="0"/>
                <w:color w:val="212121"/>
                <w:sz w:val="19"/>
              </w:rPr>
              <w:t>Anaemia of 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Falling erythropoietin as kidney function declines produces anaemia and fatigue.</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hereditary burden and dialysis dependence are linked bidirectionally to mood disorders that affect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PKD is inherited (usually autosomal dominant): each child of an affected parent has a 50% chance of inheriting it, so offer screening and genetic counselling to 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warning signs — new severe flank pain, visible blood in urine, fever with loin pain, or a sudden severe 'thunderclap' headache — and seek prompt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to monitor blood pressure, kidney function (eGFR) and, where indicated, kidney volume.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nephrotoxic drugs, especially non-steroidal anti-inflammatories (NSAIDs), and check any new medicine or herbal remedy with a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reproductive options (including pre-implantation genetic testing) and, in high-risk families, aneurysm screening with the nephrology team.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 of ADPKD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aneurysm history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aerobic activity (brisk walking, cycling, swimming) most days to control blood pressure and body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healthy BMI (18.5–24.9 kg/m²), as obesity independently speeds cyst growth and kidney-function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light resistance and flexibility work, but avoid heavy contact or high-impact sports that risk blunt abdominal trauma and cyst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during exercise and avoid exercising in extreme heat to prevent dehydration.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ADPKD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Early-stage ADPKD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salt to under 6 g/day (&lt;2.3 g sodium) — limit pickles, papad, namkeen, processed and restaurant foods — to control blood pressure and slow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enough water to keep urine pale (roughly 2.5–3 L/day if kidney function is preserved) to suppress vasopressin and possibly slow cyst growth; individualise if advanced CKD or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moderate-protein diet (about 0.8 g/kg/day) with more plant proteins; avoid very high protein loads.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fruits, vegetables, whole grains and millets; limit sugary drinks and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caffeine modest (≤200 mg/day, about two cups of coffee).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ADPKD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CKD stages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advanced CKD, follow a nephrologist/renal-dietitian plan for potassium, phosphate and fluid, adjusting water intake to safe limits.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manage hyponatraemia if a high-water-intake regimen is prescribed.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eligibility for disease-modifying therapy (e.g. the vasopressin V2-receptor antagonist tolvaptan) in rapidly progressing ADPKD.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low urine citrate and maintain hydration to reduce recurrent kidney-stone formation.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stage 3–5 ADPKD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 progressors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Stone formers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Tolvaptan candidates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blood-pressure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(snoring, daytime sleepiness), which worsens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and manage nocturia by adjusting evening fluid timing (without under-hydrating overall).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ADPKD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to slow kidney-function decline and reduce vascular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worsens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smoking raises the risk of growth and rupture of intracranial aneurysms — a particular danger in ADPKD.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ADPKD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aneurysm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minimal — no more than 1–2 standard drinks per day and preferably less — to help control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further if polycystic liver disease is present, to reduce hepatic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causes blood-pressure surges and dehydration.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ADPKD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hepatic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and depression, which are common with chronic pain, progressive kidney failure and the hereditary nature of PKD.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peer/family support, especially around genetic-risk discussions and dialysis/transplant decisions.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chronic-pain management for persistent flank/back pain rather than repeated NSAIDs.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relaxation techniques and, where needed, refer for psychological or psychiatric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Dialysis/transplant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facing genetic risk</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0337231/" TargetMode="External"/><Relationship Id="rId10" Type="http://schemas.openxmlformats.org/officeDocument/2006/relationships/hyperlink" Target="https://www.ncbi.nlm.nih.gov/books/NBK532934/" TargetMode="External"/><Relationship Id="rId11" Type="http://schemas.openxmlformats.org/officeDocument/2006/relationships/hyperlink" Target="https://pmc.ncbi.nlm.nih.gov/articles/PMC3350459/" TargetMode="External"/><Relationship Id="rId12" Type="http://schemas.openxmlformats.org/officeDocument/2006/relationships/hyperlink" Target="https://www.ncbi.nlm.nih.gov/books/NBK537137/" TargetMode="External"/><Relationship Id="rId13" Type="http://schemas.openxmlformats.org/officeDocument/2006/relationships/hyperlink" Target="https://www.mdpi.com/2072-6643/11/7/1576" TargetMode="External"/><Relationship Id="rId14" Type="http://schemas.openxmlformats.org/officeDocument/2006/relationships/hyperlink" Target="https://academic.oup.com/qjmed/article/113/4/258/5610088" TargetMode="External"/><Relationship Id="rId15" Type="http://schemas.openxmlformats.org/officeDocument/2006/relationships/hyperlink" Target="https://www.ccjm.org/content/84/6/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