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Urge Incontinence</w:t>
      </w:r>
    </w:p>
    <w:p>
      <w:pPr>
        <w:spacing w:before="0" w:after="160"/>
      </w:pPr>
      <w:r>
        <w:rPr>
          <w:rFonts w:ascii="Calibri" w:hAnsi="Calibri"/>
          <w:b/>
          <w:i w:val="0"/>
          <w:color w:val="212121"/>
          <w:sz w:val="22"/>
        </w:rPr>
        <w:t xml:space="preserve">AKA </w:t>
      </w:r>
      <w:r>
        <w:rPr>
          <w:rFonts w:ascii="Calibri" w:hAnsi="Calibri"/>
          <w:b w:val="0"/>
          <w:i w:val="0"/>
          <w:color w:val="212121"/>
          <w:sz w:val="22"/>
        </w:rPr>
        <w:t>i.e., Urgency Urinary Incontinence (UUI), Urge Urinary Incontinence, “OAB wet”, Detrusor Overactivity Incontinence, Urgency Leakage, Irritable/Spastic Bladder Incontinence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Urge urinary incontinence (UUI), also called urgency urinary incontinence, is the involuntary leakage of urine that is accompanied by or immediately preceded by a sudden, compelling desire to void (urgency) that cannot be deferred. It is the incontinent (“wet”) clinical expression of an overactive bladder and results from involuntary contractions of the detrusor muscle during the bladder-filling (storage) phase — detrusor overactivity. UUI is distinguished from stress urinary incontinence (leakage on effort, coughing, sneezing or exertion, without urgency) and from mixed urinary incontinence (features of both); when the leakage is driven by an identifiable neurological lesion it is termed neurogenic detrusor-overactivity incontinence.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Urge incontinence is one of the commonest and most bothersome lower-urinary-tract problems of older Indian adults, yet it is heavily under-reported. Indian community and hospital studies of overactive bladder report an overall OAB prevalence of about 15% (≈6.9% in men and 8.6% in women), and in a cross-sectional cohort urgency incontinence affected roughly 19% of adults — 18.2% of women versus 9.1% of men — accounting for just over half (≈51%) of all OAB cases (the “wet” phenotype). Prevalence climbs steeply with age: the NOBLE study found urge incontinence rose from about 2% to 19% in women after the age of 44, and from 0.3% to 9% in men (increasing sharply after 64). Women carry a much higher burden of any urinary incontinence than men (13.1% vs 5.4% in the EPIC study). In India, stigma and the belief that leakage is a normal part of ageing mean only a small minority ever seek care.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Urge incontinence is a clinical, symptom-based diagnosis of exclusion — there is no single confirmatory test. It is established from the characteristic pattern of leakage once infection and other obvious pathology have been ruled out: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Involuntary urine leakage accompanied by, or immediately preceded by, urgency — a sudden, compelling, hard-to-defer desire to void (the defining feature);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Leakage that is typically of moderate-to-large volume (“on the way to the toilet”), in contrast to the small spurts of stress incontinence provoked by cough or effort;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Usually accompanied by urinary urgency, increased daytime frequency (≥ 8 voids/24 h) and nocturia — the overactive-bladder symptom complex;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negative cough stress test (no immediate leak on coughing) supports pure urge rather than stress or mixed incontinence;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urinary tract infection (confirmed by urinalysis ± culture) and no other obvious cause (stones, malignancy, bladder outlet obstruction, overflow retention);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tools: a 3-day bladder (frequency-volume) diary recording urgency-associated leak episodes, post-void residual to exclude incomplete emptying, and validated questionnaires (ICIQ-UI SF, OAB-q, 3IQ, OABSS);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Urodynamic filling cystometry — which may demonstrate detrusor overactivity with leakage — is reserved for diagnostic uncertainty, suspected neurogenic cause, elevated residual, or treatment-refractory cases.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Within the broader classification of urinary incontinence (stress, urge, mixed, overflow and functional), urge incontinence is itself sub-classified by underlying cause:</w:t>
      </w:r>
    </w:p>
    <w:p>
      <w:pPr>
        <w:spacing w:before="0" w:after="80"/>
      </w:pPr>
      <w:r>
        <w:rPr>
          <w:rFonts w:ascii="Calibri" w:hAnsi="Calibri"/>
          <w:b w:val="0"/>
          <w:i w:val="0"/>
          <w:color w:val="212121"/>
          <w:sz w:val="21"/>
        </w:rPr>
        <w:t>(1) Idiopathic urge incontinence — detrusor overactivity with no identifiable neurological or structural cause; by far the commonest form, attributed to myogenic and neurogenic (afferent-sensitisation) mechanisms in the bladder wall;</w:t>
      </w:r>
    </w:p>
    <w:p>
      <w:pPr>
        <w:spacing w:before="0" w:after="80"/>
      </w:pPr>
      <w:r>
        <w:rPr>
          <w:rFonts w:ascii="Calibri" w:hAnsi="Calibri"/>
          <w:b w:val="0"/>
          <w:i w:val="0"/>
          <w:color w:val="212121"/>
          <w:sz w:val="21"/>
        </w:rPr>
        <w:t>(2) Neurogenic urge incontinence — neurogenic detrusor overactivity secondary to conditions that disrupt central inhibitory control of the voiding reflex, such as stroke, Parkinson's disease, multiple sclerosis, spinal cord injury and diabetic cystopathy;</w:t>
      </w:r>
    </w:p>
    <w:p>
      <w:pPr>
        <w:spacing w:before="0" w:after="80"/>
      </w:pPr>
      <w:r>
        <w:rPr>
          <w:rFonts w:ascii="Calibri" w:hAnsi="Calibri"/>
          <w:b w:val="0"/>
          <w:i w:val="0"/>
          <w:color w:val="212121"/>
          <w:sz w:val="21"/>
        </w:rPr>
        <w:t>(3) Urge component of mixed urinary incontinence — urgency leakage coexisting with a stress (effort-related) component, a very common pattern in parous and post-menopausal women that dictates a combined treatment approach;</w:t>
      </w:r>
    </w:p>
    <w:p>
      <w:pPr>
        <w:spacing w:before="0" w:after="80"/>
      </w:pPr>
      <w:r>
        <w:rPr>
          <w:rFonts w:ascii="Calibri" w:hAnsi="Calibri"/>
          <w:b w:val="0"/>
          <w:i w:val="0"/>
          <w:color w:val="212121"/>
          <w:sz w:val="21"/>
        </w:rPr>
        <w:t>(4) Secondary / obstructive urge incontinence — storage symptoms and urgency leakage driven by bladder outlet obstruction, most often benign prostatic hyperplasia in men, where chronic obstruction produces secondary detrusor overactivity that may persist after the obstruction is relieved.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Detrusor overactivity: Involuntary contractions of the detrusor smooth muscle during bladder filling are the core mechanism, arising from enhanced afferent (sensory) signalling and altered myogenic activity that overwhelm the bladder's storage reflex and force leakage.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Ageing and hormonal change: Age-related loss of detrusor stability and bladder compliance, compounded in women by post-menopausal oestrogen deficiency which thins the urethral and trigonal epithelium and lowers the sensory threshold for urgency and leakage.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Neurological disease: Stroke, Parkinson's disease, multiple sclerosis and spinal cord injury remove supra-pontine and spinal inhibitory control of micturition, producing neurogenic detrusor overactivity with urgency incontinence.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Bladder outlet obstruction: In men, benign prostatic hyperplasia causes chronic obstruction that leads to secondary detrusor hypertrophy and overactivity, with urgency leakage often dominating the picture.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Metabolic factors: Obesity raises chronic intra-abdominal and intravesical pressure, while diabetes causes cystopathy (autonomic neuropathy, microvascular ischaemia and osmotic polyuria) — both strongly linked to urgency incontinence.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Bladder irritants and infection: Caffeine, alcohol, carbonated and artificially sweetened drinks, and recurrent urinary tract infections sensitise bladder afferents and provoke involuntary detrusor contractions.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Pelvic floor dysfunction and parity: High parity and vaginal childbirth weaken pelvic support and disturb the storage reflex, contributing to urge and mixed incontinence, especially in older women.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Cumulative lifestyle exposure, rising BMI and early detrusor instability make urgency leakage increasingly common through mid-adult life, disrupting work and social routines well before old age.</w:t>
            </w:r>
          </w:p>
          <w:p>
            <w:pPr>
              <w:spacing w:after="40" w:before="60" w:line="259" w:lineRule="auto"/>
            </w:pPr>
            <w:r>
              <w:rPr>
                <w:rFonts w:ascii="Calibri" w:hAnsi="Calibri"/>
                <w:b w:val="0"/>
                <w:i w:val="0"/>
                <w:color w:val="212121"/>
                <w:sz w:val="19"/>
              </w:rPr>
              <w:t>In a cross-sectional community cohort, urgency urinary incontinence affected about 19% of adults and accounted for ~51% of all overactive-bladder cases (the “wet” form).</w:t>
            </w:r>
          </w:p>
          <w:p>
            <w:pPr>
              <w:spacing w:after="40" w:line="252" w:lineRule="auto"/>
            </w:pPr>
            <w:hyperlink r:id="rId9">
              <w:r>
                <w:rPr>
                  <w:rFonts w:ascii="Calibri" w:hAnsi="Calibri" w:cs="Calibri"/>
                  <w:sz w:val="18"/>
                  <w:color w:val="1155CC"/>
                  <w:u w:val="single"/>
                </w:rPr>
                <w:t xml:space="preserve">pmc PMC10776079 — prevalence of OAB and QoL (cross-sectional)</w:t>
              </w:r>
            </w:hyperlink>
          </w:p>
          <w:p>
            <w:pPr>
              <w:spacing w:before="60" w:after="40"/>
            </w:pPr>
            <w:r>
              <w:rPr>
                <w:rFonts w:ascii="Calibri" w:hAnsi="Calibri"/>
                <w:b w:val="0"/>
                <w:i w:val="0"/>
                <w:color w:val="5A5A5A"/>
                <w:sz w:val="18"/>
              </w:rPr>
              <w:t>#urgeincontinence  #detrusoroveractivity  #OABwet  #leakage  #underreported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Urge incontinence is the predominant type of leakage in old age as detrusor overactivity, reduced bladder capacity, nocturnal polyuria and impaired mobility combine. It strongly predicts falls, fractures and loss of independence.</w:t>
            </w:r>
          </w:p>
          <w:p>
            <w:pPr>
              <w:spacing w:after="40" w:before="60" w:line="259" w:lineRule="auto"/>
            </w:pPr>
            <w:r>
              <w:rPr>
                <w:rFonts w:ascii="Calibri" w:hAnsi="Calibri"/>
                <w:b w:val="0"/>
                <w:i w:val="0"/>
                <w:color w:val="212121"/>
                <w:sz w:val="19"/>
              </w:rPr>
              <w:t>The NOBLE study found urge incontinence rose from ~2% to 19% in women after age 44 and from 0.3% to 9% in men, with a marked increase after 64.</w:t>
            </w:r>
          </w:p>
          <w:p>
            <w:pPr>
              <w:spacing w:after="40" w:line="252" w:lineRule="auto"/>
            </w:pPr>
            <w:hyperlink r:id="rId10">
              <w:r>
                <w:rPr>
                  <w:rFonts w:ascii="Calibri" w:hAnsi="Calibri" w:cs="Calibri"/>
                  <w:sz w:val="18"/>
                  <w:color w:val="1155CC"/>
                  <w:u w:val="single"/>
                </w:rPr>
                <w:t xml:space="preserve">dovepress — epidemiology of OAB (NOBLE)</w:t>
              </w:r>
            </w:hyperlink>
          </w:p>
          <w:p>
            <w:pPr>
              <w:spacing w:before="60" w:after="40"/>
            </w:pPr>
            <w:r>
              <w:rPr>
                <w:rFonts w:ascii="Calibri" w:hAnsi="Calibri"/>
                <w:b w:val="0"/>
                <w:i w:val="0"/>
                <w:color w:val="5A5A5A"/>
                <w:sz w:val="18"/>
              </w:rPr>
              <w:t>#ageing  #falls  #nocturia  #frailty  #independence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carry a far higher burden of urgency leakage, driven by childbirth-related pelvic floor weakening, a shorter urethra and post-menopausal oestrogen loss that lowers the urgency threshold.</w:t>
            </w:r>
          </w:p>
          <w:p>
            <w:pPr>
              <w:spacing w:after="40" w:before="60" w:line="259" w:lineRule="auto"/>
            </w:pPr>
            <w:r>
              <w:rPr>
                <w:rFonts w:ascii="Calibri" w:hAnsi="Calibri"/>
                <w:b w:val="0"/>
                <w:i w:val="0"/>
                <w:color w:val="212121"/>
                <w:sz w:val="19"/>
              </w:rPr>
              <w:t>Urge incontinence affected 18.2% of women vs 9.1% of men in one cohort; women had a much higher rate of any incontinence than men (13.1% vs 5.4%) in the EPIC study.</w:t>
            </w:r>
          </w:p>
          <w:p>
            <w:pPr>
              <w:spacing w:after="40" w:line="252" w:lineRule="auto"/>
            </w:pPr>
            <w:hyperlink r:id="rId9">
              <w:r>
                <w:rPr>
                  <w:rFonts w:ascii="Calibri" w:hAnsi="Calibri" w:cs="Calibri"/>
                  <w:sz w:val="18"/>
                  <w:color w:val="1155CC"/>
                  <w:u w:val="single"/>
                </w:rPr>
                <w:t xml:space="preserve">pmc PMC10776079 — urge UI by sex</w:t>
              </w:r>
            </w:hyperlink>
          </w:p>
          <w:p>
            <w:pPr>
              <w:spacing w:before="60" w:after="40"/>
            </w:pPr>
            <w:r>
              <w:rPr>
                <w:rFonts w:ascii="Calibri" w:hAnsi="Calibri"/>
                <w:b w:val="0"/>
                <w:i w:val="0"/>
                <w:color w:val="5A5A5A"/>
                <w:sz w:val="18"/>
              </w:rPr>
              <w:t>#women  #pelvicfloor  #menopause  #urgeincontinence  #childbirth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(neurogenic / BPH-related)</w:t>
            </w:r>
          </w:p>
        </w:tc>
        <w:tc>
          <w:tcPr>
            <w:tcW w:type="dxa" w:w="4276"/>
            <w:vAlign w:val="top"/>
          </w:tcPr>
          <w:p>
            <w:pPr>
              <w:spacing w:after="60" w:line="259" w:lineRule="auto"/>
            </w:pPr>
            <w:r>
              <w:rPr>
                <w:rFonts w:ascii="Calibri" w:hAnsi="Calibri"/>
                <w:b w:val="0"/>
                <w:i w:val="0"/>
                <w:color w:val="212121"/>
                <w:sz w:val="19"/>
              </w:rPr>
              <w:t>Although less often incontinent than women, when men do leak it is more likely to be urge or mixed than stress incontinence, frequently secondary to benign prostatic hyperplasia with outlet obstruction or to neurological disease.</w:t>
            </w:r>
          </w:p>
          <w:p>
            <w:pPr>
              <w:spacing w:after="40" w:before="60" w:line="259" w:lineRule="auto"/>
            </w:pPr>
            <w:r>
              <w:rPr>
                <w:rFonts w:ascii="Calibri" w:hAnsi="Calibri"/>
                <w:b w:val="0"/>
                <w:i w:val="0"/>
                <w:color w:val="212121"/>
                <w:sz w:val="19"/>
              </w:rPr>
              <w:t>In the EPIC study, urge and mixed incontinence were relatively more common in men, whereas stress incontinence predominated in women.</w:t>
            </w:r>
          </w:p>
          <w:p>
            <w:pPr>
              <w:spacing w:after="40" w:line="252" w:lineRule="auto"/>
            </w:pPr>
            <w:hyperlink r:id="rId10">
              <w:r>
                <w:rPr>
                  <w:rFonts w:ascii="Calibri" w:hAnsi="Calibri" w:cs="Calibri"/>
                  <w:sz w:val="18"/>
                  <w:color w:val="1155CC"/>
                  <w:u w:val="single"/>
                </w:rPr>
                <w:t xml:space="preserve">dovepress — EPIC incontinence types by sex</w:t>
              </w:r>
            </w:hyperlink>
          </w:p>
          <w:p>
            <w:pPr>
              <w:spacing w:before="60" w:after="40"/>
            </w:pPr>
            <w:r>
              <w:rPr>
                <w:rFonts w:ascii="Calibri" w:hAnsi="Calibri"/>
                <w:b w:val="0"/>
                <w:i w:val="0"/>
                <w:color w:val="5A5A5A"/>
                <w:sz w:val="18"/>
              </w:rPr>
              <w:t>#men  #BPH  #outletobstruction  #neurogenic  #storagesymptoms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Lower-socioeconomic women</w:t>
            </w:r>
          </w:p>
        </w:tc>
        <w:tc>
          <w:tcPr>
            <w:tcW w:type="dxa" w:w="4276"/>
            <w:vAlign w:val="top"/>
          </w:tcPr>
          <w:p>
            <w:pPr>
              <w:spacing w:after="60" w:line="259" w:lineRule="auto"/>
            </w:pPr>
            <w:r>
              <w:rPr>
                <w:rFonts w:ascii="Calibri" w:hAnsi="Calibri"/>
                <w:b w:val="0"/>
                <w:i w:val="0"/>
                <w:color w:val="212121"/>
                <w:sz w:val="19"/>
              </w:rPr>
              <w:t>High parity, home deliveries, heavy manual work, limited toilet access and delayed care raise both the risk and impact of urge/mixed incontinence in lower-income Indian women, yet care-seeking is lowest in this group.</w:t>
            </w:r>
          </w:p>
          <w:p>
            <w:pPr>
              <w:spacing w:after="40" w:before="60" w:line="259" w:lineRule="auto"/>
            </w:pPr>
            <w:r>
              <w:rPr>
                <w:rFonts w:ascii="Calibri" w:hAnsi="Calibri"/>
                <w:b w:val="0"/>
                <w:i w:val="0"/>
                <w:color w:val="212121"/>
                <w:sz w:val="19"/>
              </w:rPr>
              <w:t>Hospital-based surveys of Indian women document a substantial, largely under-treated burden of urinary incontinence with common urge and mixed subtypes.</w:t>
            </w:r>
          </w:p>
          <w:p>
            <w:pPr>
              <w:spacing w:after="40" w:line="252" w:lineRule="auto"/>
            </w:pPr>
            <w:hyperlink r:id="rId11">
              <w:r>
                <w:rPr>
                  <w:rFonts w:ascii="Calibri" w:hAnsi="Calibri" w:cs="Calibri"/>
                  <w:sz w:val="18"/>
                  <w:color w:val="1155CC"/>
                  <w:u w:val="single"/>
                </w:rPr>
                <w:t xml:space="preserve">pubmed 23671362 — UI in Indian women (hospital survey)</w:t>
              </w:r>
            </w:hyperlink>
          </w:p>
          <w:p>
            <w:pPr>
              <w:spacing w:before="60" w:after="40"/>
            </w:pPr>
            <w:r>
              <w:rPr>
                <w:rFonts w:ascii="Calibri" w:hAnsi="Calibri"/>
                <w:b w:val="0"/>
                <w:i w:val="0"/>
                <w:color w:val="5A5A5A"/>
                <w:sz w:val="18"/>
              </w:rPr>
              <w:t>#socioeconomic  #parity  #accesstocare  #stigma  #undertreated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Indian women</w:t>
            </w:r>
          </w:p>
        </w:tc>
        <w:tc>
          <w:tcPr>
            <w:tcW w:type="dxa" w:w="4276"/>
            <w:vAlign w:val="top"/>
          </w:tcPr>
          <w:p>
            <w:pPr>
              <w:spacing w:after="60" w:line="259" w:lineRule="auto"/>
            </w:pPr>
            <w:r>
              <w:rPr>
                <w:rFonts w:ascii="Calibri" w:hAnsi="Calibri"/>
                <w:b w:val="0"/>
                <w:i w:val="0"/>
                <w:color w:val="212121"/>
                <w:sz w:val="19"/>
              </w:rPr>
              <w:t>Community and hospital studies from south India document a heavy burden of urge and mixed incontinence in women, linked to high parity, vaginal delivery, obesity, constipation and heavy coffee consumption.</w:t>
            </w:r>
          </w:p>
          <w:p>
            <w:pPr>
              <w:spacing w:after="40" w:before="60" w:line="259" w:lineRule="auto"/>
            </w:pPr>
            <w:r>
              <w:rPr>
                <w:rFonts w:ascii="Calibri" w:hAnsi="Calibri"/>
                <w:b w:val="0"/>
                <w:i w:val="0"/>
                <w:color w:val="212121"/>
                <w:sz w:val="19"/>
              </w:rPr>
              <w:t>In a Chennai cohort of women with incontinence, coffee intake was 74.2%, recurrent UTI 40.1%, obesity 37.8% and constipation 70.2%; urge scores were higher after vaginal delivery (mean 8.19) than caesarean (4.57).</w:t>
            </w:r>
          </w:p>
          <w:p>
            <w:pPr>
              <w:spacing w:after="40" w:line="252" w:lineRule="auto"/>
            </w:pPr>
            <w:hyperlink r:id="rId12">
              <w:r>
                <w:rPr>
                  <w:rFonts w:ascii="Calibri" w:hAnsi="Calibri" w:cs="Calibri"/>
                  <w:sz w:val="18"/>
                  <w:color w:val="1155CC"/>
                  <w:u w:val="single"/>
                </w:rPr>
                <w:t xml:space="preserve">texilajournal — predictors of UI in south Indian women</w:t>
              </w:r>
            </w:hyperlink>
          </w:p>
          <w:p>
            <w:pPr>
              <w:spacing w:before="60" w:after="40"/>
            </w:pPr>
            <w:r>
              <w:rPr>
                <w:rFonts w:ascii="Calibri" w:hAnsi="Calibri"/>
                <w:b w:val="0"/>
                <w:i w:val="0"/>
                <w:color w:val="5A5A5A"/>
                <w:sz w:val="18"/>
              </w:rPr>
              <w:t>#southindia  #coffee  #parity  #constipation  #women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lifestyle</w:t>
            </w:r>
          </w:p>
        </w:tc>
        <w:tc>
          <w:tcPr>
            <w:tcW w:type="dxa" w:w="2160"/>
            <w:vAlign w:val="top"/>
          </w:tcPr>
          <w:p>
            <w:pPr>
              <w:spacing w:after="40" w:before="0" w:line="259" w:lineRule="auto"/>
            </w:pPr>
            <w:r>
              <w:rPr>
                <w:rFonts w:ascii="Calibri" w:hAnsi="Calibri"/>
                <w:b w:val="0"/>
                <w:i w:val="0"/>
                <w:color w:val="212121"/>
                <w:sz w:val="19"/>
              </w:rPr>
              <w:t>Urban Indian adults</w:t>
            </w:r>
          </w:p>
        </w:tc>
        <w:tc>
          <w:tcPr>
            <w:tcW w:type="dxa" w:w="4276"/>
            <w:vAlign w:val="top"/>
          </w:tcPr>
          <w:p>
            <w:pPr>
              <w:spacing w:after="60" w:line="259" w:lineRule="auto"/>
            </w:pPr>
            <w:r>
              <w:rPr>
                <w:rFonts w:ascii="Calibri" w:hAnsi="Calibri"/>
                <w:b w:val="0"/>
                <w:i w:val="0"/>
                <w:color w:val="212121"/>
                <w:sz w:val="19"/>
              </w:rPr>
              <w:t>Urbanisation brings higher obesity, diabetes, sedentary work and greater caffeine and aerated-drink intake — all bladder-irritant and metabolic drivers of urgency incontinence — alongside somewhat higher awareness and care-seeking.</w:t>
            </w:r>
          </w:p>
          <w:p>
            <w:pPr>
              <w:spacing w:after="40" w:before="60" w:line="259" w:lineRule="auto"/>
            </w:pPr>
            <w:r>
              <w:rPr>
                <w:rFonts w:ascii="Calibri" w:hAnsi="Calibri"/>
                <w:b w:val="0"/>
                <w:i w:val="0"/>
                <w:color w:val="212121"/>
                <w:sz w:val="19"/>
              </w:rPr>
              <w:t>Overactive bladder prevalence is far higher with metabolic syndrome (58.9%) than without it (35.0%), and metabolic syndrome is concentrated in urban India.</w:t>
            </w:r>
          </w:p>
          <w:p>
            <w:pPr>
              <w:spacing w:after="40" w:line="252" w:lineRule="auto"/>
            </w:pPr>
            <w:hyperlink r:id="rId13">
              <w:r>
                <w:rPr>
                  <w:rFonts w:ascii="Calibri" w:hAnsi="Calibri" w:cs="Calibri"/>
                  <w:sz w:val="18"/>
                  <w:color w:val="1155CC"/>
                  <w:u w:val="single"/>
                </w:rPr>
                <w:t xml:space="preserve">pmc PMC12372221 — metabolic syndrome and OAB (NHANES)</w:t>
              </w:r>
            </w:hyperlink>
          </w:p>
          <w:p>
            <w:pPr>
              <w:spacing w:before="60" w:after="40"/>
            </w:pPr>
            <w:r>
              <w:rPr>
                <w:rFonts w:ascii="Calibri" w:hAnsi="Calibri"/>
                <w:b w:val="0"/>
                <w:i w:val="0"/>
                <w:color w:val="5A5A5A"/>
                <w:sz w:val="18"/>
              </w:rPr>
              <w:t>#urbanIndia  #metabolicsyndrome  #aerateddrinks  #sedentary  #diabetes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Obese</w:t>
            </w:r>
          </w:p>
        </w:tc>
        <w:tc>
          <w:tcPr>
            <w:tcW w:type="dxa" w:w="2160"/>
            <w:vAlign w:val="top"/>
          </w:tcPr>
          <w:p>
            <w:pPr>
              <w:spacing w:after="40" w:before="0" w:line="259" w:lineRule="auto"/>
            </w:pPr>
            <w:r>
              <w:rPr>
                <w:rFonts w:ascii="Calibri" w:hAnsi="Calibri"/>
                <w:b w:val="0"/>
                <w:i w:val="0"/>
                <w:color w:val="212121"/>
                <w:sz w:val="19"/>
              </w:rPr>
              <w:t>Obese and physically inactive adults</w:t>
            </w:r>
          </w:p>
        </w:tc>
        <w:tc>
          <w:tcPr>
            <w:tcW w:type="dxa" w:w="4276"/>
            <w:vAlign w:val="top"/>
          </w:tcPr>
          <w:p>
            <w:pPr>
              <w:spacing w:after="60" w:line="259" w:lineRule="auto"/>
            </w:pPr>
            <w:r>
              <w:rPr>
                <w:rFonts w:ascii="Calibri" w:hAnsi="Calibri"/>
                <w:b w:val="0"/>
                <w:i w:val="0"/>
                <w:color w:val="212121"/>
                <w:sz w:val="19"/>
              </w:rPr>
              <w:t>Excess weight raises chronic intra-abdominal and intravesical pressure and drives systemic inflammation, worsening urgency and leakage; central adiposity is a consistent, modifiable risk factor, and weight loss improves symptoms.</w:t>
            </w:r>
          </w:p>
          <w:p>
            <w:pPr>
              <w:spacing w:after="40" w:before="60" w:line="259" w:lineRule="auto"/>
            </w:pPr>
            <w:r>
              <w:rPr>
                <w:rFonts w:ascii="Calibri" w:hAnsi="Calibri"/>
                <w:b w:val="0"/>
                <w:i w:val="0"/>
                <w:color w:val="212121"/>
                <w:sz w:val="19"/>
              </w:rPr>
              <w:t>Higher BMI independently raises OAB/urgency risk (BMI OR ~1.39; waist circumference OR ~1.33), with a stronger association in women (OR ~1.51).</w:t>
            </w:r>
          </w:p>
          <w:p>
            <w:pPr>
              <w:spacing w:after="40" w:line="252" w:lineRule="auto"/>
            </w:pPr>
            <w:hyperlink r:id="rId13">
              <w:r>
                <w:rPr>
                  <w:rFonts w:ascii="Calibri" w:hAnsi="Calibri" w:cs="Calibri"/>
                  <w:sz w:val="18"/>
                  <w:color w:val="1155CC"/>
                  <w:u w:val="single"/>
                </w:rPr>
                <w:t xml:space="preserve">pmc PMC12372221 — obesity/metabolic components and OAB</w:t>
              </w:r>
            </w:hyperlink>
          </w:p>
          <w:p>
            <w:pPr>
              <w:spacing w:before="60" w:after="40"/>
            </w:pPr>
            <w:r>
              <w:rPr>
                <w:rFonts w:ascii="Calibri" w:hAnsi="Calibri"/>
                <w:b w:val="0"/>
                <w:i w:val="0"/>
                <w:color w:val="5A5A5A"/>
                <w:sz w:val="18"/>
              </w:rPr>
              <w:t>#obesity  #intraabdominalpressure  #weightloss  #sedentary  #BMI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 intake</w:t>
            </w:r>
          </w:p>
        </w:tc>
        <w:tc>
          <w:tcPr>
            <w:tcW w:type="dxa" w:w="2160"/>
            <w:vAlign w:val="top"/>
          </w:tcPr>
          <w:p>
            <w:pPr>
              <w:spacing w:after="40" w:before="0" w:line="259" w:lineRule="auto"/>
            </w:pPr>
            <w:r>
              <w:rPr>
                <w:rFonts w:ascii="Calibri" w:hAnsi="Calibri"/>
                <w:b w:val="0"/>
                <w:i w:val="0"/>
                <w:color w:val="212121"/>
                <w:sz w:val="19"/>
              </w:rPr>
              <w:t>Heavy coffee / tea / cola consumers</w:t>
            </w:r>
          </w:p>
        </w:tc>
        <w:tc>
          <w:tcPr>
            <w:tcW w:type="dxa" w:w="4276"/>
            <w:vAlign w:val="top"/>
          </w:tcPr>
          <w:p>
            <w:pPr>
              <w:spacing w:after="60" w:line="259" w:lineRule="auto"/>
            </w:pPr>
            <w:r>
              <w:rPr>
                <w:rFonts w:ascii="Calibri" w:hAnsi="Calibri"/>
                <w:b w:val="0"/>
                <w:i w:val="0"/>
                <w:color w:val="212121"/>
                <w:sz w:val="19"/>
              </w:rPr>
              <w:t>Caffeine is a diuretic and direct bladder-mucosal irritant that increases detrusor pressure and provokes urgency and leakage; high intake of coffee, tea and cola is especially relevant to Indian dietary patterns.</w:t>
            </w:r>
          </w:p>
          <w:p>
            <w:pPr>
              <w:spacing w:after="40" w:before="60" w:line="259" w:lineRule="auto"/>
            </w:pPr>
            <w:r>
              <w:rPr>
                <w:rFonts w:ascii="Calibri" w:hAnsi="Calibri"/>
                <w:b w:val="0"/>
                <w:i w:val="0"/>
                <w:color w:val="212121"/>
                <w:sz w:val="19"/>
              </w:rPr>
              <w:t>Caffeine reduction cut urgency episodes from 4.8 to 1.6 per 24 h (vs 4.6 to 3.2 in controls, P=0.002); women consuming &gt; 204 mg/day were more likely to be incontinent.</w:t>
            </w:r>
          </w:p>
          <w:p>
            <w:pPr>
              <w:spacing w:after="40" w:line="252" w:lineRule="auto"/>
            </w:pPr>
            <w:hyperlink r:id="rId14">
              <w:r>
                <w:rPr>
                  <w:rFonts w:ascii="Calibri" w:hAnsi="Calibri" w:cs="Calibri"/>
                  <w:sz w:val="18"/>
                  <w:color w:val="1155CC"/>
                  <w:u w:val="single"/>
                </w:rPr>
                <w:t xml:space="preserve">einj — fluid and caffeine modifications in OAB (review)</w:t>
              </w:r>
            </w:hyperlink>
          </w:p>
          <w:p>
            <w:pPr>
              <w:spacing w:before="60" w:after="40"/>
            </w:pPr>
            <w:r>
              <w:rPr>
                <w:rFonts w:ascii="Calibri" w:hAnsi="Calibri"/>
                <w:b w:val="0"/>
                <w:i w:val="0"/>
                <w:color w:val="5A5A5A"/>
                <w:sz w:val="18"/>
              </w:rPr>
              <w:t>#caffeine  #coffee  #bladderirritant  #diuretic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 has an acute detrusor-stimulant, bladder-irritant effect, and a chronic smoker's cough raises intra-abdominal pressure — both aggravate urgency and leakage. Smoking is also a bladder-cancer risk that must be excluded when there is haematuria.</w:t>
            </w:r>
          </w:p>
          <w:p>
            <w:pPr>
              <w:spacing w:after="40" w:before="60" w:line="259" w:lineRule="auto"/>
            </w:pPr>
            <w:r>
              <w:rPr>
                <w:rFonts w:ascii="Calibri" w:hAnsi="Calibri"/>
                <w:b w:val="0"/>
                <w:i w:val="0"/>
                <w:color w:val="212121"/>
                <w:sz w:val="19"/>
              </w:rPr>
              <w:t>Tobacco is recognised among the lower-urinary-tract irritants that provoke urgency, frequency and incontinence.</w:t>
            </w:r>
          </w:p>
          <w:p>
            <w:pPr>
              <w:spacing w:before="60" w:after="40"/>
            </w:pPr>
            <w:r>
              <w:rPr>
                <w:rFonts w:ascii="Calibri" w:hAnsi="Calibri"/>
                <w:b w:val="0"/>
                <w:i w:val="0"/>
                <w:color w:val="5A5A5A"/>
                <w:sz w:val="18"/>
              </w:rPr>
              <w:t>#smoking  #nicotine  #bladderirritant  #chroniccough  #bladdercancer</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Bladder irritants</w:t>
            </w:r>
          </w:p>
        </w:tc>
        <w:tc>
          <w:tcPr>
            <w:tcW w:type="dxa" w:w="2160"/>
            <w:vAlign w:val="top"/>
          </w:tcPr>
          <w:p>
            <w:pPr>
              <w:spacing w:after="40" w:before="0" w:line="259" w:lineRule="auto"/>
            </w:pPr>
            <w:r>
              <w:rPr>
                <w:rFonts w:ascii="Calibri" w:hAnsi="Calibri"/>
                <w:b w:val="0"/>
                <w:i w:val="0"/>
                <w:color w:val="212121"/>
                <w:sz w:val="19"/>
              </w:rPr>
              <w:t>Consumers of aerated / artificially sweetened / spicy foods</w:t>
            </w:r>
          </w:p>
        </w:tc>
        <w:tc>
          <w:tcPr>
            <w:tcW w:type="dxa" w:w="4276"/>
            <w:vAlign w:val="top"/>
          </w:tcPr>
          <w:p>
            <w:pPr>
              <w:spacing w:after="60" w:line="259" w:lineRule="auto"/>
            </w:pPr>
            <w:r>
              <w:rPr>
                <w:rFonts w:ascii="Calibri" w:hAnsi="Calibri"/>
                <w:b w:val="0"/>
                <w:i w:val="0"/>
                <w:color w:val="212121"/>
                <w:sz w:val="19"/>
              </w:rPr>
              <w:t>Carbonated drinks, artificial sweeteners, citrus and very spicy foods sensitise bladder afferents and provoke involuntary detrusor contractions in susceptible individuals; reducing them is a first-line behavioural measure.</w:t>
            </w:r>
          </w:p>
          <w:p>
            <w:pPr>
              <w:spacing w:after="40" w:before="60" w:line="259" w:lineRule="auto"/>
            </w:pPr>
            <w:r>
              <w:rPr>
                <w:rFonts w:ascii="Calibri" w:hAnsi="Calibri"/>
                <w:b w:val="0"/>
                <w:i w:val="0"/>
                <w:color w:val="212121"/>
                <w:sz w:val="19"/>
              </w:rPr>
              <w:t>Systematic-review evidence shows restricting caffeine and bladder irritants effectively reduces urgency, frequency and incontinence episodes.</w:t>
            </w:r>
          </w:p>
          <w:p>
            <w:pPr>
              <w:spacing w:after="40" w:line="252" w:lineRule="auto"/>
            </w:pPr>
            <w:hyperlink r:id="rId14">
              <w:r>
                <w:rPr>
                  <w:rFonts w:ascii="Calibri" w:hAnsi="Calibri" w:cs="Calibri"/>
                  <w:sz w:val="18"/>
                  <w:color w:val="1155CC"/>
                  <w:u w:val="single"/>
                </w:rPr>
                <w:t xml:space="preserve">einj — dietary/fluid modification in OAB</w:t>
              </w:r>
            </w:hyperlink>
          </w:p>
          <w:p>
            <w:pPr>
              <w:spacing w:before="60" w:after="40"/>
            </w:pPr>
            <w:r>
              <w:rPr>
                <w:rFonts w:ascii="Calibri" w:hAnsi="Calibri"/>
                <w:b w:val="0"/>
                <w:i w:val="0"/>
                <w:color w:val="5A5A5A"/>
                <w:sz w:val="18"/>
              </w:rPr>
              <w:t>#aerateddrinks  #artificialsweeteners  #spicyfood  #citrus  #dietarytrigger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urgency incontinence / OAB</w:t>
            </w:r>
          </w:p>
        </w:tc>
        <w:tc>
          <w:tcPr>
            <w:tcW w:type="dxa" w:w="4276"/>
            <w:vAlign w:val="top"/>
          </w:tcPr>
          <w:p>
            <w:pPr>
              <w:spacing w:after="60" w:line="259" w:lineRule="auto"/>
            </w:pPr>
            <w:r>
              <w:rPr>
                <w:rFonts w:ascii="Calibri" w:hAnsi="Calibri"/>
                <w:b w:val="0"/>
                <w:i w:val="0"/>
                <w:color w:val="212121"/>
                <w:sz w:val="19"/>
              </w:rPr>
              <w:t>Urgency incontinence and overactive bladder cluster in families, reflecting inherited detrusor and connective-tissue characteristics and shared metabolic risk, increasing susceptibility in offspring.</w:t>
            </w:r>
          </w:p>
          <w:p>
            <w:pPr>
              <w:spacing w:after="40" w:before="60" w:line="259" w:lineRule="auto"/>
            </w:pPr>
            <w:r>
              <w:rPr>
                <w:rFonts w:ascii="Calibri" w:hAnsi="Calibri"/>
                <w:b w:val="0"/>
                <w:i w:val="0"/>
                <w:color w:val="212121"/>
                <w:sz w:val="19"/>
              </w:rPr>
              <w:t>Familial aggregation of overactive bladder and urgency incontinence is well described, indicating a heritable component.</w:t>
            </w:r>
          </w:p>
          <w:p>
            <w:pPr>
              <w:spacing w:before="60" w:after="40"/>
            </w:pPr>
            <w:r>
              <w:rPr>
                <w:rFonts w:ascii="Calibri" w:hAnsi="Calibri"/>
                <w:b w:val="0"/>
                <w:i w:val="0"/>
                <w:color w:val="5A5A5A"/>
                <w:sz w:val="18"/>
              </w:rPr>
              <w:t>#familyhistory  #heritable  #detrusor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w:t>
            </w:r>
          </w:p>
        </w:tc>
        <w:tc>
          <w:tcPr>
            <w:tcW w:type="dxa" w:w="4276"/>
            <w:vAlign w:val="top"/>
          </w:tcPr>
          <w:p>
            <w:pPr>
              <w:spacing w:after="60" w:line="259" w:lineRule="auto"/>
            </w:pPr>
            <w:r>
              <w:rPr>
                <w:rFonts w:ascii="Calibri" w:hAnsi="Calibri"/>
                <w:b w:val="0"/>
                <w:i w:val="0"/>
                <w:color w:val="212121"/>
                <w:sz w:val="19"/>
              </w:rPr>
              <w:t>Diabetic cystopathy — autonomic neuropathy, microvascular ischaemia and osmotic polyuria — produces storage symptoms and urgency leakage; poor glycaemic control and diabetic peripheral neuropathy predict more severe disease.</w:t>
            </w:r>
          </w:p>
          <w:p>
            <w:pPr>
              <w:spacing w:after="40" w:before="60" w:line="259" w:lineRule="auto"/>
            </w:pPr>
            <w:r>
              <w:rPr>
                <w:rFonts w:ascii="Calibri" w:hAnsi="Calibri"/>
                <w:b w:val="0"/>
                <w:i w:val="0"/>
                <w:color w:val="212121"/>
                <w:sz w:val="19"/>
              </w:rPr>
              <w:t>Bladder dysfunction affects an estimated 43–87% of people with diabetes; symptomatic diabetic peripheral neuropathy was the strongest predictor of more severe OAB (OR ~2.74).</w:t>
            </w:r>
          </w:p>
          <w:p>
            <w:pPr>
              <w:spacing w:after="40" w:line="252" w:lineRule="auto"/>
            </w:pPr>
            <w:hyperlink r:id="rId15">
              <w:r>
                <w:rPr>
                  <w:rFonts w:ascii="Calibri" w:hAnsi="Calibri" w:cs="Calibri"/>
                  <w:sz w:val="18"/>
                  <w:color w:val="1155CC"/>
                  <w:u w:val="single"/>
                </w:rPr>
                <w:t xml:space="preserve">nature sci rep — OAB severity in type 2 diabetes</w:t>
              </w:r>
            </w:hyperlink>
          </w:p>
          <w:p>
            <w:pPr>
              <w:spacing w:before="60" w:after="40"/>
            </w:pPr>
            <w:r>
              <w:rPr>
                <w:rFonts w:ascii="Calibri" w:hAnsi="Calibri"/>
                <w:b w:val="0"/>
                <w:i w:val="0"/>
                <w:color w:val="5A5A5A"/>
                <w:sz w:val="18"/>
              </w:rPr>
              <w:t>#diabeticcystopathy  #neuropathy  #polyuria  #glycaemiccontrol  #T2DM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 Obesity</w:t>
            </w:r>
          </w:p>
        </w:tc>
        <w:tc>
          <w:tcPr>
            <w:tcW w:type="dxa" w:w="2160"/>
            <w:vAlign w:val="top"/>
          </w:tcPr>
          <w:p>
            <w:pPr>
              <w:spacing w:after="40" w:before="0" w:line="259" w:lineRule="auto"/>
            </w:pPr>
            <w:r>
              <w:rPr>
                <w:rFonts w:ascii="Calibri" w:hAnsi="Calibri"/>
                <w:b w:val="0"/>
                <w:i w:val="0"/>
                <w:color w:val="212121"/>
                <w:sz w:val="19"/>
              </w:rPr>
              <w:t>Adults with metabolic syndrome</w:t>
            </w:r>
          </w:p>
        </w:tc>
        <w:tc>
          <w:tcPr>
            <w:tcW w:type="dxa" w:w="4276"/>
            <w:vAlign w:val="top"/>
          </w:tcPr>
          <w:p>
            <w:pPr>
              <w:spacing w:after="60" w:line="259" w:lineRule="auto"/>
            </w:pPr>
            <w:r>
              <w:rPr>
                <w:rFonts w:ascii="Calibri" w:hAnsi="Calibri"/>
                <w:b w:val="0"/>
                <w:i w:val="0"/>
                <w:color w:val="212121"/>
                <w:sz w:val="19"/>
              </w:rPr>
              <w:t>Insulin resistance, central obesity, hypertension and hyperglycaemia converge on bladder ischaemia, autonomic imbalance and raised intravesical pressure, sharply increasing the prevalence of overactive bladder and urgency incontinence.</w:t>
            </w:r>
          </w:p>
          <w:p>
            <w:pPr>
              <w:spacing w:after="40" w:before="60" w:line="259" w:lineRule="auto"/>
            </w:pPr>
            <w:r>
              <w:rPr>
                <w:rFonts w:ascii="Calibri" w:hAnsi="Calibri"/>
                <w:b w:val="0"/>
                <w:i w:val="0"/>
                <w:color w:val="212121"/>
                <w:sz w:val="19"/>
              </w:rPr>
              <w:t>OAB prevalence is 58.9% in metabolic syndrome vs 35.0% without it (adjusted OR ~1.26; stronger in women, OR ~1.51).</w:t>
            </w:r>
          </w:p>
          <w:p>
            <w:pPr>
              <w:spacing w:after="40" w:line="252" w:lineRule="auto"/>
            </w:pPr>
            <w:hyperlink r:id="rId13">
              <w:r>
                <w:rPr>
                  <w:rFonts w:ascii="Calibri" w:hAnsi="Calibri" w:cs="Calibri"/>
                  <w:sz w:val="18"/>
                  <w:color w:val="1155CC"/>
                  <w:u w:val="single"/>
                </w:rPr>
                <w:t xml:space="preserve">pmc PMC12372221 — metabolic syndrome and OAB</w:t>
              </w:r>
            </w:hyperlink>
          </w:p>
          <w:p>
            <w:pPr>
              <w:spacing w:before="60" w:after="40"/>
            </w:pPr>
            <w:r>
              <w:rPr>
                <w:rFonts w:ascii="Calibri" w:hAnsi="Calibri"/>
                <w:b w:val="0"/>
                <w:i w:val="0"/>
                <w:color w:val="5A5A5A"/>
                <w:sz w:val="18"/>
              </w:rPr>
              <w:t>#metabolicsyndrome  #insulinresistance  #centralobesity  #ischaemia  #OAB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Neurological disease</w:t>
            </w:r>
          </w:p>
        </w:tc>
        <w:tc>
          <w:tcPr>
            <w:tcW w:type="dxa" w:w="2160"/>
            <w:vAlign w:val="top"/>
          </w:tcPr>
          <w:p>
            <w:pPr>
              <w:spacing w:after="40" w:before="0" w:line="259" w:lineRule="auto"/>
            </w:pPr>
            <w:r>
              <w:rPr>
                <w:rFonts w:ascii="Calibri" w:hAnsi="Calibri"/>
                <w:b w:val="0"/>
                <w:i w:val="0"/>
                <w:color w:val="212121"/>
                <w:sz w:val="19"/>
              </w:rPr>
              <w:t>Stroke, Parkinson's, MS, spinal cord injury</w:t>
            </w:r>
          </w:p>
        </w:tc>
        <w:tc>
          <w:tcPr>
            <w:tcW w:type="dxa" w:w="4276"/>
            <w:vAlign w:val="top"/>
          </w:tcPr>
          <w:p>
            <w:pPr>
              <w:spacing w:after="60" w:line="259" w:lineRule="auto"/>
            </w:pPr>
            <w:r>
              <w:rPr>
                <w:rFonts w:ascii="Calibri" w:hAnsi="Calibri"/>
                <w:b w:val="0"/>
                <w:i w:val="0"/>
                <w:color w:val="212121"/>
                <w:sz w:val="19"/>
              </w:rPr>
              <w:t>These disorders remove supra-pontine and spinal inhibitory control of the micturition reflex, producing neurogenic detrusor overactivity — a distinct, often severe form of urge incontinence that needs tailored, upper-tract-protective management.</w:t>
            </w:r>
          </w:p>
          <w:p>
            <w:pPr>
              <w:spacing w:after="40" w:before="60" w:line="259" w:lineRule="auto"/>
            </w:pPr>
            <w:r>
              <w:rPr>
                <w:rFonts w:ascii="Calibri" w:hAnsi="Calibri"/>
                <w:b w:val="0"/>
                <w:i w:val="0"/>
                <w:color w:val="212121"/>
                <w:sz w:val="19"/>
              </w:rPr>
              <w:t>Neurogenic detrusor overactivity is a common cause of urgency incontinence in stroke, Parkinson's disease, multiple sclerosis and spinal cord injury.</w:t>
            </w:r>
          </w:p>
          <w:p>
            <w:pPr>
              <w:spacing w:before="60" w:after="40"/>
            </w:pPr>
            <w:r>
              <w:rPr>
                <w:rFonts w:ascii="Calibri" w:hAnsi="Calibri"/>
                <w:b w:val="0"/>
                <w:i w:val="0"/>
                <w:color w:val="5A5A5A"/>
                <w:sz w:val="18"/>
              </w:rPr>
              <w:t>#neurogenic  #parkinsons  #multiplesclerosis  #stroke  #spinalcord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Post-menopausal status</w:t>
            </w: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Oestrogen deficiency thins the urethral and trigonal mucosa, reduces vascularity and lowers the sensory threshold for urgency, making urge and mixed incontinence markedly more common after menopause.</w:t>
            </w:r>
          </w:p>
          <w:p>
            <w:pPr>
              <w:spacing w:after="40" w:before="60" w:line="259" w:lineRule="auto"/>
            </w:pPr>
            <w:r>
              <w:rPr>
                <w:rFonts w:ascii="Calibri" w:hAnsi="Calibri"/>
                <w:b w:val="0"/>
                <w:i w:val="0"/>
                <w:color w:val="212121"/>
                <w:sz w:val="19"/>
              </w:rPr>
              <w:t>Urinary incontinence affected a pooled 63.1% of post-menopausal women (range 13.6–84.4%); a Kochi study reported urge urinary incontinence in 5.4% of postmenopausal women.</w:t>
            </w:r>
          </w:p>
          <w:p>
            <w:pPr>
              <w:spacing w:after="40" w:line="252" w:lineRule="auto"/>
            </w:pPr>
            <w:hyperlink r:id="rId16">
              <w:r>
                <w:rPr>
                  <w:rFonts w:ascii="Calibri" w:hAnsi="Calibri" w:cs="Calibri"/>
                  <w:sz w:val="18"/>
                  <w:color w:val="1155CC"/>
                  <w:u w:val="single"/>
                </w:rPr>
                <w:t xml:space="preserve">pmc PMC11550778 — menopause and urinary incontinence (review)</w:t>
              </w:r>
            </w:hyperlink>
          </w:p>
          <w:p>
            <w:pPr>
              <w:spacing w:before="60" w:after="40"/>
            </w:pPr>
            <w:r>
              <w:rPr>
                <w:rFonts w:ascii="Calibri" w:hAnsi="Calibri"/>
                <w:b w:val="0"/>
                <w:i w:val="0"/>
                <w:color w:val="5A5A5A"/>
                <w:sz w:val="18"/>
              </w:rPr>
              <w:t>#menopause  #oestrogen  #GSM  #atrophicvaginitis  #women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urinary tract infection</w:t>
            </w:r>
          </w:p>
        </w:tc>
        <w:tc>
          <w:tcPr>
            <w:tcW w:type="dxa" w:w="2160"/>
            <w:vAlign w:val="top"/>
          </w:tcPr>
          <w:p>
            <w:pPr>
              <w:spacing w:after="40" w:before="0" w:line="259" w:lineRule="auto"/>
            </w:pPr>
            <w:r>
              <w:rPr>
                <w:rFonts w:ascii="Calibri" w:hAnsi="Calibri"/>
                <w:b w:val="0"/>
                <w:i w:val="0"/>
                <w:color w:val="212121"/>
                <w:sz w:val="19"/>
              </w:rPr>
              <w:t>Women with recurrent UTI</w:t>
            </w:r>
          </w:p>
        </w:tc>
        <w:tc>
          <w:tcPr>
            <w:tcW w:type="dxa" w:w="4276"/>
            <w:vAlign w:val="top"/>
          </w:tcPr>
          <w:p>
            <w:pPr>
              <w:spacing w:after="60" w:line="259" w:lineRule="auto"/>
            </w:pPr>
            <w:r>
              <w:rPr>
                <w:rFonts w:ascii="Calibri" w:hAnsi="Calibri"/>
                <w:b w:val="0"/>
                <w:i w:val="0"/>
                <w:color w:val="212121"/>
                <w:sz w:val="19"/>
              </w:rPr>
              <w:t>Repeated infection and inflammation sensitise bladder afferents and can leave persistent urgency and leakage even after the infection clears; active UTI must always be excluded before diagnosing urge incontinence.</w:t>
            </w:r>
          </w:p>
          <w:p>
            <w:pPr>
              <w:spacing w:after="40" w:before="60" w:line="259" w:lineRule="auto"/>
            </w:pPr>
            <w:r>
              <w:rPr>
                <w:rFonts w:ascii="Calibri" w:hAnsi="Calibri"/>
                <w:b w:val="0"/>
                <w:i w:val="0"/>
                <w:color w:val="212121"/>
                <w:sz w:val="19"/>
              </w:rPr>
              <w:t>Recurrent UTI was reported in ~40% of a south Indian female cohort with lower urinary tract symptoms and incontinence.</w:t>
            </w:r>
          </w:p>
          <w:p>
            <w:pPr>
              <w:spacing w:after="40" w:line="252" w:lineRule="auto"/>
            </w:pPr>
            <w:hyperlink r:id="rId12">
              <w:r>
                <w:rPr>
                  <w:rFonts w:ascii="Calibri" w:hAnsi="Calibri" w:cs="Calibri"/>
                  <w:sz w:val="18"/>
                  <w:color w:val="1155CC"/>
                  <w:u w:val="single"/>
                </w:rPr>
                <w:t xml:space="preserve">texilajournal — recurrent UTI in south Indian women with UI</w:t>
              </w:r>
            </w:hyperlink>
          </w:p>
          <w:p>
            <w:pPr>
              <w:spacing w:before="60" w:after="40"/>
            </w:pPr>
            <w:r>
              <w:rPr>
                <w:rFonts w:ascii="Calibri" w:hAnsi="Calibri"/>
                <w:b w:val="0"/>
                <w:i w:val="0"/>
                <w:color w:val="5A5A5A"/>
                <w:sz w:val="18"/>
              </w:rPr>
              <w:t>#recurrentUTI  #inflammation  #afferentsensitisation  #urgency  #exclusion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Benign prostatic hyperplasia</w:t>
            </w:r>
          </w:p>
        </w:tc>
        <w:tc>
          <w:tcPr>
            <w:tcW w:type="dxa" w:w="2160"/>
            <w:vAlign w:val="top"/>
          </w:tcPr>
          <w:p>
            <w:pPr>
              <w:spacing w:after="40" w:before="0" w:line="259" w:lineRule="auto"/>
            </w:pPr>
            <w:r>
              <w:rPr>
                <w:rFonts w:ascii="Calibri" w:hAnsi="Calibri"/>
                <w:b w:val="0"/>
                <w:i w:val="0"/>
                <w:color w:val="212121"/>
                <w:sz w:val="19"/>
              </w:rPr>
              <w:t>Older men with BPH</w:t>
            </w:r>
          </w:p>
        </w:tc>
        <w:tc>
          <w:tcPr>
            <w:tcW w:type="dxa" w:w="4276"/>
            <w:vAlign w:val="top"/>
          </w:tcPr>
          <w:p>
            <w:pPr>
              <w:spacing w:after="60" w:line="259" w:lineRule="auto"/>
            </w:pPr>
            <w:r>
              <w:rPr>
                <w:rFonts w:ascii="Calibri" w:hAnsi="Calibri"/>
                <w:b w:val="0"/>
                <w:i w:val="0"/>
                <w:color w:val="212121"/>
                <w:sz w:val="19"/>
              </w:rPr>
              <w:t>Chronic bladder outlet obstruction from prostatic enlargement drives detrusor hypertrophy and secondary overactivity, so urgency and urge leakage frequently dominate the clinical picture in older men and may persist after obstruction is relieved.</w:t>
            </w:r>
          </w:p>
          <w:p>
            <w:pPr>
              <w:spacing w:after="40" w:before="60" w:line="259" w:lineRule="auto"/>
            </w:pPr>
            <w:r>
              <w:rPr>
                <w:rFonts w:ascii="Calibri" w:hAnsi="Calibri"/>
                <w:b w:val="0"/>
                <w:i w:val="0"/>
                <w:color w:val="212121"/>
                <w:sz w:val="19"/>
              </w:rPr>
              <w:t>An Indian survey cited male OAB prevalence around 6.9%; storage/urgency symptoms coexist in a large share of men with symptomatic BPH.</w:t>
            </w:r>
          </w:p>
          <w:p>
            <w:pPr>
              <w:spacing w:after="40" w:line="252" w:lineRule="auto"/>
            </w:pPr>
            <w:hyperlink r:id="rId17">
              <w:r>
                <w:rPr>
                  <w:rFonts w:ascii="Calibri" w:hAnsi="Calibri" w:cs="Calibri"/>
                  <w:sz w:val="18"/>
                  <w:color w:val="1155CC"/>
                  <w:u w:val="single"/>
                </w:rPr>
                <w:t xml:space="preserve">pacehospital.com — overactive bladder (India)</w:t>
              </w:r>
            </w:hyperlink>
          </w:p>
          <w:p>
            <w:pPr>
              <w:spacing w:before="60" w:after="40"/>
            </w:pPr>
            <w:r>
              <w:rPr>
                <w:rFonts w:ascii="Calibri" w:hAnsi="Calibri"/>
                <w:b w:val="0"/>
                <w:i w:val="0"/>
                <w:color w:val="5A5A5A"/>
                <w:sz w:val="18"/>
              </w:rPr>
              <w:t>#BPH  #outletobstruction  #detrusorhypertrophy  #men  #storagesymptoms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and physical inactivity raise intra-abdominal and intravesical pressure and systemic inflammation; higher BMI independently increases urgency-incontinence risk (BMI OR ~1.39, waist OR ~1.33), and modest weight loss measurably reduces leakage episodes.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Bladder irritants — caffeine, carbonated and artificially sweetened drinks, citrus and spicy foods — provoke urgency and leakage, while a high-glycaemic, metabolic-syndrome-promoting diet raises risk through obesity and diabetic cystopathy.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Nocturia and urge incontinence have a bidirectional relationship with poor sleep; coexisting obstructive sleep apnoea causes nocturnal polyuria that worsens night-time leakage, waking and daytime fatigue.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acutely irritates and stimulates the detrusor, and a smoker's cough raises intra-abdominal pressure; smoking is associated with urgency incontinence and is a bladder-cancer risk that must be excluded when haematuria is present.</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acts as a diuretic and bladder irritant, increasing urine production and detrusor sensitivity and thereby aggravating urgency, frequency, nocturia and leakage.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and anxiety are strongly and bidirectionally associated with urge incontinence through shared serotonergic and autonomic pathways; the wet phenotype carries the greatest psychological burden and social withdrawal.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volume and timing of fluid intake directly determine urine production; excessive or poorly timed (evening) drinking increases leakage, urgency and nocturia, whereas sensible fluid management is a core first-line therapy — reducing intake helps more than increasing it.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Caffeine is a well-documented diuretic and direct bladder-mucosal irritant; reducing intake below ~100–200 mg/day consistently lessens urgency and leakage (urgency episodes fell 4.8→1.6 per 24 h in a controlled study).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perineal hygiene and recurrent urinary tract infection can trigger or mimic urgency leakage, and untreated incontinence leads to incontinence-associated dermatitis; good hygiene supports symptom control but is not a primary driver.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Characteristic situational triggers precipitate urgency and leakage — cold weather, the sound of running water, hand-washing, and the “key-in-the-lock / arriving-home” phenomenon — alongside a full bladder, caffeine and stress.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Pelvic-floor and core posture influence continence and intra-abdominal pressure; deliberate pelvic-floor bracing (“the Knack”) and avoiding sudden pressure rises can help suppress urgency, though direct evidence is limited.</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Urge-incontinence leak episodes (bladder diary)</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 leak episodes/24 h</w:t>
            </w:r>
          </w:p>
        </w:tc>
        <w:tc>
          <w:tcPr>
            <w:tcW w:type="dxa" w:w="1512"/>
            <w:vAlign w:val="top"/>
          </w:tcPr>
          <w:p>
            <w:pPr>
              <w:spacing w:after="40" w:before="0" w:line="259" w:lineRule="auto"/>
            </w:pPr>
            <w:r>
              <w:rPr>
                <w:rFonts w:ascii="Calibri" w:hAnsi="Calibri"/>
                <w:b w:val="0"/>
                <w:i w:val="0"/>
                <w:color w:val="212121"/>
                <w:sz w:val="19"/>
              </w:rPr>
              <w:t>≥ 1 urgency-associated leak/24 h</w:t>
            </w:r>
          </w:p>
        </w:tc>
        <w:tc>
          <w:tcPr>
            <w:tcW w:type="dxa" w:w="1468"/>
            <w:vAlign w:val="top"/>
          </w:tcPr>
          <w:p>
            <w:pPr>
              <w:spacing w:after="40" w:before="0" w:line="259" w:lineRule="auto"/>
            </w:pPr>
            <w:r>
              <w:rPr>
                <w:rFonts w:ascii="Calibri" w:hAnsi="Calibri"/>
                <w:b w:val="0"/>
                <w:i w:val="0"/>
                <w:color w:val="212121"/>
                <w:sz w:val="19"/>
              </w:rPr>
              <w:t>Primary outcome tracked on a 3-day bladder diary; guides therapy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Daytime voiding frequency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 voids per 24 h</w:t>
            </w:r>
          </w:p>
        </w:tc>
        <w:tc>
          <w:tcPr>
            <w:tcW w:type="dxa" w:w="1512"/>
            <w:vAlign w:val="top"/>
          </w:tcPr>
          <w:p>
            <w:pPr>
              <w:spacing w:after="40" w:before="0" w:line="259" w:lineRule="auto"/>
            </w:pPr>
            <w:r>
              <w:rPr>
                <w:rFonts w:ascii="Calibri" w:hAnsi="Calibri"/>
                <w:b w:val="0"/>
                <w:i w:val="0"/>
                <w:color w:val="212121"/>
                <w:sz w:val="19"/>
              </w:rPr>
              <w:t>≥ 8 voids per 24 h</w:t>
            </w:r>
          </w:p>
        </w:tc>
        <w:tc>
          <w:tcPr>
            <w:tcW w:type="dxa" w:w="1468"/>
            <w:vAlign w:val="top"/>
          </w:tcPr>
          <w:p>
            <w:pPr>
              <w:spacing w:after="40" w:before="0" w:line="259" w:lineRule="auto"/>
            </w:pPr>
            <w:r>
              <w:rPr>
                <w:rFonts w:ascii="Calibri" w:hAnsi="Calibri"/>
                <w:b w:val="0"/>
                <w:i w:val="0"/>
                <w:color w:val="212121"/>
                <w:sz w:val="19"/>
              </w:rPr>
              <w:t>Key storage-symptom threshold captured on a 3-day bladder diary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daily fluid intake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~1.5–2.0 L/day, evenly spread</w:t>
            </w:r>
          </w:p>
        </w:tc>
        <w:tc>
          <w:tcPr>
            <w:tcW w:type="dxa" w:w="1512"/>
            <w:vAlign w:val="top"/>
          </w:tcPr>
          <w:p>
            <w:pPr>
              <w:spacing w:after="40" w:before="0" w:line="259" w:lineRule="auto"/>
            </w:pPr>
            <w:r>
              <w:rPr>
                <w:rFonts w:ascii="Calibri" w:hAnsi="Calibri"/>
                <w:b w:val="0"/>
                <w:i w:val="0"/>
                <w:color w:val="212121"/>
                <w:sz w:val="19"/>
              </w:rPr>
              <w:t>&gt; 2.5–3 L/day or heavy evening intake</w:t>
            </w:r>
          </w:p>
        </w:tc>
        <w:tc>
          <w:tcPr>
            <w:tcW w:type="dxa" w:w="1468"/>
            <w:vAlign w:val="top"/>
          </w:tcPr>
          <w:p>
            <w:pPr>
              <w:spacing w:after="60" w:line="259" w:lineRule="auto"/>
            </w:pPr>
            <w:r>
              <w:rPr>
                <w:rFonts w:ascii="Calibri" w:hAnsi="Calibri"/>
                <w:b w:val="0"/>
                <w:i w:val="0"/>
                <w:color w:val="212121"/>
                <w:sz w:val="19"/>
              </w:rPr>
              <w:t>Excess or late fluids worsen leakage and nocturia; reducing intake helps more than increasing it</w:t>
            </w:r>
          </w:p>
          <w:p>
            <w:pPr>
              <w:spacing w:after="40" w:line="252" w:lineRule="auto"/>
            </w:pPr>
            <w:hyperlink r:id="rId14">
              <w:r>
                <w:rPr>
                  <w:rFonts w:ascii="Calibri" w:hAnsi="Calibri" w:cs="Calibri"/>
                  <w:sz w:val="18"/>
                  <w:color w:val="1155CC"/>
                  <w:u w:val="single"/>
                </w:rPr>
                <w:t xml:space="preserve">https://www.einj.org/journal/view.php?doi=10.5213%2Finj.2346014.007</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Coffee/tea/cola consumers</w:t>
            </w:r>
          </w:p>
        </w:tc>
        <w:tc>
          <w:tcPr>
            <w:tcW w:type="dxa" w:w="1512"/>
            <w:vAlign w:val="top"/>
          </w:tcPr>
          <w:p>
            <w:pPr>
              <w:spacing w:after="40" w:before="0" w:line="259" w:lineRule="auto"/>
            </w:pPr>
            <w:r>
              <w:rPr>
                <w:rFonts w:ascii="Calibri" w:hAnsi="Calibri"/>
                <w:b w:val="0"/>
                <w:i w:val="0"/>
                <w:color w:val="212121"/>
                <w:sz w:val="19"/>
              </w:rPr>
              <w:t>&lt; 100–200 mg/day</w:t>
            </w:r>
          </w:p>
        </w:tc>
        <w:tc>
          <w:tcPr>
            <w:tcW w:type="dxa" w:w="1512"/>
            <w:vAlign w:val="top"/>
          </w:tcPr>
          <w:p>
            <w:pPr>
              <w:spacing w:after="40" w:before="0" w:line="259" w:lineRule="auto"/>
            </w:pPr>
            <w:r>
              <w:rPr>
                <w:rFonts w:ascii="Calibri" w:hAnsi="Calibri"/>
                <w:b w:val="0"/>
                <w:i w:val="0"/>
                <w:color w:val="212121"/>
                <w:sz w:val="19"/>
              </w:rPr>
              <w:t>&gt; 204 mg/day</w:t>
            </w:r>
          </w:p>
        </w:tc>
        <w:tc>
          <w:tcPr>
            <w:tcW w:type="dxa" w:w="1468"/>
            <w:vAlign w:val="top"/>
          </w:tcPr>
          <w:p>
            <w:pPr>
              <w:spacing w:after="60" w:line="259" w:lineRule="auto"/>
            </w:pPr>
            <w:r>
              <w:rPr>
                <w:rFonts w:ascii="Calibri" w:hAnsi="Calibri"/>
                <w:b w:val="0"/>
                <w:i w:val="0"/>
                <w:color w:val="212121"/>
                <w:sz w:val="19"/>
              </w:rPr>
              <w:t>Diuretic and bladder irritant; &gt; 204 mg/day linked to more incontinence, reduction cuts urgency episodes</w:t>
            </w:r>
          </w:p>
          <w:p>
            <w:pPr>
              <w:spacing w:after="40" w:line="252" w:lineRule="auto"/>
            </w:pPr>
            <w:hyperlink r:id="rId14">
              <w:r>
                <w:rPr>
                  <w:rFonts w:ascii="Calibri" w:hAnsi="Calibri" w:cs="Calibri"/>
                  <w:sz w:val="18"/>
                  <w:color w:val="1155CC"/>
                  <w:u w:val="single"/>
                </w:rPr>
                <w:t xml:space="preserve">https://www.einj.org/journal/view.php?doi=10.5213%2Finj.2346014.007</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Nocturia episodes</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0–1 void per night</w:t>
            </w:r>
          </w:p>
        </w:tc>
        <w:tc>
          <w:tcPr>
            <w:tcW w:type="dxa" w:w="1512"/>
            <w:vAlign w:val="top"/>
          </w:tcPr>
          <w:p>
            <w:pPr>
              <w:spacing w:after="40" w:before="0" w:line="259" w:lineRule="auto"/>
            </w:pPr>
            <w:r>
              <w:rPr>
                <w:rFonts w:ascii="Calibri" w:hAnsi="Calibri"/>
                <w:b w:val="0"/>
                <w:i w:val="0"/>
                <w:color w:val="212121"/>
                <w:sz w:val="19"/>
              </w:rPr>
              <w:t>≥ 2 voids per night</w:t>
            </w:r>
          </w:p>
        </w:tc>
        <w:tc>
          <w:tcPr>
            <w:tcW w:type="dxa" w:w="1468"/>
            <w:vAlign w:val="top"/>
          </w:tcPr>
          <w:p>
            <w:pPr>
              <w:spacing w:after="40" w:before="0" w:line="259" w:lineRule="auto"/>
            </w:pPr>
            <w:r>
              <w:rPr>
                <w:rFonts w:ascii="Calibri" w:hAnsi="Calibri"/>
                <w:b w:val="0"/>
                <w:i w:val="0"/>
                <w:color w:val="212121"/>
                <w:sz w:val="19"/>
              </w:rPr>
              <w:t>Fragments sleep and predicts falls; may signal nocturnal polyuria or OSA</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women, elderly</w:t>
            </w:r>
          </w:p>
        </w:tc>
        <w:tc>
          <w:tcPr>
            <w:tcW w:type="dxa" w:w="1512"/>
            <w:vAlign w:val="top"/>
          </w:tcPr>
          <w:p>
            <w:pPr>
              <w:spacing w:after="40" w:before="0" w:line="259" w:lineRule="auto"/>
            </w:pPr>
            <w:r>
              <w:rPr>
                <w:rFonts w:ascii="Calibri" w:hAnsi="Calibri"/>
                <w:b w:val="0"/>
                <w:i w:val="0"/>
                <w:color w:val="212121"/>
                <w:sz w:val="19"/>
              </w:rPr>
              <w:t>18.5–22.9 kg/m² (Asian-Indian)</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independently raises urgency-incontinence risk; weight loss improves symptoms</w:t>
            </w:r>
          </w:p>
          <w:p>
            <w:pPr>
              <w:spacing w:after="40" w:line="252" w:lineRule="auto"/>
            </w:pPr>
            <w:hyperlink r:id="rId13">
              <w:r>
                <w:rPr>
                  <w:rFonts w:ascii="Calibri" w:hAnsi="Calibri" w:cs="Calibri"/>
                  <w:sz w:val="18"/>
                  <w:color w:val="1155CC"/>
                  <w:u w:val="single"/>
                </w:rPr>
                <w:t xml:space="preserve">https://pmc.ncbi.nlm.nih.gov/articles/PMC12372221/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with central obesity</w:t>
            </w:r>
          </w:p>
        </w:tc>
        <w:tc>
          <w:tcPr>
            <w:tcW w:type="dxa" w:w="1512"/>
            <w:vAlign w:val="top"/>
          </w:tcPr>
          <w:p>
            <w:pPr>
              <w:spacing w:after="40" w:before="0" w:line="259" w:lineRule="auto"/>
            </w:pPr>
            <w:r>
              <w:rPr>
                <w:rFonts w:ascii="Calibri" w:hAnsi="Calibri"/>
                <w:b w:val="0"/>
                <w:i w:val="0"/>
                <w:color w:val="212121"/>
                <w:sz w:val="19"/>
              </w:rPr>
              <w:t>M &lt; 90 cm; F &lt; 80 cm (Asian-Indian)</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adiposity raises intravesical pressure and OAB/urgency odds (waist OR ~1.33)</w:t>
            </w:r>
          </w:p>
          <w:p>
            <w:pPr>
              <w:spacing w:after="40" w:line="252" w:lineRule="auto"/>
            </w:pPr>
            <w:hyperlink r:id="rId13">
              <w:r>
                <w:rPr>
                  <w:rFonts w:ascii="Calibri" w:hAnsi="Calibri" w:cs="Calibri"/>
                  <w:sz w:val="18"/>
                  <w:color w:val="1155CC"/>
                  <w:u w:val="single"/>
                </w:rPr>
                <w:t xml:space="preserve">https://pmc.ncbi.nlm.nih.gov/articles/PMC12372221/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Post-void residual (PVR)</w:t>
            </w:r>
          </w:p>
        </w:tc>
        <w:tc>
          <w:tcPr>
            <w:tcW w:type="dxa" w:w="1655"/>
            <w:vAlign w:val="top"/>
          </w:tcPr>
          <w:p>
            <w:pPr>
              <w:spacing w:after="40" w:before="0" w:line="259" w:lineRule="auto"/>
            </w:pPr>
            <w:r>
              <w:rPr>
                <w:rFonts w:ascii="Calibri" w:hAnsi="Calibri"/>
                <w:b w:val="0"/>
                <w:i w:val="0"/>
                <w:color w:val="212121"/>
                <w:sz w:val="19"/>
              </w:rPr>
              <w:t>Adults, elderly, diabetics</w:t>
            </w:r>
          </w:p>
        </w:tc>
        <w:tc>
          <w:tcPr>
            <w:tcW w:type="dxa" w:w="1512"/>
            <w:vAlign w:val="top"/>
          </w:tcPr>
          <w:p>
            <w:pPr>
              <w:spacing w:after="40" w:before="0" w:line="259" w:lineRule="auto"/>
            </w:pPr>
            <w:r>
              <w:rPr>
                <w:rFonts w:ascii="Calibri" w:hAnsi="Calibri"/>
                <w:b w:val="0"/>
                <w:i w:val="0"/>
                <w:color w:val="212121"/>
                <w:sz w:val="19"/>
              </w:rPr>
              <w:t>&lt; 50 mL</w:t>
            </w:r>
          </w:p>
        </w:tc>
        <w:tc>
          <w:tcPr>
            <w:tcW w:type="dxa" w:w="1512"/>
            <w:vAlign w:val="top"/>
          </w:tcPr>
          <w:p>
            <w:pPr>
              <w:spacing w:after="40" w:before="0" w:line="259" w:lineRule="auto"/>
            </w:pPr>
            <w:r>
              <w:rPr>
                <w:rFonts w:ascii="Calibri" w:hAnsi="Calibri"/>
                <w:b w:val="0"/>
                <w:i w:val="0"/>
                <w:color w:val="212121"/>
                <w:sz w:val="19"/>
              </w:rPr>
              <w:t>&gt; 150–200 mL</w:t>
            </w:r>
          </w:p>
        </w:tc>
        <w:tc>
          <w:tcPr>
            <w:tcW w:type="dxa" w:w="1468"/>
            <w:vAlign w:val="top"/>
          </w:tcPr>
          <w:p>
            <w:pPr>
              <w:spacing w:after="40" w:before="0" w:line="259" w:lineRule="auto"/>
            </w:pPr>
            <w:r>
              <w:rPr>
                <w:rFonts w:ascii="Calibri" w:hAnsi="Calibri"/>
                <w:b w:val="0"/>
                <w:i w:val="0"/>
                <w:color w:val="212121"/>
                <w:sz w:val="19"/>
              </w:rPr>
              <w:t>Screens for incomplete emptying/overflow that would contraindicate antimuscarinics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w:t>
            </w:r>
          </w:p>
        </w:tc>
        <w:tc>
          <w:tcPr>
            <w:tcW w:type="dxa" w:w="1655"/>
            <w:vAlign w:val="top"/>
          </w:tcPr>
          <w:p>
            <w:pPr>
              <w:spacing w:after="40" w:before="0" w:line="259" w:lineRule="auto"/>
            </w:pPr>
            <w:r>
              <w:rPr>
                <w:rFonts w:ascii="Calibri" w:hAnsi="Calibri"/>
                <w:b w:val="0"/>
                <w:i w:val="0"/>
                <w:color w:val="212121"/>
                <w:sz w:val="19"/>
              </w:rPr>
              <w:t>Diabetic / high-risk adults</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 6.5 %</w:t>
            </w:r>
          </w:p>
        </w:tc>
        <w:tc>
          <w:tcPr>
            <w:tcW w:type="dxa" w:w="1468"/>
            <w:vAlign w:val="top"/>
          </w:tcPr>
          <w:p>
            <w:pPr>
              <w:spacing w:after="60" w:line="259" w:lineRule="auto"/>
            </w:pPr>
            <w:r>
              <w:rPr>
                <w:rFonts w:ascii="Calibri" w:hAnsi="Calibri"/>
                <w:b w:val="0"/>
                <w:i w:val="0"/>
                <w:color w:val="212121"/>
                <w:sz w:val="19"/>
              </w:rPr>
              <w:t>Poor glycaemic control drives diabetic cystopathy and more severe urgency incontinence</w:t>
            </w:r>
          </w:p>
          <w:p>
            <w:pPr>
              <w:spacing w:after="40" w:line="252" w:lineRule="auto"/>
            </w:pPr>
            <w:hyperlink r:id="rId15">
              <w:r>
                <w:rPr>
                  <w:rFonts w:ascii="Calibri" w:hAnsi="Calibri" w:cs="Calibri"/>
                  <w:sz w:val="18"/>
                  <w:color w:val="1155CC"/>
                  <w:u w:val="single"/>
                </w:rPr>
                <w:t xml:space="preserve">https://www.nature.com/articles/s41598-024-67326-w</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Nicotine irritates the detrusor; cough raises intra-abdominal pressure; bladder-cancer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 drinks/week</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40" w:before="0" w:line="259" w:lineRule="auto"/>
            </w:pPr>
            <w:r>
              <w:rPr>
                <w:rFonts w:ascii="Calibri" w:hAnsi="Calibri"/>
                <w:b w:val="0"/>
                <w:i w:val="0"/>
                <w:color w:val="212121"/>
                <w:sz w:val="19"/>
              </w:rPr>
              <w:t>Alcohol's diuretic and irritant effects worsen urgency, nocturia and leakage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Urinalysis (dipstick + microscopy)</w:t>
            </w:r>
          </w:p>
        </w:tc>
        <w:tc>
          <w:tcPr>
            <w:tcW w:type="dxa" w:w="892"/>
            <w:vAlign w:val="top"/>
          </w:tcPr>
          <w:p>
            <w:pPr>
              <w:spacing w:after="40" w:before="0" w:line="259" w:lineRule="auto"/>
            </w:pPr>
            <w:r>
              <w:rPr>
                <w:rFonts w:ascii="Calibri" w:hAnsi="Calibri"/>
                <w:b w:val="0"/>
                <w:i w:val="0"/>
                <w:color w:val="212121"/>
                <w:sz w:val="16"/>
              </w:rPr>
              <w:t>Urine routine &amp; microscopy</w:t>
            </w:r>
          </w:p>
        </w:tc>
        <w:tc>
          <w:tcPr>
            <w:tcW w:type="dxa" w:w="950"/>
            <w:vAlign w:val="top"/>
          </w:tcPr>
          <w:p>
            <w:pPr>
              <w:spacing w:after="40" w:before="0" w:line="259" w:lineRule="auto"/>
            </w:pPr>
            <w:r>
              <w:rPr>
                <w:rFonts w:ascii="Calibri" w:hAnsi="Calibri"/>
                <w:b w:val="0"/>
                <w:i w:val="0"/>
                <w:color w:val="212121"/>
                <w:sz w:val="16"/>
              </w:rPr>
              <w:t>No leukocytes/nitrites/blood/glucose</w:t>
            </w:r>
          </w:p>
        </w:tc>
        <w:tc>
          <w:tcPr>
            <w:tcW w:type="dxa" w:w="950"/>
            <w:vAlign w:val="top"/>
          </w:tcPr>
          <w:p>
            <w:pPr>
              <w:spacing w:after="40" w:before="0" w:line="259" w:lineRule="auto"/>
            </w:pPr>
            <w:r>
              <w:rPr>
                <w:rFonts w:ascii="Calibri" w:hAnsi="Calibri"/>
                <w:b w:val="0"/>
                <w:i w:val="0"/>
                <w:color w:val="212121"/>
                <w:sz w:val="16"/>
              </w:rPr>
              <w:t>Pyuria, nitrites, haematuria or glucosuria</w:t>
            </w:r>
          </w:p>
        </w:tc>
        <w:tc>
          <w:tcPr>
            <w:tcW w:type="dxa" w:w="1036"/>
            <w:vAlign w:val="top"/>
          </w:tcPr>
          <w:p>
            <w:pPr>
              <w:spacing w:after="40" w:before="0" w:line="259" w:lineRule="auto"/>
            </w:pPr>
            <w:r>
              <w:rPr>
                <w:rFonts w:ascii="Calibri" w:hAnsi="Calibri"/>
                <w:b w:val="0"/>
                <w:i w:val="0"/>
                <w:color w:val="212121"/>
                <w:sz w:val="16"/>
              </w:rPr>
              <w:t>Excludes UTI, glycosuria and haematuria before urge incontinence can be diagnosed</w:t>
            </w:r>
          </w:p>
        </w:tc>
        <w:tc>
          <w:tcPr>
            <w:tcW w:type="dxa" w:w="1036"/>
            <w:vAlign w:val="top"/>
          </w:tcPr>
          <w:p>
            <w:pPr>
              <w:spacing w:after="40" w:before="0" w:line="259" w:lineRule="auto"/>
            </w:pPr>
            <w:r>
              <w:rPr>
                <w:rFonts w:ascii="Calibri" w:hAnsi="Calibri"/>
                <w:b w:val="0"/>
                <w:i w:val="0"/>
                <w:color w:val="212121"/>
                <w:sz w:val="16"/>
              </w:rPr>
              <w:t>All patients with urgency leakage</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Mandatory first test</w:t>
            </w:r>
          </w:p>
        </w:tc>
        <w:tc>
          <w:tcPr>
            <w:tcW w:type="dxa" w:w="720"/>
            <w:vAlign w:val="top"/>
          </w:tcPr>
          <w:p>
            <w:pPr>
              <w:spacing w:after="40" w:before="0" w:line="259" w:lineRule="auto"/>
            </w:pPr>
            <w:r>
              <w:rPr>
                <w:rFonts w:ascii="Calibri" w:hAnsi="Calibri"/>
                <w:b w:val="0"/>
                <w:i w:val="0"/>
                <w:color w:val="212121"/>
                <w:sz w:val="16"/>
              </w:rPr>
              <w:t>Haematuria mandates evaluation for malignancy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Urine culture &amp; sensitivity</w:t>
            </w:r>
          </w:p>
        </w:tc>
        <w:tc>
          <w:tcPr>
            <w:tcW w:type="dxa" w:w="892"/>
            <w:vAlign w:val="top"/>
          </w:tcPr>
          <w:p>
            <w:pPr>
              <w:spacing w:after="40" w:before="0" w:line="259" w:lineRule="auto"/>
            </w:pPr>
            <w:r>
              <w:rPr>
                <w:rFonts w:ascii="Calibri" w:hAnsi="Calibri"/>
                <w:b w:val="0"/>
                <w:i w:val="0"/>
                <w:color w:val="212121"/>
                <w:sz w:val="16"/>
              </w:rPr>
              <w:t>Midstream urine culture</w:t>
            </w:r>
          </w:p>
        </w:tc>
        <w:tc>
          <w:tcPr>
            <w:tcW w:type="dxa" w:w="950"/>
            <w:vAlign w:val="top"/>
          </w:tcPr>
          <w:p>
            <w:pPr>
              <w:spacing w:after="40" w:before="0" w:line="259" w:lineRule="auto"/>
            </w:pPr>
            <w:r>
              <w:rPr>
                <w:rFonts w:ascii="Calibri" w:hAnsi="Calibri"/>
                <w:b w:val="0"/>
                <w:i w:val="0"/>
                <w:color w:val="212121"/>
                <w:sz w:val="16"/>
              </w:rPr>
              <w:t>No significant growth (&lt; 10⁵ CFU/mL)</w:t>
            </w:r>
          </w:p>
        </w:tc>
        <w:tc>
          <w:tcPr>
            <w:tcW w:type="dxa" w:w="950"/>
            <w:vAlign w:val="top"/>
          </w:tcPr>
          <w:p>
            <w:pPr>
              <w:spacing w:after="40" w:before="0" w:line="259" w:lineRule="auto"/>
            </w:pPr>
            <w:r>
              <w:rPr>
                <w:rFonts w:ascii="Calibri" w:hAnsi="Calibri"/>
                <w:b w:val="0"/>
                <w:i w:val="0"/>
                <w:color w:val="212121"/>
                <w:sz w:val="16"/>
              </w:rPr>
              <w:t>Significant bacteriuria</w:t>
            </w:r>
          </w:p>
        </w:tc>
        <w:tc>
          <w:tcPr>
            <w:tcW w:type="dxa" w:w="1036"/>
            <w:vAlign w:val="top"/>
          </w:tcPr>
          <w:p>
            <w:pPr>
              <w:spacing w:after="40" w:before="0" w:line="259" w:lineRule="auto"/>
            </w:pPr>
            <w:r>
              <w:rPr>
                <w:rFonts w:ascii="Calibri" w:hAnsi="Calibri"/>
                <w:b w:val="0"/>
                <w:i w:val="0"/>
                <w:color w:val="212121"/>
                <w:sz w:val="16"/>
              </w:rPr>
              <w:t>Confirms/excludes symptomatic UTI, a key differential and mimic of urge incontinence</w:t>
            </w:r>
          </w:p>
        </w:tc>
        <w:tc>
          <w:tcPr>
            <w:tcW w:type="dxa" w:w="1036"/>
            <w:vAlign w:val="top"/>
          </w:tcPr>
          <w:p>
            <w:pPr>
              <w:spacing w:after="40" w:before="0" w:line="259" w:lineRule="auto"/>
            </w:pPr>
            <w:r>
              <w:rPr>
                <w:rFonts w:ascii="Calibri" w:hAnsi="Calibri"/>
                <w:b w:val="0"/>
                <w:i w:val="0"/>
                <w:color w:val="212121"/>
                <w:sz w:val="16"/>
              </w:rPr>
              <w:t>Symptomatic patients, recurrent UTI, elderly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Treat infection and reassess before labelling urge incontinence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Post-void residual volume</w:t>
            </w:r>
          </w:p>
        </w:tc>
        <w:tc>
          <w:tcPr>
            <w:tcW w:type="dxa" w:w="892"/>
            <w:vAlign w:val="top"/>
          </w:tcPr>
          <w:p>
            <w:pPr>
              <w:spacing w:after="40" w:before="0" w:line="259" w:lineRule="auto"/>
            </w:pPr>
            <w:r>
              <w:rPr>
                <w:rFonts w:ascii="Calibri" w:hAnsi="Calibri"/>
                <w:b w:val="0"/>
                <w:i w:val="0"/>
                <w:color w:val="212121"/>
                <w:sz w:val="16"/>
              </w:rPr>
              <w:t>Bladder scan / ultrasound</w:t>
            </w:r>
          </w:p>
        </w:tc>
        <w:tc>
          <w:tcPr>
            <w:tcW w:type="dxa" w:w="950"/>
            <w:vAlign w:val="top"/>
          </w:tcPr>
          <w:p>
            <w:pPr>
              <w:spacing w:after="40" w:before="0" w:line="259" w:lineRule="auto"/>
            </w:pPr>
            <w:r>
              <w:rPr>
                <w:rFonts w:ascii="Calibri" w:hAnsi="Calibri"/>
                <w:b w:val="0"/>
                <w:i w:val="0"/>
                <w:color w:val="212121"/>
                <w:sz w:val="16"/>
              </w:rPr>
              <w:t>&lt; 50 mL</w:t>
            </w:r>
          </w:p>
        </w:tc>
        <w:tc>
          <w:tcPr>
            <w:tcW w:type="dxa" w:w="950"/>
            <w:vAlign w:val="top"/>
          </w:tcPr>
          <w:p>
            <w:pPr>
              <w:spacing w:after="40" w:before="0" w:line="259" w:lineRule="auto"/>
            </w:pPr>
            <w:r>
              <w:rPr>
                <w:rFonts w:ascii="Calibri" w:hAnsi="Calibri"/>
                <w:b w:val="0"/>
                <w:i w:val="0"/>
                <w:color w:val="212121"/>
                <w:sz w:val="16"/>
              </w:rPr>
              <w:t>&gt; 150–200 mL</w:t>
            </w:r>
          </w:p>
        </w:tc>
        <w:tc>
          <w:tcPr>
            <w:tcW w:type="dxa" w:w="1036"/>
            <w:vAlign w:val="top"/>
          </w:tcPr>
          <w:p>
            <w:pPr>
              <w:spacing w:after="40" w:before="0" w:line="259" w:lineRule="auto"/>
            </w:pPr>
            <w:r>
              <w:rPr>
                <w:rFonts w:ascii="Calibri" w:hAnsi="Calibri"/>
                <w:b w:val="0"/>
                <w:i w:val="0"/>
                <w:color w:val="212121"/>
                <w:sz w:val="16"/>
              </w:rPr>
              <w:t>Detects incomplete emptying / overflow that alters management and contraindicates antimuscarinics</w:t>
            </w:r>
          </w:p>
        </w:tc>
        <w:tc>
          <w:tcPr>
            <w:tcW w:type="dxa" w:w="1036"/>
            <w:vAlign w:val="top"/>
          </w:tcPr>
          <w:p>
            <w:pPr>
              <w:spacing w:after="40" w:before="0" w:line="259" w:lineRule="auto"/>
            </w:pPr>
            <w:r>
              <w:rPr>
                <w:rFonts w:ascii="Calibri" w:hAnsi="Calibri"/>
                <w:b w:val="0"/>
                <w:i w:val="0"/>
                <w:color w:val="212121"/>
                <w:sz w:val="16"/>
              </w:rPr>
              <w:t>Elderly, diabetics, men with BPH, neurogenic cases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Non-invasive; perform before starting anticholinergics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FBS 70–99 mg/dL; HbA1c &lt; 5.7 %</w:t>
            </w:r>
          </w:p>
        </w:tc>
        <w:tc>
          <w:tcPr>
            <w:tcW w:type="dxa" w:w="950"/>
            <w:vAlign w:val="top"/>
          </w:tcPr>
          <w:p>
            <w:pPr>
              <w:spacing w:after="40" w:before="0" w:line="259" w:lineRule="auto"/>
            </w:pPr>
            <w:r>
              <w:rPr>
                <w:rFonts w:ascii="Calibri" w:hAnsi="Calibri"/>
                <w:b w:val="0"/>
                <w:i w:val="0"/>
                <w:color w:val="212121"/>
                <w:sz w:val="16"/>
              </w:rPr>
              <w:t>FBS ≥ 126 mg/dL; HbA1c ≥ 6.5 %</w:t>
            </w:r>
          </w:p>
        </w:tc>
        <w:tc>
          <w:tcPr>
            <w:tcW w:type="dxa" w:w="1036"/>
            <w:vAlign w:val="top"/>
          </w:tcPr>
          <w:p>
            <w:pPr>
              <w:spacing w:after="40" w:before="0" w:line="259" w:lineRule="auto"/>
            </w:pPr>
            <w:r>
              <w:rPr>
                <w:rFonts w:ascii="Calibri" w:hAnsi="Calibri"/>
                <w:b w:val="0"/>
                <w:i w:val="0"/>
                <w:color w:val="212121"/>
                <w:sz w:val="16"/>
              </w:rPr>
              <w:t>Identifies diabetes / diabetic cystopathy underlying urgency leakage</w:t>
            </w:r>
          </w:p>
        </w:tc>
        <w:tc>
          <w:tcPr>
            <w:tcW w:type="dxa" w:w="1036"/>
            <w:vAlign w:val="top"/>
          </w:tcPr>
          <w:p>
            <w:pPr>
              <w:spacing w:after="40" w:before="0" w:line="259" w:lineRule="auto"/>
            </w:pPr>
            <w:r>
              <w:rPr>
                <w:rFonts w:ascii="Calibri" w:hAnsi="Calibri"/>
                <w:b w:val="0"/>
                <w:i w:val="0"/>
                <w:color w:val="212121"/>
                <w:sz w:val="16"/>
              </w:rPr>
              <w:t>Overweight, diabetic, high-risk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Poor control predicts more severe urge incontinence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 90 mL/min/1.73m²</w:t>
            </w:r>
          </w:p>
        </w:tc>
        <w:tc>
          <w:tcPr>
            <w:tcW w:type="dxa" w:w="950"/>
            <w:vAlign w:val="top"/>
          </w:tcPr>
          <w:p>
            <w:pPr>
              <w:spacing w:after="40" w:before="0" w:line="259" w:lineRule="auto"/>
            </w:pPr>
            <w:r>
              <w:rPr>
                <w:rFonts w:ascii="Calibri" w:hAnsi="Calibri"/>
                <w:b w:val="0"/>
                <w:i w:val="0"/>
                <w:color w:val="212121"/>
                <w:sz w:val="16"/>
              </w:rPr>
              <w:t>Rising creatinine / falling eGFR</w:t>
            </w:r>
          </w:p>
        </w:tc>
        <w:tc>
          <w:tcPr>
            <w:tcW w:type="dxa" w:w="1036"/>
            <w:vAlign w:val="top"/>
          </w:tcPr>
          <w:p>
            <w:pPr>
              <w:spacing w:after="40" w:before="0" w:line="259" w:lineRule="auto"/>
            </w:pPr>
            <w:r>
              <w:rPr>
                <w:rFonts w:ascii="Calibri" w:hAnsi="Calibri"/>
                <w:b w:val="0"/>
                <w:i w:val="0"/>
                <w:color w:val="212121"/>
                <w:sz w:val="16"/>
              </w:rPr>
              <w:t>Assesses upper-tract impact, important in neurogenic and long-standing high-residual cases</w:t>
            </w:r>
          </w:p>
        </w:tc>
        <w:tc>
          <w:tcPr>
            <w:tcW w:type="dxa" w:w="1036"/>
            <w:vAlign w:val="top"/>
          </w:tcPr>
          <w:p>
            <w:pPr>
              <w:spacing w:after="40" w:before="0" w:line="259" w:lineRule="auto"/>
            </w:pPr>
            <w:r>
              <w:rPr>
                <w:rFonts w:ascii="Calibri" w:hAnsi="Calibri"/>
                <w:b w:val="0"/>
                <w:i w:val="0"/>
                <w:color w:val="212121"/>
                <w:sz w:val="16"/>
              </w:rPr>
              <w:t>Neurogenic UUI, elderly, high PVR</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safe drug dosing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Urodynamics</w:t>
            </w:r>
          </w:p>
        </w:tc>
        <w:tc>
          <w:tcPr>
            <w:tcW w:type="dxa" w:w="1036"/>
            <w:vAlign w:val="top"/>
          </w:tcPr>
          <w:p>
            <w:pPr>
              <w:spacing w:after="40" w:before="0" w:line="259" w:lineRule="auto"/>
            </w:pPr>
            <w:r>
              <w:rPr>
                <w:rFonts w:ascii="Calibri" w:hAnsi="Calibri"/>
                <w:b w:val="0"/>
                <w:i w:val="0"/>
                <w:color w:val="212121"/>
                <w:sz w:val="16"/>
              </w:rPr>
              <w:t>Detrusor activity (filling cystometry)</w:t>
            </w:r>
          </w:p>
        </w:tc>
        <w:tc>
          <w:tcPr>
            <w:tcW w:type="dxa" w:w="892"/>
            <w:vAlign w:val="top"/>
          </w:tcPr>
          <w:p>
            <w:pPr>
              <w:spacing w:after="40" w:before="0" w:line="259" w:lineRule="auto"/>
            </w:pPr>
            <w:r>
              <w:rPr>
                <w:rFonts w:ascii="Calibri" w:hAnsi="Calibri"/>
                <w:b w:val="0"/>
                <w:i w:val="0"/>
                <w:color w:val="212121"/>
                <w:sz w:val="16"/>
              </w:rPr>
              <w:t>Multichannel urodynamics</w:t>
            </w:r>
          </w:p>
        </w:tc>
        <w:tc>
          <w:tcPr>
            <w:tcW w:type="dxa" w:w="950"/>
            <w:vAlign w:val="top"/>
          </w:tcPr>
          <w:p>
            <w:pPr>
              <w:spacing w:after="40" w:before="0" w:line="259" w:lineRule="auto"/>
            </w:pPr>
            <w:r>
              <w:rPr>
                <w:rFonts w:ascii="Calibri" w:hAnsi="Calibri"/>
                <w:b w:val="0"/>
                <w:i w:val="0"/>
                <w:color w:val="212121"/>
                <w:sz w:val="16"/>
              </w:rPr>
              <w:t>Stable detrusor during filling</w:t>
            </w:r>
          </w:p>
        </w:tc>
        <w:tc>
          <w:tcPr>
            <w:tcW w:type="dxa" w:w="950"/>
            <w:vAlign w:val="top"/>
          </w:tcPr>
          <w:p>
            <w:pPr>
              <w:spacing w:after="40" w:before="0" w:line="259" w:lineRule="auto"/>
            </w:pPr>
            <w:r>
              <w:rPr>
                <w:rFonts w:ascii="Calibri" w:hAnsi="Calibri"/>
                <w:b w:val="0"/>
                <w:i w:val="0"/>
                <w:color w:val="212121"/>
                <w:sz w:val="16"/>
              </w:rPr>
              <w:t>Involuntary detrusor contractions with leakage (detrusor overactivity incontinence)</w:t>
            </w:r>
          </w:p>
        </w:tc>
        <w:tc>
          <w:tcPr>
            <w:tcW w:type="dxa" w:w="1036"/>
            <w:vAlign w:val="top"/>
          </w:tcPr>
          <w:p>
            <w:pPr>
              <w:spacing w:after="40" w:before="0" w:line="259" w:lineRule="auto"/>
            </w:pPr>
            <w:r>
              <w:rPr>
                <w:rFonts w:ascii="Calibri" w:hAnsi="Calibri"/>
                <w:b w:val="0"/>
                <w:i w:val="0"/>
                <w:color w:val="212121"/>
                <w:sz w:val="16"/>
              </w:rPr>
              <w:t>Objectively confirms detrusor overactivity causing leakage in refractory, uncertain or neurogenic cases</w:t>
            </w:r>
          </w:p>
        </w:tc>
        <w:tc>
          <w:tcPr>
            <w:tcW w:type="dxa" w:w="1036"/>
            <w:vAlign w:val="top"/>
          </w:tcPr>
          <w:p>
            <w:pPr>
              <w:spacing w:after="40" w:before="0" w:line="259" w:lineRule="auto"/>
            </w:pPr>
            <w:r>
              <w:rPr>
                <w:rFonts w:ascii="Calibri" w:hAnsi="Calibri"/>
                <w:b w:val="0"/>
                <w:i w:val="0"/>
                <w:color w:val="212121"/>
                <w:sz w:val="16"/>
              </w:rPr>
              <w:t>Treatment-refractory, neurogenic, pre-surgical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(selective)</w:t>
            </w:r>
          </w:p>
        </w:tc>
        <w:tc>
          <w:tcPr>
            <w:tcW w:type="dxa" w:w="720"/>
            <w:vAlign w:val="top"/>
          </w:tcPr>
          <w:p>
            <w:pPr>
              <w:spacing w:after="40" w:before="0" w:line="259" w:lineRule="auto"/>
            </w:pPr>
            <w:r>
              <w:rPr>
                <w:rFonts w:ascii="Calibri" w:hAnsi="Calibri"/>
                <w:b w:val="0"/>
                <w:i w:val="0"/>
                <w:color w:val="212121"/>
                <w:sz w:val="16"/>
              </w:rPr>
              <w:t>Not required for routine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Uroflowmetry ± endoscopy</w:t>
            </w:r>
          </w:p>
        </w:tc>
        <w:tc>
          <w:tcPr>
            <w:tcW w:type="dxa" w:w="1036"/>
            <w:vAlign w:val="top"/>
          </w:tcPr>
          <w:p>
            <w:pPr>
              <w:spacing w:after="40" w:before="0" w:line="259" w:lineRule="auto"/>
            </w:pPr>
            <w:r>
              <w:rPr>
                <w:rFonts w:ascii="Calibri" w:hAnsi="Calibri"/>
                <w:b w:val="0"/>
                <w:i w:val="0"/>
                <w:color w:val="212121"/>
                <w:sz w:val="16"/>
              </w:rPr>
              <w:t>Flow rate / bladder mucosa</w:t>
            </w:r>
          </w:p>
        </w:tc>
        <w:tc>
          <w:tcPr>
            <w:tcW w:type="dxa" w:w="892"/>
            <w:vAlign w:val="top"/>
          </w:tcPr>
          <w:p>
            <w:pPr>
              <w:spacing w:after="40" w:before="0" w:line="259" w:lineRule="auto"/>
            </w:pPr>
            <w:r>
              <w:rPr>
                <w:rFonts w:ascii="Calibri" w:hAnsi="Calibri"/>
                <w:b w:val="0"/>
                <w:i w:val="0"/>
                <w:color w:val="212121"/>
                <w:sz w:val="16"/>
              </w:rPr>
              <w:t>Uroflowmetry; cystoscopy</w:t>
            </w:r>
          </w:p>
        </w:tc>
        <w:tc>
          <w:tcPr>
            <w:tcW w:type="dxa" w:w="950"/>
            <w:vAlign w:val="top"/>
          </w:tcPr>
          <w:p>
            <w:pPr>
              <w:spacing w:after="40" w:before="0" w:line="259" w:lineRule="auto"/>
            </w:pPr>
            <w:r>
              <w:rPr>
                <w:rFonts w:ascii="Calibri" w:hAnsi="Calibri"/>
                <w:b w:val="0"/>
                <w:i w:val="0"/>
                <w:color w:val="212121"/>
                <w:sz w:val="16"/>
              </w:rPr>
              <w:t>Normal flow; normal mucosa</w:t>
            </w:r>
          </w:p>
        </w:tc>
        <w:tc>
          <w:tcPr>
            <w:tcW w:type="dxa" w:w="950"/>
            <w:vAlign w:val="top"/>
          </w:tcPr>
          <w:p>
            <w:pPr>
              <w:spacing w:after="40" w:before="0" w:line="259" w:lineRule="auto"/>
            </w:pPr>
            <w:r>
              <w:rPr>
                <w:rFonts w:ascii="Calibri" w:hAnsi="Calibri"/>
                <w:b w:val="0"/>
                <w:i w:val="0"/>
                <w:color w:val="212121"/>
                <w:sz w:val="16"/>
              </w:rPr>
              <w:t>Low/obstructed flow; tumour, stone or inflammation</w:t>
            </w:r>
          </w:p>
        </w:tc>
        <w:tc>
          <w:tcPr>
            <w:tcW w:type="dxa" w:w="1036"/>
            <w:vAlign w:val="top"/>
          </w:tcPr>
          <w:p>
            <w:pPr>
              <w:spacing w:after="40" w:before="0" w:line="259" w:lineRule="auto"/>
            </w:pPr>
            <w:r>
              <w:rPr>
                <w:rFonts w:ascii="Calibri" w:hAnsi="Calibri"/>
                <w:b w:val="0"/>
                <w:i w:val="0"/>
                <w:color w:val="212121"/>
                <w:sz w:val="16"/>
              </w:rPr>
              <w:t>Evaluates outlet obstruction (BPH) and excludes structural bladder pathology</w:t>
            </w:r>
          </w:p>
        </w:tc>
        <w:tc>
          <w:tcPr>
            <w:tcW w:type="dxa" w:w="1036"/>
            <w:vAlign w:val="top"/>
          </w:tcPr>
          <w:p>
            <w:pPr>
              <w:spacing w:after="40" w:before="0" w:line="259" w:lineRule="auto"/>
            </w:pPr>
            <w:r>
              <w:rPr>
                <w:rFonts w:ascii="Calibri" w:hAnsi="Calibri"/>
                <w:b w:val="0"/>
                <w:i w:val="0"/>
                <w:color w:val="212121"/>
                <w:sz w:val="16"/>
              </w:rPr>
              <w:t>Men with BPH, haematuria, refractory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Cystoscopy reserved for haematuria or refractory symptoms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Involuntary leakage preceded by urgency ± frequency/nocturia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Urgency-associated leak episodes, often moderate-to-large volume</w:t>
            </w:r>
          </w:p>
        </w:tc>
        <w:tc>
          <w:tcPr>
            <w:tcW w:type="dxa" w:w="1036"/>
            <w:vAlign w:val="top"/>
          </w:tcPr>
          <w:p>
            <w:pPr>
              <w:spacing w:after="40" w:before="0" w:line="259" w:lineRule="auto"/>
            </w:pPr>
            <w:r>
              <w:rPr>
                <w:rFonts w:ascii="Calibri" w:hAnsi="Calibri"/>
                <w:b w:val="0"/>
                <w:i w:val="0"/>
                <w:color w:val="212121"/>
                <w:sz w:val="16"/>
              </w:rPr>
              <w:t>Defines urge incontinence and separates it from stress leakage</w:t>
            </w:r>
          </w:p>
        </w:tc>
        <w:tc>
          <w:tcPr>
            <w:tcW w:type="dxa" w:w="1036"/>
            <w:vAlign w:val="top"/>
          </w:tcPr>
          <w:p>
            <w:pPr>
              <w:spacing w:after="40" w:before="0" w:line="259" w:lineRule="auto"/>
            </w:pPr>
            <w:r>
              <w:rPr>
                <w:rFonts w:ascii="Calibri" w:hAnsi="Calibri"/>
                <w:b w:val="0"/>
                <w:i w:val="0"/>
                <w:color w:val="212121"/>
                <w:sz w:val="16"/>
              </w:rPr>
              <w:t>Adults and elderly with leakage</w:t>
            </w:r>
          </w:p>
        </w:tc>
        <w:tc>
          <w:tcPr>
            <w:tcW w:type="dxa" w:w="720"/>
            <w:vAlign w:val="top"/>
          </w:tcPr>
          <w:p>
            <w:pPr>
              <w:spacing w:after="40" w:before="0" w:line="259" w:lineRule="auto"/>
            </w:pPr>
            <w:r>
              <w:rPr>
                <w:rFonts w:ascii="Calibri" w:hAnsi="Calibri"/>
                <w:b w:val="0"/>
                <w:i w:val="0"/>
                <w:color w:val="212121"/>
                <w:sz w:val="16"/>
              </w:rPr>
              <w:t>Water; Caffeine</w:t>
            </w:r>
          </w:p>
        </w:tc>
        <w:tc>
          <w:tcPr>
            <w:tcW w:type="dxa" w:w="720"/>
            <w:vAlign w:val="top"/>
          </w:tcPr>
          <w:p>
            <w:pPr>
              <w:spacing w:after="40" w:before="0" w:line="259" w:lineRule="auto"/>
            </w:pPr>
            <w:r>
              <w:rPr>
                <w:rFonts w:ascii="Calibri" w:hAnsi="Calibri"/>
                <w:b w:val="0"/>
                <w:i w:val="0"/>
                <w:color w:val="212121"/>
                <w:sz w:val="16"/>
              </w:rPr>
              <w:t>Core / screening</w:t>
            </w:r>
          </w:p>
        </w:tc>
        <w:tc>
          <w:tcPr>
            <w:tcW w:type="dxa" w:w="720"/>
            <w:vAlign w:val="top"/>
          </w:tcPr>
          <w:p>
            <w:pPr>
              <w:spacing w:after="40" w:before="0" w:line="259" w:lineRule="auto"/>
            </w:pPr>
            <w:r>
              <w:rPr>
                <w:rFonts w:ascii="Calibri" w:hAnsi="Calibri"/>
                <w:b w:val="0"/>
                <w:i w:val="0"/>
                <w:color w:val="212121"/>
                <w:sz w:val="16"/>
              </w:rPr>
              <w:t>Leakage preceded by urgency is the defining feature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Bladder diary</w:t>
            </w:r>
          </w:p>
        </w:tc>
        <w:tc>
          <w:tcPr>
            <w:tcW w:type="dxa" w:w="979"/>
            <w:vAlign w:val="top"/>
          </w:tcPr>
          <w:p>
            <w:pPr>
              <w:spacing w:after="40" w:before="0" w:line="259" w:lineRule="auto"/>
            </w:pPr>
            <w:r>
              <w:rPr>
                <w:rFonts w:ascii="Calibri" w:hAnsi="Calibri"/>
                <w:b w:val="0"/>
                <w:i w:val="0"/>
                <w:color w:val="212121"/>
                <w:sz w:val="16"/>
              </w:rPr>
              <w:t>3-day frequency-volume chart with leak episodes</w:t>
            </w:r>
          </w:p>
        </w:tc>
        <w:tc>
          <w:tcPr>
            <w:tcW w:type="dxa" w:w="950"/>
            <w:vAlign w:val="top"/>
          </w:tcPr>
          <w:p>
            <w:pPr>
              <w:spacing w:after="40" w:before="0" w:line="259" w:lineRule="auto"/>
            </w:pPr>
            <w:r>
              <w:rPr>
                <w:rFonts w:ascii="Calibri" w:hAnsi="Calibri"/>
                <w:b w:val="0"/>
                <w:i w:val="0"/>
                <w:color w:val="212121"/>
                <w:sz w:val="16"/>
              </w:rPr>
              <w:t>≤ 7 voids/day, no urgency leaks</w:t>
            </w:r>
          </w:p>
        </w:tc>
        <w:tc>
          <w:tcPr>
            <w:tcW w:type="dxa" w:w="950"/>
            <w:vAlign w:val="top"/>
          </w:tcPr>
          <w:p>
            <w:pPr>
              <w:spacing w:after="40" w:before="0" w:line="259" w:lineRule="auto"/>
            </w:pPr>
            <w:r>
              <w:rPr>
                <w:rFonts w:ascii="Calibri" w:hAnsi="Calibri"/>
                <w:b w:val="0"/>
                <w:i w:val="0"/>
                <w:color w:val="212121"/>
                <w:sz w:val="16"/>
              </w:rPr>
              <w:t>≥ 8 voids/day, urgency episodes, nocturia, urge leaks</w:t>
            </w:r>
          </w:p>
        </w:tc>
        <w:tc>
          <w:tcPr>
            <w:tcW w:type="dxa" w:w="1036"/>
            <w:vAlign w:val="top"/>
          </w:tcPr>
          <w:p>
            <w:pPr>
              <w:spacing w:after="40" w:before="0" w:line="259" w:lineRule="auto"/>
            </w:pPr>
            <w:r>
              <w:rPr>
                <w:rFonts w:ascii="Calibri" w:hAnsi="Calibri"/>
                <w:b w:val="0"/>
                <w:i w:val="0"/>
                <w:color w:val="212121"/>
                <w:sz w:val="16"/>
              </w:rPr>
              <w:t>Objectively quantifies leakage, fluid habits and functional bladder capacity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Water; Caffeine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Also guides behavioural therapy targets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Validated questionnaires</w:t>
            </w:r>
          </w:p>
        </w:tc>
        <w:tc>
          <w:tcPr>
            <w:tcW w:type="dxa" w:w="979"/>
            <w:vAlign w:val="top"/>
          </w:tcPr>
          <w:p>
            <w:pPr>
              <w:spacing w:after="40" w:before="0" w:line="259" w:lineRule="auto"/>
            </w:pPr>
            <w:r>
              <w:rPr>
                <w:rFonts w:ascii="Calibri" w:hAnsi="Calibri"/>
                <w:b w:val="0"/>
                <w:i w:val="0"/>
                <w:color w:val="212121"/>
                <w:sz w:val="16"/>
              </w:rPr>
              <w:t>ICIQ-UI SF / OAB-q / 3IQ / OABSS</w:t>
            </w:r>
          </w:p>
        </w:tc>
        <w:tc>
          <w:tcPr>
            <w:tcW w:type="dxa" w:w="950"/>
            <w:vAlign w:val="top"/>
          </w:tcPr>
          <w:p>
            <w:pPr>
              <w:spacing w:after="40" w:before="0" w:line="259" w:lineRule="auto"/>
            </w:pPr>
            <w:r>
              <w:rPr>
                <w:rFonts w:ascii="Calibri" w:hAnsi="Calibri"/>
                <w:b w:val="0"/>
                <w:i w:val="0"/>
                <w:color w:val="212121"/>
                <w:sz w:val="16"/>
              </w:rPr>
              <w:t>Low symptom &amp; bother score</w:t>
            </w:r>
          </w:p>
        </w:tc>
        <w:tc>
          <w:tcPr>
            <w:tcW w:type="dxa" w:w="950"/>
            <w:vAlign w:val="top"/>
          </w:tcPr>
          <w:p>
            <w:pPr>
              <w:spacing w:after="40" w:before="0" w:line="259" w:lineRule="auto"/>
            </w:pPr>
            <w:r>
              <w:rPr>
                <w:rFonts w:ascii="Calibri" w:hAnsi="Calibri"/>
                <w:b w:val="0"/>
                <w:i w:val="0"/>
                <w:color w:val="212121"/>
                <w:sz w:val="16"/>
              </w:rPr>
              <w:t>Elevated symptom-bother / QoL impact; urge-predominant pattern</w:t>
            </w:r>
          </w:p>
        </w:tc>
        <w:tc>
          <w:tcPr>
            <w:tcW w:type="dxa" w:w="1036"/>
            <w:vAlign w:val="top"/>
          </w:tcPr>
          <w:p>
            <w:pPr>
              <w:spacing w:after="40" w:before="0" w:line="259" w:lineRule="auto"/>
            </w:pPr>
            <w:r>
              <w:rPr>
                <w:rFonts w:ascii="Calibri" w:hAnsi="Calibri"/>
                <w:b w:val="0"/>
                <w:i w:val="0"/>
                <w:color w:val="212121"/>
                <w:sz w:val="16"/>
              </w:rPr>
              <w:t>Standardises severity, distinguishes urge vs stress and tracks response</w:t>
            </w:r>
          </w:p>
        </w:tc>
        <w:tc>
          <w:tcPr>
            <w:tcW w:type="dxa" w:w="1036"/>
            <w:vAlign w:val="top"/>
          </w:tcPr>
          <w:p>
            <w:pPr>
              <w:spacing w:after="40" w:before="0" w:line="259" w:lineRule="auto"/>
            </w:pPr>
            <w:r>
              <w:rPr>
                <w:rFonts w:ascii="Calibri" w:hAnsi="Calibri"/>
                <w:b w:val="0"/>
                <w:i w:val="0"/>
                <w:color w:val="212121"/>
                <w:sz w:val="16"/>
              </w:rPr>
              <w:t>All patients, research and follow-up</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3IQ helps differentiate urge from stress incontinence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Fluid, caffeine, alcohol &amp; drug review</w:t>
            </w:r>
          </w:p>
        </w:tc>
        <w:tc>
          <w:tcPr>
            <w:tcW w:type="dxa" w:w="979"/>
            <w:vAlign w:val="top"/>
          </w:tcPr>
          <w:p>
            <w:pPr>
              <w:spacing w:after="40" w:before="0" w:line="259" w:lineRule="auto"/>
            </w:pPr>
            <w:r>
              <w:rPr>
                <w:rFonts w:ascii="Calibri" w:hAnsi="Calibri"/>
                <w:b w:val="0"/>
                <w:i w:val="0"/>
                <w:color w:val="212121"/>
                <w:sz w:val="16"/>
              </w:rPr>
              <w:t>Intake volume/timing; diuretics, medications</w:t>
            </w:r>
          </w:p>
        </w:tc>
        <w:tc>
          <w:tcPr>
            <w:tcW w:type="dxa" w:w="950"/>
            <w:vAlign w:val="top"/>
          </w:tcPr>
          <w:p>
            <w:pPr>
              <w:spacing w:after="40" w:before="0" w:line="259" w:lineRule="auto"/>
            </w:pPr>
            <w:r>
              <w:rPr>
                <w:rFonts w:ascii="Calibri" w:hAnsi="Calibri"/>
                <w:b w:val="0"/>
                <w:i w:val="0"/>
                <w:color w:val="212121"/>
                <w:sz w:val="16"/>
              </w:rPr>
              <w:t>Moderate, well-timed intake; no offending drugs</w:t>
            </w:r>
          </w:p>
        </w:tc>
        <w:tc>
          <w:tcPr>
            <w:tcW w:type="dxa" w:w="950"/>
            <w:vAlign w:val="top"/>
          </w:tcPr>
          <w:p>
            <w:pPr>
              <w:spacing w:after="40" w:before="0" w:line="259" w:lineRule="auto"/>
            </w:pPr>
            <w:r>
              <w:rPr>
                <w:rFonts w:ascii="Calibri" w:hAnsi="Calibri"/>
                <w:b w:val="0"/>
                <w:i w:val="0"/>
                <w:color w:val="212121"/>
                <w:sz w:val="16"/>
              </w:rPr>
              <w:t>High/late fluids, caffeine, alcohol; diuretic use</w:t>
            </w:r>
          </w:p>
        </w:tc>
        <w:tc>
          <w:tcPr>
            <w:tcW w:type="dxa" w:w="1036"/>
            <w:vAlign w:val="top"/>
          </w:tcPr>
          <w:p>
            <w:pPr>
              <w:spacing w:after="40" w:before="0" w:line="259" w:lineRule="auto"/>
            </w:pPr>
            <w:r>
              <w:rPr>
                <w:rFonts w:ascii="Calibri" w:hAnsi="Calibri"/>
                <w:b w:val="0"/>
                <w:i w:val="0"/>
                <w:color w:val="212121"/>
                <w:sz w:val="16"/>
              </w:rPr>
              <w:t>Identifies reversible triggers that drive urgency and leakage</w:t>
            </w:r>
          </w:p>
        </w:tc>
        <w:tc>
          <w:tcPr>
            <w:tcW w:type="dxa" w:w="1036"/>
            <w:vAlign w:val="top"/>
          </w:tcPr>
          <w:p>
            <w:pPr>
              <w:spacing w:after="40" w:before="0" w:line="259" w:lineRule="auto"/>
            </w:pPr>
            <w:r>
              <w:rPr>
                <w:rFonts w:ascii="Calibri" w:hAnsi="Calibri"/>
                <w:b w:val="0"/>
                <w:i w:val="0"/>
                <w:color w:val="212121"/>
                <w:sz w:val="16"/>
              </w:rPr>
              <w:t>All patients, especially elderly on polypharmacy</w:t>
            </w:r>
          </w:p>
        </w:tc>
        <w:tc>
          <w:tcPr>
            <w:tcW w:type="dxa" w:w="720"/>
            <w:vAlign w:val="top"/>
          </w:tcPr>
          <w:p>
            <w:pPr>
              <w:spacing w:after="40" w:before="0" w:line="259" w:lineRule="auto"/>
            </w:pPr>
            <w:r>
              <w:rPr>
                <w:rFonts w:ascii="Calibri" w:hAnsi="Calibri"/>
                <w:b w:val="0"/>
                <w:i w:val="0"/>
                <w:color w:val="212121"/>
                <w:sz w:val="16"/>
              </w:rPr>
              <w:t>Water; Caffeine; Alcohol</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Simple, high-yield modifiable factors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&amp; pelvic examination</w:t>
            </w:r>
          </w:p>
        </w:tc>
        <w:tc>
          <w:tcPr>
            <w:tcW w:type="dxa" w:w="979"/>
            <w:vAlign w:val="top"/>
          </w:tcPr>
          <w:p>
            <w:pPr>
              <w:spacing w:after="40" w:before="0" w:line="259" w:lineRule="auto"/>
            </w:pPr>
            <w:r>
              <w:rPr>
                <w:rFonts w:ascii="Calibri" w:hAnsi="Calibri"/>
                <w:b w:val="0"/>
                <w:i w:val="0"/>
                <w:color w:val="212121"/>
                <w:sz w:val="16"/>
              </w:rPr>
              <w:t>Palpable bladder, prolapse, atrophic vaginitis</w:t>
            </w:r>
          </w:p>
        </w:tc>
        <w:tc>
          <w:tcPr>
            <w:tcW w:type="dxa" w:w="950"/>
            <w:vAlign w:val="top"/>
          </w:tcPr>
          <w:p>
            <w:pPr>
              <w:spacing w:after="40" w:before="0" w:line="259" w:lineRule="auto"/>
            </w:pPr>
            <w:r>
              <w:rPr>
                <w:rFonts w:ascii="Calibri" w:hAnsi="Calibri"/>
                <w:b w:val="0"/>
                <w:i w:val="0"/>
                <w:color w:val="212121"/>
                <w:sz w:val="16"/>
              </w:rPr>
              <w:t>No mass, no prolapse, healthy mucosa</w:t>
            </w:r>
          </w:p>
        </w:tc>
        <w:tc>
          <w:tcPr>
            <w:tcW w:type="dxa" w:w="950"/>
            <w:vAlign w:val="top"/>
          </w:tcPr>
          <w:p>
            <w:pPr>
              <w:spacing w:after="40" w:before="0" w:line="259" w:lineRule="auto"/>
            </w:pPr>
            <w:r>
              <w:rPr>
                <w:rFonts w:ascii="Calibri" w:hAnsi="Calibri"/>
                <w:b w:val="0"/>
                <w:i w:val="0"/>
                <w:color w:val="212121"/>
                <w:sz w:val="16"/>
              </w:rPr>
              <w:t>Distended bladder, pelvic organ prolapse, vaginal atrophy</w:t>
            </w:r>
          </w:p>
        </w:tc>
        <w:tc>
          <w:tcPr>
            <w:tcW w:type="dxa" w:w="1036"/>
            <w:vAlign w:val="top"/>
          </w:tcPr>
          <w:p>
            <w:pPr>
              <w:spacing w:after="40" w:before="0" w:line="259" w:lineRule="auto"/>
            </w:pPr>
            <w:r>
              <w:rPr>
                <w:rFonts w:ascii="Calibri" w:hAnsi="Calibri"/>
                <w:b w:val="0"/>
                <w:i w:val="0"/>
                <w:color w:val="212121"/>
                <w:sz w:val="16"/>
              </w:rPr>
              <w:t>Detects retention, prolapse and oestrogen-deficient tissue contributing to leakage</w:t>
            </w:r>
          </w:p>
        </w:tc>
        <w:tc>
          <w:tcPr>
            <w:tcW w:type="dxa" w:w="1036"/>
            <w:vAlign w:val="top"/>
          </w:tcPr>
          <w:p>
            <w:pPr>
              <w:spacing w:after="40" w:before="0" w:line="259" w:lineRule="auto"/>
            </w:pPr>
            <w:r>
              <w:rPr>
                <w:rFonts w:ascii="Calibri" w:hAnsi="Calibri"/>
                <w:b w:val="0"/>
                <w:i w:val="0"/>
                <w:color w:val="212121"/>
                <w:sz w:val="16"/>
              </w:rPr>
              <w:t>Women, post-menopausal, high-parity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local oestrogen and prolapse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Cough stress test</w:t>
            </w:r>
          </w:p>
        </w:tc>
        <w:tc>
          <w:tcPr>
            <w:tcW w:type="dxa" w:w="979"/>
            <w:vAlign w:val="top"/>
          </w:tcPr>
          <w:p>
            <w:pPr>
              <w:spacing w:after="40" w:before="0" w:line="259" w:lineRule="auto"/>
            </w:pPr>
            <w:r>
              <w:rPr>
                <w:rFonts w:ascii="Calibri" w:hAnsi="Calibri"/>
                <w:b w:val="0"/>
                <w:i w:val="0"/>
                <w:color w:val="212121"/>
                <w:sz w:val="16"/>
              </w:rPr>
              <w:t>Leak with cough/Valsalva</w:t>
            </w:r>
          </w:p>
        </w:tc>
        <w:tc>
          <w:tcPr>
            <w:tcW w:type="dxa" w:w="950"/>
            <w:vAlign w:val="top"/>
          </w:tcPr>
          <w:p>
            <w:pPr>
              <w:spacing w:after="40" w:before="0" w:line="259" w:lineRule="auto"/>
            </w:pPr>
            <w:r>
              <w:rPr>
                <w:rFonts w:ascii="Calibri" w:hAnsi="Calibri"/>
                <w:b w:val="0"/>
                <w:i w:val="0"/>
                <w:color w:val="212121"/>
                <w:sz w:val="16"/>
              </w:rPr>
              <w:t>No leakage (supports pure urge incontinence)</w:t>
            </w:r>
          </w:p>
        </w:tc>
        <w:tc>
          <w:tcPr>
            <w:tcW w:type="dxa" w:w="950"/>
            <w:vAlign w:val="top"/>
          </w:tcPr>
          <w:p>
            <w:pPr>
              <w:spacing w:after="40" w:before="0" w:line="259" w:lineRule="auto"/>
            </w:pPr>
            <w:r>
              <w:rPr>
                <w:rFonts w:ascii="Calibri" w:hAnsi="Calibri"/>
                <w:b w:val="0"/>
                <w:i w:val="0"/>
                <w:color w:val="212121"/>
                <w:sz w:val="16"/>
              </w:rPr>
              <w:t>Immediate leak on cough (stress or mixed component)</w:t>
            </w:r>
          </w:p>
        </w:tc>
        <w:tc>
          <w:tcPr>
            <w:tcW w:type="dxa" w:w="1036"/>
            <w:vAlign w:val="top"/>
          </w:tcPr>
          <w:p>
            <w:pPr>
              <w:spacing w:after="40" w:before="0" w:line="259" w:lineRule="auto"/>
            </w:pPr>
            <w:r>
              <w:rPr>
                <w:rFonts w:ascii="Calibri" w:hAnsi="Calibri"/>
                <w:b w:val="0"/>
                <w:i w:val="0"/>
                <w:color w:val="212121"/>
                <w:sz w:val="16"/>
              </w:rPr>
              <w:t>Differentiates urge from stress and mixed urinary incontinence</w:t>
            </w:r>
          </w:p>
        </w:tc>
        <w:tc>
          <w:tcPr>
            <w:tcW w:type="dxa" w:w="1036"/>
            <w:vAlign w:val="top"/>
          </w:tcPr>
          <w:p>
            <w:pPr>
              <w:spacing w:after="40" w:before="0" w:line="259" w:lineRule="auto"/>
            </w:pPr>
            <w:r>
              <w:rPr>
                <w:rFonts w:ascii="Calibri" w:hAnsi="Calibri"/>
                <w:b w:val="0"/>
                <w:i w:val="0"/>
                <w:color w:val="212121"/>
                <w:sz w:val="16"/>
              </w:rPr>
              <w:t>Women with incontinence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A negative test supports pure urge incontinence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Focused neurological &amp; rectal exam</w:t>
            </w:r>
          </w:p>
        </w:tc>
        <w:tc>
          <w:tcPr>
            <w:tcW w:type="dxa" w:w="979"/>
            <w:vAlign w:val="top"/>
          </w:tcPr>
          <w:p>
            <w:pPr>
              <w:spacing w:after="40" w:before="0" w:line="259" w:lineRule="auto"/>
            </w:pPr>
            <w:r>
              <w:rPr>
                <w:rFonts w:ascii="Calibri" w:hAnsi="Calibri"/>
                <w:b w:val="0"/>
                <w:i w:val="0"/>
                <w:color w:val="212121"/>
                <w:sz w:val="16"/>
              </w:rPr>
              <w:t>S2–S4 sensation, anal tone; prostate (men)</w:t>
            </w:r>
          </w:p>
        </w:tc>
        <w:tc>
          <w:tcPr>
            <w:tcW w:type="dxa" w:w="950"/>
            <w:vAlign w:val="top"/>
          </w:tcPr>
          <w:p>
            <w:pPr>
              <w:spacing w:after="40" w:before="0" w:line="259" w:lineRule="auto"/>
            </w:pPr>
            <w:r>
              <w:rPr>
                <w:rFonts w:ascii="Calibri" w:hAnsi="Calibri"/>
                <w:b w:val="0"/>
                <w:i w:val="0"/>
                <w:color w:val="212121"/>
                <w:sz w:val="16"/>
              </w:rPr>
              <w:t>Intact sensation/tone; normal prostate</w:t>
            </w:r>
          </w:p>
        </w:tc>
        <w:tc>
          <w:tcPr>
            <w:tcW w:type="dxa" w:w="950"/>
            <w:vAlign w:val="top"/>
          </w:tcPr>
          <w:p>
            <w:pPr>
              <w:spacing w:after="40" w:before="0" w:line="259" w:lineRule="auto"/>
            </w:pPr>
            <w:r>
              <w:rPr>
                <w:rFonts w:ascii="Calibri" w:hAnsi="Calibri"/>
                <w:b w:val="0"/>
                <w:i w:val="0"/>
                <w:color w:val="212121"/>
                <w:sz w:val="16"/>
              </w:rPr>
              <w:t>Reduced perineal sensation, altered tone; enlarged prostate</w:t>
            </w:r>
          </w:p>
        </w:tc>
        <w:tc>
          <w:tcPr>
            <w:tcW w:type="dxa" w:w="1036"/>
            <w:vAlign w:val="top"/>
          </w:tcPr>
          <w:p>
            <w:pPr>
              <w:spacing w:after="40" w:before="0" w:line="259" w:lineRule="auto"/>
            </w:pPr>
            <w:r>
              <w:rPr>
                <w:rFonts w:ascii="Calibri" w:hAnsi="Calibri"/>
                <w:b w:val="0"/>
                <w:i w:val="0"/>
                <w:color w:val="212121"/>
                <w:sz w:val="16"/>
              </w:rPr>
              <w:t>Screens for neurogenic urge incontinence and, in men, BPH-related obstruction</w:t>
            </w:r>
          </w:p>
        </w:tc>
        <w:tc>
          <w:tcPr>
            <w:tcW w:type="dxa" w:w="1036"/>
            <w:vAlign w:val="top"/>
          </w:tcPr>
          <w:p>
            <w:pPr>
              <w:spacing w:after="40" w:before="0" w:line="259" w:lineRule="auto"/>
            </w:pPr>
            <w:r>
              <w:rPr>
                <w:rFonts w:ascii="Calibri" w:hAnsi="Calibri"/>
                <w:b w:val="0"/>
                <w:i w:val="0"/>
                <w:color w:val="212121"/>
                <w:sz w:val="16"/>
              </w:rPr>
              <w:t>Neurological disease, older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Directs work-up toward neurogenic or obstructive cause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Urinary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mandatory precursor — a sudden, compelling, hard-to-defer desire to void that heralds the leak.</w:t>
            </w:r>
          </w:p>
        </w:tc>
      </w:tr>
      <w:tr>
        <w:trPr>
          <w:cantSplit/>
        </w:trPr>
        <w:tc>
          <w:tcPr>
            <w:tcW w:type="dxa" w:w="2304"/>
            <w:vAlign w:val="top"/>
          </w:tcPr>
          <w:p>
            <w:pPr>
              <w:spacing w:after="40" w:before="0" w:line="259" w:lineRule="auto"/>
            </w:pPr>
            <w:r>
              <w:rPr>
                <w:rFonts w:ascii="Calibri" w:hAnsi="Calibri"/>
                <w:b/>
                <w:i w:val="0"/>
                <w:color w:val="212121"/>
                <w:sz w:val="19"/>
              </w:rPr>
              <w:t>Urgency urinary incontinence (involuntary leakage preceded by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symptom — urine escapes when urgency cannot be deferred, often before reaching the toilet.</w:t>
            </w:r>
          </w:p>
        </w:tc>
      </w:tr>
      <w:tr>
        <w:trPr>
          <w:cantSplit/>
        </w:trPr>
        <w:tc>
          <w:tcPr>
            <w:tcW w:type="dxa" w:w="2304"/>
            <w:vAlign w:val="top"/>
          </w:tcPr>
          <w:p>
            <w:pPr>
              <w:spacing w:after="40" w:before="0" w:line="259" w:lineRule="auto"/>
            </w:pPr>
            <w:r>
              <w:rPr>
                <w:rFonts w:ascii="Calibri" w:hAnsi="Calibri"/>
                <w:b/>
                <w:i w:val="0"/>
                <w:color w:val="212121"/>
                <w:sz w:val="19"/>
              </w:rPr>
              <w:t>Moderate-to-large-volume leakage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bladder may empty substantially during an episode, unlike the small spurts of stress incontinence.</w:t>
            </w:r>
          </w:p>
        </w:tc>
      </w:tr>
      <w:tr>
        <w:trPr>
          <w:cantSplit/>
        </w:trPr>
        <w:tc>
          <w:tcPr>
            <w:tcW w:type="dxa" w:w="2304"/>
            <w:vAlign w:val="top"/>
          </w:tcPr>
          <w:p>
            <w:pPr>
              <w:spacing w:after="40" w:before="0" w:line="259" w:lineRule="auto"/>
            </w:pPr>
            <w:r>
              <w:rPr>
                <w:rFonts w:ascii="Calibri" w:hAnsi="Calibri"/>
                <w:b/>
                <w:i w:val="0"/>
                <w:color w:val="212121"/>
                <w:sz w:val="19"/>
              </w:rPr>
              <w:t>Increased daytime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Voiding ≥ 8 times per 24 hours, often pre-emptively to avoid leaks.</w:t>
            </w:r>
          </w:p>
        </w:tc>
      </w:tr>
      <w:tr>
        <w:trPr>
          <w:cantSplit/>
        </w:trPr>
        <w:tc>
          <w:tcPr>
            <w:tcW w:type="dxa" w:w="2304"/>
            <w:vAlign w:val="top"/>
          </w:tcPr>
          <w:p>
            <w:pPr>
              <w:spacing w:after="40" w:before="0" w:line="259" w:lineRule="auto"/>
            </w:pPr>
            <w:r>
              <w:rPr>
                <w:rFonts w:ascii="Calibri" w:hAnsi="Calibri"/>
                <w:b/>
                <w:i w:val="0"/>
                <w:color w:val="212121"/>
                <w:sz w:val="19"/>
              </w:rPr>
              <w:t>Nocturia and night-time leakage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to void; ≥ 2 episodes is significant and disrupts sleep, sometimes with nocturnal leaks.</w:t>
            </w:r>
          </w:p>
        </w:tc>
      </w:tr>
      <w:tr>
        <w:trPr>
          <w:cantSplit/>
        </w:trPr>
        <w:tc>
          <w:tcPr>
            <w:tcW w:type="dxa" w:w="2304"/>
            <w:vAlign w:val="top"/>
          </w:tcPr>
          <w:p>
            <w:pPr>
              <w:spacing w:after="40" w:before="0" w:line="259" w:lineRule="auto"/>
            </w:pPr>
            <w:r>
              <w:rPr>
                <w:rFonts w:ascii="Calibri" w:hAnsi="Calibri"/>
                <w:b/>
                <w:i w:val="0"/>
                <w:color w:val="212121"/>
                <w:sz w:val="19"/>
              </w:rPr>
              <w:t>Sleep disturbance and daytime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nocturnal waking and wet bedding fragment sleep, causing tiredness, poor concentration and low mood.</w:t>
            </w:r>
          </w:p>
        </w:tc>
      </w:tr>
      <w:tr>
        <w:trPr>
          <w:cantSplit/>
        </w:trPr>
        <w:tc>
          <w:tcPr>
            <w:tcW w:type="dxa" w:w="2304"/>
            <w:vAlign w:val="top"/>
          </w:tcPr>
          <w:p>
            <w:pPr>
              <w:spacing w:after="40" w:before="0" w:line="259" w:lineRule="auto"/>
            </w:pPr>
            <w:r>
              <w:rPr>
                <w:rFonts w:ascii="Calibri" w:hAnsi="Calibri"/>
                <w:b/>
                <w:i w:val="0"/>
                <w:color w:val="212121"/>
                <w:sz w:val="19"/>
              </w:rPr>
              <w:t>Toilet-mapping and restricted activities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Behavioural adaptation — planning routes around toilets and avoiding travel or social events for fear of leakage.</w:t>
            </w:r>
          </w:p>
        </w:tc>
      </w:tr>
      <w:tr>
        <w:trPr>
          <w:cantSplit/>
        </w:trPr>
        <w:tc>
          <w:tcPr>
            <w:tcW w:type="dxa" w:w="2304"/>
            <w:vAlign w:val="top"/>
          </w:tcPr>
          <w:p>
            <w:pPr>
              <w:spacing w:after="40" w:before="0" w:line="259" w:lineRule="auto"/>
            </w:pPr>
            <w:r>
              <w:rPr>
                <w:rFonts w:ascii="Calibri" w:hAnsi="Calibri"/>
                <w:b/>
                <w:i w:val="0"/>
                <w:color w:val="212121"/>
                <w:sz w:val="19"/>
              </w:rPr>
              <w:t>Situational urgency leakage (running water, cold, arriving home)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Leaks triggered by conditioned cues such as hand-washing, the sound of running water or the “key-in-the-lock” moment.</w:t>
            </w:r>
          </w:p>
        </w:tc>
      </w:tr>
      <w:tr>
        <w:trPr>
          <w:cantSplit/>
        </w:trPr>
        <w:tc>
          <w:tcPr>
            <w:tcW w:type="dxa" w:w="2304"/>
            <w:vAlign w:val="top"/>
          </w:tcPr>
          <w:p>
            <w:pPr>
              <w:spacing w:after="40" w:before="0" w:line="259" w:lineRule="auto"/>
            </w:pPr>
            <w:r>
              <w:rPr>
                <w:rFonts w:ascii="Calibri" w:hAnsi="Calibri"/>
                <w:b/>
                <w:i w:val="0"/>
                <w:color w:val="212121"/>
                <w:sz w:val="19"/>
              </w:rPr>
              <w:t>Nocturnal enuresis (bed-wetting)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Involuntary voiding during sleep, seen in severe or neurogenic urge incontinence.</w:t>
            </w:r>
          </w:p>
        </w:tc>
      </w:tr>
      <w:tr>
        <w:trPr>
          <w:cantSplit/>
        </w:trPr>
        <w:tc>
          <w:tcPr>
            <w:tcW w:type="dxa" w:w="2304"/>
            <w:vAlign w:val="top"/>
          </w:tcPr>
          <w:p>
            <w:pPr>
              <w:spacing w:after="40" w:before="0" w:line="259" w:lineRule="auto"/>
            </w:pPr>
            <w:r>
              <w:rPr>
                <w:rFonts w:ascii="Calibri" w:hAnsi="Calibri"/>
                <w:b/>
                <w:i w:val="0"/>
                <w:color w:val="212121"/>
                <w:sz w:val="19"/>
              </w:rPr>
              <w:t>Sensation of incomplete bladder emptying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Feeling of residual urine; if prominent, suggests coexisting obstruction or retention.</w:t>
            </w:r>
          </w:p>
        </w:tc>
      </w:tr>
      <w:tr>
        <w:trPr>
          <w:cantSplit/>
        </w:trPr>
        <w:tc>
          <w:tcPr>
            <w:tcW w:type="dxa" w:w="2304"/>
            <w:vAlign w:val="top"/>
          </w:tcPr>
          <w:p>
            <w:pPr>
              <w:spacing w:after="40" w:before="0" w:line="259" w:lineRule="auto"/>
            </w:pPr>
            <w:r>
              <w:rPr>
                <w:rFonts w:ascii="Calibri" w:hAnsi="Calibri"/>
                <w:b/>
                <w:i w:val="0"/>
                <w:color w:val="212121"/>
                <w:sz w:val="19"/>
              </w:rPr>
              <w:t>Coital / orgasm-associated incontinence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Leakage during intercourse or at orgasm, contributing to sexual dysfunction and distress.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Often normal general and abdominal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Urge incontinence is a symptom-based diagnosis; examination is frequently unremarkable and mainly excludes other causes.</w:t>
            </w:r>
          </w:p>
        </w:tc>
      </w:tr>
      <w:tr>
        <w:trPr>
          <w:cantSplit/>
        </w:trPr>
        <w:tc>
          <w:tcPr>
            <w:tcW w:type="dxa" w:w="3456"/>
            <w:vAlign w:val="top"/>
          </w:tcPr>
          <w:p>
            <w:pPr>
              <w:spacing w:after="40" w:before="0" w:line="259" w:lineRule="auto"/>
            </w:pPr>
            <w:r>
              <w:rPr>
                <w:rFonts w:ascii="Calibri" w:hAnsi="Calibri"/>
                <w:b/>
                <w:i w:val="0"/>
                <w:color w:val="212121"/>
                <w:sz w:val="19"/>
              </w:rPr>
              <w:t>Damp perineum / incontinence-associated dermatitis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Moist undergarments and erythematous, macerated perineal skin from chronic leakage.</w:t>
            </w:r>
          </w:p>
        </w:tc>
      </w:tr>
      <w:tr>
        <w:trPr>
          <w:cantSplit/>
        </w:trPr>
        <w:tc>
          <w:tcPr>
            <w:tcW w:type="dxa" w:w="3456"/>
            <w:vAlign w:val="top"/>
          </w:tcPr>
          <w:p>
            <w:pPr>
              <w:spacing w:after="40" w:before="0" w:line="259" w:lineRule="auto"/>
            </w:pPr>
            <w:r>
              <w:rPr>
                <w:rFonts w:ascii="Calibri" w:hAnsi="Calibri"/>
                <w:b/>
                <w:i w:val="0"/>
                <w:color w:val="212121"/>
                <w:sz w:val="19"/>
              </w:rPr>
              <w:t>Negative cough stress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immediate leak on coughing supports pure urge (rather than stress or mixed) incontinence.</w:t>
            </w:r>
          </w:p>
        </w:tc>
      </w:tr>
      <w:tr>
        <w:trPr>
          <w:cantSplit/>
        </w:trPr>
        <w:tc>
          <w:tcPr>
            <w:tcW w:type="dxa" w:w="3456"/>
            <w:vAlign w:val="top"/>
          </w:tcPr>
          <w:p>
            <w:pPr>
              <w:spacing w:after="40" w:before="0" w:line="259" w:lineRule="auto"/>
            </w:pPr>
            <w:r>
              <w:rPr>
                <w:rFonts w:ascii="Calibri" w:hAnsi="Calibri"/>
                <w:b/>
                <w:i w:val="0"/>
                <w:color w:val="212121"/>
                <w:sz w:val="19"/>
              </w:rPr>
              <w:t>Atrophic vaginitis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Pale, thin, dry vaginal mucosa in post-menopausal women — oestrogen deficiency lowering the urgency threshold.</w:t>
            </w:r>
          </w:p>
        </w:tc>
      </w:tr>
      <w:tr>
        <w:trPr>
          <w:cantSplit/>
        </w:trPr>
        <w:tc>
          <w:tcPr>
            <w:tcW w:type="dxa" w:w="3456"/>
            <w:vAlign w:val="top"/>
          </w:tcPr>
          <w:p>
            <w:pPr>
              <w:spacing w:after="40" w:before="0" w:line="259" w:lineRule="auto"/>
            </w:pPr>
            <w:r>
              <w:rPr>
                <w:rFonts w:ascii="Calibri" w:hAnsi="Calibri"/>
                <w:b/>
                <w:i w:val="0"/>
                <w:color w:val="212121"/>
                <w:sz w:val="19"/>
              </w:rPr>
              <w:t>Enlarged prostate on digital rectal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older men, prostatic enlargement suggests outlet obstruction driving secondary detrusor overactivity.</w:t>
            </w:r>
          </w:p>
        </w:tc>
      </w:tr>
      <w:tr>
        <w:trPr>
          <w:cantSplit/>
        </w:trPr>
        <w:tc>
          <w:tcPr>
            <w:tcW w:type="dxa" w:w="3456"/>
            <w:vAlign w:val="top"/>
          </w:tcPr>
          <w:p>
            <w:pPr>
              <w:spacing w:after="40" w:before="0" w:line="259" w:lineRule="auto"/>
            </w:pPr>
            <w:r>
              <w:rPr>
                <w:rFonts w:ascii="Calibri" w:hAnsi="Calibri"/>
                <w:b/>
                <w:i w:val="0"/>
                <w:color w:val="212121"/>
                <w:sz w:val="19"/>
              </w:rPr>
              <w:t>Observed urine loss following urgency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Leakage witnessed after a strong urge (e.g., with a full bladder) rather than on exertion.</w:t>
            </w:r>
          </w:p>
        </w:tc>
      </w:tr>
      <w:tr>
        <w:trPr>
          <w:cantSplit/>
        </w:trPr>
        <w:tc>
          <w:tcPr>
            <w:tcW w:type="dxa" w:w="3456"/>
            <w:vAlign w:val="top"/>
          </w:tcPr>
          <w:p>
            <w:pPr>
              <w:spacing w:after="40" w:before="0" w:line="259" w:lineRule="auto"/>
            </w:pPr>
            <w:r>
              <w:rPr>
                <w:rFonts w:ascii="Calibri" w:hAnsi="Calibri"/>
                <w:b/>
                <w:i w:val="0"/>
                <w:color w:val="212121"/>
                <w:sz w:val="19"/>
              </w:rPr>
              <w:t>Pelvic organ prolapse on Valsalva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Cystocele or uterine descent on speculum/Valsalva, coexisting with and aggravating urgency leakage.</w:t>
            </w:r>
          </w:p>
        </w:tc>
      </w:tr>
      <w:tr>
        <w:trPr>
          <w:cantSplit/>
        </w:trPr>
        <w:tc>
          <w:tcPr>
            <w:tcW w:type="dxa" w:w="3456"/>
            <w:vAlign w:val="top"/>
          </w:tcPr>
          <w:p>
            <w:pPr>
              <w:spacing w:after="40" w:before="0" w:line="259" w:lineRule="auto"/>
            </w:pPr>
            <w:r>
              <w:rPr>
                <w:rFonts w:ascii="Calibri" w:hAnsi="Calibri"/>
                <w:b/>
                <w:i w:val="0"/>
                <w:color w:val="212121"/>
                <w:sz w:val="19"/>
              </w:rPr>
              <w:t>Elevated post-void residual on bladder scan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Significant residual urine points to incomplete emptying/overflow and alters treatment choice.</w:t>
            </w:r>
          </w:p>
        </w:tc>
      </w:tr>
      <w:tr>
        <w:trPr>
          <w:cantSplit/>
        </w:trPr>
        <w:tc>
          <w:tcPr>
            <w:tcW w:type="dxa" w:w="3456"/>
            <w:vAlign w:val="top"/>
          </w:tcPr>
          <w:p>
            <w:pPr>
              <w:spacing w:after="40" w:before="0" w:line="259" w:lineRule="auto"/>
            </w:pPr>
            <w:r>
              <w:rPr>
                <w:rFonts w:ascii="Calibri" w:hAnsi="Calibri"/>
                <w:b/>
                <w:i w:val="0"/>
                <w:color w:val="212121"/>
                <w:sz w:val="19"/>
              </w:rPr>
              <w:t>Reduced perineal sensation / altered anal sphincter tone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Sacral (S2–S4) neurological signs indicating a neurogenic cause of detrusor overactivity.</w:t>
            </w:r>
          </w:p>
        </w:tc>
      </w:tr>
      <w:tr>
        <w:trPr>
          <w:cantSplit/>
        </w:trPr>
        <w:tc>
          <w:tcPr>
            <w:tcW w:type="dxa" w:w="3456"/>
            <w:vAlign w:val="top"/>
          </w:tcPr>
          <w:p>
            <w:pPr>
              <w:spacing w:after="40" w:before="0" w:line="259" w:lineRule="auto"/>
            </w:pPr>
            <w:r>
              <w:rPr>
                <w:rFonts w:ascii="Calibri" w:hAnsi="Calibri"/>
                <w:b/>
                <w:i w:val="0"/>
                <w:color w:val="212121"/>
                <w:sz w:val="19"/>
              </w:rPr>
              <w:t>Palpably distended bladder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Suprapubic dullness/mass suggesting chronic retention with overflow rather than pure urge incontinence.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urgency-associated leak episodes with wet clothing and bedding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Incontinence-associated dermatitis and perineal skin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Nocturia- and night-leak-related sleep fragmentation</w:t>
            </w:r>
          </w:p>
        </w:tc>
        <w:tc>
          <w:tcPr>
            <w:tcW w:type="dxa" w:w="2980"/>
            <w:vAlign w:val="top"/>
          </w:tcPr>
          <w:p>
            <w:pPr>
              <w:spacing w:after="40" w:before="0" w:line="259" w:lineRule="auto"/>
            </w:pPr>
            <w:r>
              <w:rPr>
                <w:rFonts w:ascii="Calibri" w:hAnsi="Calibri"/>
                <w:b w:val="0"/>
                <w:i w:val="0"/>
                <w:color w:val="212121"/>
                <w:sz w:val="19"/>
              </w:rPr>
              <w:t>Direct consequences of uncontrolled detrusor overactivity and involuntary leakage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fractures from rushing to the toilet and nocturnal voiding (urge, more than stress, incontinence predicts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urinary tract infections and perineal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dysfunction and coital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sleep deprivation and daytime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productivity, travel avoidance and financial cost of pads</w:t>
            </w:r>
          </w:p>
        </w:tc>
        <w:tc>
          <w:tcPr>
            <w:tcW w:type="dxa" w:w="2980"/>
            <w:vAlign w:val="top"/>
          </w:tcPr>
          <w:p>
            <w:pPr>
              <w:spacing w:after="40" w:before="0" w:line="259" w:lineRule="auto"/>
            </w:pPr>
            <w:r>
              <w:rPr>
                <w:rFonts w:ascii="Calibri" w:hAnsi="Calibri"/>
                <w:b w:val="0"/>
                <w:i w:val="0"/>
                <w:color w:val="212121"/>
                <w:sz w:val="19"/>
              </w:rPr>
              <w:t>Result from the leakage burden and its behavioural and psychosocial impact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independence, pad/caregiver dependence and institutionalisation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Hip-fracture-related disability following incontinence-associated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depression and persistently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Upper urinary tract deterioration and renal impairment in severe neurogenic detrusor overactivity</w:t>
            </w:r>
          </w:p>
        </w:tc>
        <w:tc>
          <w:tcPr>
            <w:tcW w:type="dxa" w:w="2980"/>
            <w:vAlign w:val="top"/>
          </w:tcPr>
          <w:p>
            <w:pPr>
              <w:spacing w:after="40" w:before="0" w:line="259" w:lineRule="auto"/>
            </w:pPr>
            <w:r>
              <w:rPr>
                <w:rFonts w:ascii="Calibri" w:hAnsi="Calibri"/>
                <w:b w:val="0"/>
                <w:i w:val="0"/>
                <w:color w:val="212121"/>
                <w:sz w:val="19"/>
              </w:rPr>
              <w:t>Irreversible, disabling outcomes of longstanding or neurogenic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Overactive bladder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Urge incontinence is the incontinent (“wet”) expression of OAB; both share the same underlying detrusor overactivity, and urgency leakage defines the wet phenotype.</w:t>
            </w:r>
          </w:p>
          <w:p>
            <w:pPr>
              <w:spacing w:after="40" w:before="0" w:line="259" w:lineRule="auto"/>
            </w:pPr>
            <w:r>
              <w:rPr>
                <w:rFonts w:ascii="Calibri" w:hAnsi="Calibri"/>
                <w:b/>
                <w:i w:val="0"/>
                <w:color w:val="212121"/>
                <w:sz w:val="19"/>
              </w:rPr>
              <w:t>~51% (of OAB is the wet / urge-incontinent form)</w:t>
            </w:r>
          </w:p>
        </w:tc>
      </w:tr>
      <w:tr>
        <w:trPr>
          <w:cantSplit/>
        </w:trPr>
        <w:tc>
          <w:tcPr>
            <w:tcW w:type="dxa" w:w="2232"/>
            <w:vAlign w:val="top"/>
          </w:tcPr>
          <w:p>
            <w:pPr>
              <w:spacing w:after="40" w:before="0" w:line="259" w:lineRule="auto"/>
            </w:pPr>
            <w:r>
              <w:rPr>
                <w:rFonts w:ascii="Calibri" w:hAnsi="Calibri"/>
                <w:b/>
                <w:i w:val="0"/>
                <w:color w:val="212121"/>
                <w:sz w:val="19"/>
              </w:rPr>
              <w:t>Diabetes mellitus (diabetic cystopathy)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Autonomic neuropathy, microvascular ischaemia and osmotic polyuria cause bladder dysfunction; poor control and neuropathy predict more severe urgency leakage.</w:t>
            </w:r>
          </w:p>
          <w:p>
            <w:pPr>
              <w:spacing w:after="40" w:before="0" w:line="259" w:lineRule="auto"/>
            </w:pPr>
            <w:r>
              <w:rPr>
                <w:rFonts w:ascii="Calibri" w:hAnsi="Calibri"/>
                <w:b/>
                <w:i w:val="0"/>
                <w:color w:val="212121"/>
                <w:sz w:val="19"/>
              </w:rPr>
              <w:t>43–87% (bladder dysfunction in diabetes)</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adiposity, insulin resistance and raised intravesical pressure drive urgency incontinence; weight loss improves symptoms.</w:t>
            </w:r>
          </w:p>
          <w:p>
            <w:pPr>
              <w:spacing w:after="40" w:before="0" w:line="259" w:lineRule="auto"/>
            </w:pPr>
            <w:r>
              <w:rPr>
                <w:rFonts w:ascii="Calibri" w:hAnsi="Calibri"/>
                <w:b/>
                <w:i w:val="0"/>
                <w:color w:val="212121"/>
                <w:sz w:val="19"/>
              </w:rPr>
              <w:t>~58.9% (OAB in metabolic syndrome)</w:t>
            </w:r>
          </w:p>
        </w:tc>
      </w:tr>
      <w:tr>
        <w:trPr>
          <w:cantSplit/>
        </w:trPr>
        <w:tc>
          <w:tcPr>
            <w:tcW w:type="dxa" w:w="2232"/>
            <w:vAlign w:val="top"/>
          </w:tcPr>
          <w:p>
            <w:pPr>
              <w:spacing w:after="40" w:before="0" w:line="259" w:lineRule="auto"/>
            </w:pPr>
            <w:r>
              <w:rPr>
                <w:rFonts w:ascii="Calibri" w:hAnsi="Calibri"/>
                <w:b/>
                <w:i w:val="0"/>
                <w:color w:val="212121"/>
                <w:sz w:val="19"/>
              </w:rPr>
              <w:t>Post-menopausal oestrogen deficiency / GSM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Urogenital atrophy lowers the sensory threshold for urgency; local oestrogen improves symptoms, so menopausal status alters management.</w:t>
            </w:r>
          </w:p>
          <w:p>
            <w:pPr>
              <w:spacing w:after="40" w:before="0" w:line="259" w:lineRule="auto"/>
            </w:pPr>
            <w:r>
              <w:rPr>
                <w:rFonts w:ascii="Calibri" w:hAnsi="Calibri"/>
                <w:b/>
                <w:i w:val="0"/>
                <w:color w:val="212121"/>
                <w:sz w:val="19"/>
              </w:rPr>
              <w:t>~63% (any UI in post-menopausal women)</w:t>
            </w:r>
          </w:p>
        </w:tc>
      </w:tr>
      <w:tr>
        <w:trPr>
          <w:cantSplit/>
        </w:trPr>
        <w:tc>
          <w:tcPr>
            <w:tcW w:type="dxa" w:w="2232"/>
            <w:vAlign w:val="top"/>
          </w:tcPr>
          <w:p>
            <w:pPr>
              <w:spacing w:after="40" w:before="0" w:line="259" w:lineRule="auto"/>
            </w:pPr>
            <w:r>
              <w:rPr>
                <w:rFonts w:ascii="Calibri" w:hAnsi="Calibri"/>
                <w:b/>
                <w:i w:val="0"/>
                <w:color w:val="212121"/>
                <w:sz w:val="19"/>
              </w:rPr>
              <w:t>Neurological disease (stroke, Parkinson's, MS, spinal cord injury)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central inhibitory control produces neurogenic detrusor overactivity requiring specialised, often upper-tract-protective management.</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 (men)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Bladder outlet obstruction causes secondary detrusor overactivity; urgency leakage often dominates and may persist after treating obstruction.</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Infection and inflammation sensitise bladder afferents and mimic urge incontinence; active UTI must be excluded before diagnosis.</w:t>
            </w:r>
          </w:p>
          <w:p>
            <w:pPr>
              <w:spacing w:after="40" w:before="0" w:line="259" w:lineRule="auto"/>
            </w:pPr>
            <w:r>
              <w:rPr>
                <w:rFonts w:ascii="Calibri" w:hAnsi="Calibri"/>
                <w:b/>
                <w:i w:val="0"/>
                <w:color w:val="212121"/>
                <w:sz w:val="19"/>
              </w:rPr>
              <w:t>~40% (in a south Indian LUTS cohort)</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Strong, bidirectional association through shared serotonergic and autonomic pathways; the wet phenotype carries the greatest psychological burden.</w:t>
            </w:r>
          </w:p>
        </w:tc>
      </w:tr>
      <w:tr>
        <w:trPr>
          <w:cantSplit/>
        </w:trPr>
        <w:tc>
          <w:tcPr>
            <w:tcW w:type="dxa" w:w="2232"/>
            <w:vAlign w:val="top"/>
          </w:tcPr>
          <w:p>
            <w:pPr>
              <w:spacing w:after="40" w:before="0" w:line="259" w:lineRule="auto"/>
            </w:pPr>
            <w:r>
              <w:rPr>
                <w:rFonts w:ascii="Calibri" w:hAnsi="Calibri"/>
                <w:b/>
                <w:i w:val="0"/>
                <w:color w:val="212121"/>
                <w:sz w:val="19"/>
              </w:rPr>
              <w:t>Falls and fragility fractures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Urge incontinence, more than stress, independently predicts falls through rushing and nocturia, leading to hip fractures and disability, particularly in the elderly.</w:t>
            </w:r>
          </w:p>
        </w:tc>
      </w:tr>
      <w:tr>
        <w:trPr>
          <w:cantSplit/>
        </w:trPr>
        <w:tc>
          <w:tcPr>
            <w:tcW w:type="dxa" w:w="2232"/>
            <w:vAlign w:val="top"/>
          </w:tcPr>
          <w:p>
            <w:pPr>
              <w:spacing w:after="40" w:before="0" w:line="259" w:lineRule="auto"/>
            </w:pPr>
            <w:r>
              <w:rPr>
                <w:rFonts w:ascii="Calibri" w:hAnsi="Calibri"/>
                <w:b/>
                <w:i w:val="0"/>
                <w:color w:val="212121"/>
                <w:sz w:val="19"/>
              </w:rPr>
              <w:t>Pelvic organ prolapse / mixed urinary incontinence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Prolapse and a coexisting stress component are common in parous and post-menopausal women, altering symptoms and requiring combined treatment.</w:t>
            </w:r>
          </w:p>
        </w:tc>
      </w:tr>
      <w:tr>
        <w:trPr>
          <w:cantSplit/>
        </w:trPr>
        <w:tc>
          <w:tcPr>
            <w:tcW w:type="dxa" w:w="2232"/>
            <w:vAlign w:val="top"/>
          </w:tcPr>
          <w:p>
            <w:pPr>
              <w:spacing w:after="40" w:before="0" w:line="259" w:lineRule="auto"/>
            </w:pPr>
            <w:r>
              <w:rPr>
                <w:rFonts w:ascii="Calibri" w:hAnsi="Calibri"/>
                <w:b/>
                <w:i w:val="0"/>
                <w:color w:val="212121"/>
                <w:sz w:val="19"/>
              </w:rPr>
              <w:t>Chronic constipation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Straining and a loaded rectum raise pelvic pressure and share pelvic-floor dysfunction with urgency leakage; treating constipation improves symptoms.</w:t>
            </w:r>
          </w:p>
          <w:p>
            <w:pPr>
              <w:spacing w:after="40" w:before="0" w:line="259" w:lineRule="auto"/>
            </w:pPr>
            <w:r>
              <w:rPr>
                <w:rFonts w:ascii="Calibri" w:hAnsi="Calibri"/>
                <w:b/>
                <w:i w:val="0"/>
                <w:color w:val="212121"/>
                <w:sz w:val="19"/>
              </w:rPr>
              <w:t>~70% (history of constipation in a south Indian cohort)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urge incontinence is a common, treatable medical condition — not an inevitable part of ageing — and seek care early rather than enduring leakage in silence.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the pattern (a sudden urge followed by leakage, frequency ≥ 8/day, waking to void) and keep a simple 3-day bladder diary before consulting.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it from stress leakage (which occurs on coughing, laughing or lifting without urgency), as the two need different treatments.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known bladder irritants — caffeine (coffee, tea, cola), carbonated and artificially sweetened drinks, alcohol, citrus and very spicy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fluids sensibly: about 1.5–2 litres spread through the day, tapering intake 2–3 hours before bed to limit night-time leaks, without severe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constipation and maintain a healthy weight, as both raise pressure on the bladder and worsen urgency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perineal hygiene and use barrier creams to prevent incontinence-associated dermatitis; seek prompt treatment of urinary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pelvic-floor muscle training (Kegel exercises) and use “urge-suppression” contractions to abort urgency and prevent leakage before moving to the toilet.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bladder-training programme, gradually extending the interval between voids to increase functional bladder capacity and calm urgency.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(5–10% of body weight) in overweight/obese patients, which measurably reduces urgency and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regular moderate activity such as brisk walking, avoiding high-impact exercise that provokes leakage until pelvic-floor strength improves.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supervised physiotherapy with biofeedback or electrical stimulation for those who struggle to isolate the pelvic floor.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the “Knack” — a pre-emptive pelvic-floor contraction — when a known trigger (arriving home, hearing running water) occurs.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urge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mixed incontinence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to under ~100–200 mg/day and cut back on aerated and artificially sweetened beverages that irritate the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fibre-rich diet (whole grains, millets such as ragi/jowar/bajra, pulses, fruits and vegetables) to prevent constipation and reduce pressure on the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low-glycaemic, balanced diet to control weight, blood sugar and metabolic syndrome — key drivers of urgency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dietary triggers such as citrus, tomatoes, chilli and very spicy foods if they reproducibly worsen urgency.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fluids evenly and avoid large volumes in a single sitting or late in the evening.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fluids, caffeine and alcohol in the 2–3 hours before bed to reduce night-time urgency and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legs in the late afternoon or use compression stockings if ankle swelling contributes to nocturnal polyuria.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drives nocturnal urine production and night-time waking.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Empty the bladder immediately before sleep as part of a fixed bedtime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safe, well-lit, clutter-free path to the toilet and consider a bedside commode to prevent night-time falls.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OSA or leg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Fall-risk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nicotine irritates and over-stimulates the detrusor and worsens urgency and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Quitting also reduces chronic cough, which raises intra-abdominal pressure and provokes both urge and stress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for higher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smoking is a major bladder-cancer risk, making any new haematuria an urgent red flag.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mixed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haematuria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ideally to no more than 7 drinks per week, as its diuretic and irritant effects aggravate urgency and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the evening to reduce night-time urine production and leaks.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binge drinking acutely worsens frequency, urgency and incontinence.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urge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prominent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coexisting anxiety and depression, which are strongly and bidirectionally linked to urge incontinence and worsen symptom bother.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(paced breathing, mindfulness) as part of urge-suppression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 behavioural therapy, which improves both mood and coping with urgency and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destigmatise the condition to reduce social withdrawal and encourage adherence to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suicidal ideation in severely affected patients, given the documented psychological burden of urge incontinence.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severe urge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withdrawn or elderly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0776079/" TargetMode="External"/><Relationship Id="rId10" Type="http://schemas.openxmlformats.org/officeDocument/2006/relationships/hyperlink" Target="https://www.dovepress.com/review-of-the-epidemiology-of-overactive-bladder-peer-reviewed-fulltext-article-RRU" TargetMode="External"/><Relationship Id="rId11" Type="http://schemas.openxmlformats.org/officeDocument/2006/relationships/hyperlink" Target="https://pubmed.ncbi.nlm.nih.gov/23671362/" TargetMode="External"/><Relationship Id="rId12" Type="http://schemas.openxmlformats.org/officeDocument/2006/relationships/hyperlink" Target="https://www.texilajournal.com/public-health/article/2887-prevalence-and-predictors" TargetMode="External"/><Relationship Id="rId13" Type="http://schemas.openxmlformats.org/officeDocument/2006/relationships/hyperlink" Target="https://pmc.ncbi.nlm.nih.gov/articles/PMC12372221/" TargetMode="External"/><Relationship Id="rId14" Type="http://schemas.openxmlformats.org/officeDocument/2006/relationships/hyperlink" Target="https://www.einj.org/journal/view.php?doi=10.5213%2Finj.2346014.007" TargetMode="External"/><Relationship Id="rId15" Type="http://schemas.openxmlformats.org/officeDocument/2006/relationships/hyperlink" Target="https://www.nature.com/articles/s41598-024-67326-w" TargetMode="External"/><Relationship Id="rId16" Type="http://schemas.openxmlformats.org/officeDocument/2006/relationships/hyperlink" Target="https://pmc.ncbi.nlm.nih.gov/articles/PMC11550778/" TargetMode="External"/><Relationship Id="rId17" Type="http://schemas.openxmlformats.org/officeDocument/2006/relationships/hyperlink" Target="https://www.pacehospital.com/overactive-bladder-symptoms-causes-prevention-trea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