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Neurogenic Bladder</w:t>
      </w:r>
    </w:p>
    <w:p>
      <w:pPr>
        <w:spacing w:before="0" w:after="160"/>
      </w:pPr>
      <w:r>
        <w:rPr>
          <w:rFonts w:ascii="Calibri" w:hAnsi="Calibri"/>
          <w:b/>
          <w:i w:val="0"/>
          <w:color w:val="212121"/>
          <w:sz w:val="22"/>
        </w:rPr>
        <w:t xml:space="preserve">AKA </w:t>
      </w:r>
      <w:r>
        <w:rPr>
          <w:rFonts w:ascii="Calibri" w:hAnsi="Calibri"/>
          <w:b w:val="0"/>
          <w:i w:val="0"/>
          <w:color w:val="212121"/>
          <w:sz w:val="22"/>
        </w:rPr>
        <w:t>i.e., Neurogenic Lower Urinary Tract Dysfunction (NLUTD), Neuropathic Bladder, Neurogenic Bladder Dysfunction, Neuro-bladder</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Neurogenic bladder is dysfunction of urinary storage and/or emptying that results from a lesion or disease of the nervous system controlling micturition — the brain, spinal cord, or peripheral (autonomic and somatic) nerves. Loss of the normal coordination between the central nervous system and the lower urinary tract produces either an overactive (spastic) bladder that fails to store, or an underactive (flaccid) bladder that fails to empty. Depending on the level of the neurological lesion, patients present with urgency, incontinence, incomplete emptying or retention, and — if bladder storage pressures stay high — progressive damage to the kidneys.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Neurogenic bladder is not a single primary disease but a common, under-recognised consequence of neurological conditions that carry a heavy burden in India — spinal cord injury, stroke, diabetes, multiple sclerosis, Parkinson's disease and congenital spinal defects. India contributes an estimated 15.57% of the global incidence of spinal cord injury and 13.22% of related years lived with disability, and 70–84% of people with spinal cord injury develop neurogenic bladder. With over 100 million adults living with diabetes in India (ICMR-INDIAB), where an estimated 50–80% develop diabetic bladder dysfunction over time, the population burden of neurogenic lower urinary tract dysfunction is very large, yet screening and long-term upper-tract surveillance remain limited.</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Neurogenic bladder is diagnosed by correlating a documented neurological lesion with characteristic lower urinary tract dysfunction, confirmed by urodynamic and imaging studies: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relevant neurological diagnosis or lesion (spinal cord injury, stroke, multiple sclerosis, Parkinson disease, diabetic autonomic neuropathy, spina bifida) together with corresponding storage or voiding lower urinary tract symptoms;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an elevated post-void residual urine volume (&gt; 100 mL, or &gt; 20% of the voided volume) on bladder scan or in-out catheterization, indicating incomplete emptying;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urodynamic evidence of detrusor overactivity, impaired bladder compliance, detrusor–sphincter dyssynergia, or an acontractile (flaccid) detrusor;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detrusor leak-point pressure or sustained storage pressure &gt; 40 cm H₂O, which identifies an “unsafe” high-pressure bladder at risk of upper-tract deterioration;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upper-tract imaging (ultrasound or CT) showing hydronephrosis, vesicoureteral reflux, bladder trabeculation or renal scarring; and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urinalysis with culture and renal function tests (serum creatinine, eGFR) to detect infection and declining kidney function.</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Neurogenic bladder can be described functionally (by the storage/voiding abnormality), anatomically (by the level of the neurological lesion), or by the older symptom-based Lapides system:</w:t>
      </w:r>
    </w:p>
    <w:p>
      <w:pPr>
        <w:spacing w:before="0" w:after="80"/>
      </w:pPr>
      <w:r>
        <w:rPr>
          <w:rFonts w:ascii="Calibri" w:hAnsi="Calibri"/>
          <w:b w:val="0"/>
          <w:i w:val="0"/>
          <w:color w:val="212121"/>
          <w:sz w:val="21"/>
        </w:rPr>
        <w:t>(1) Functional (bladder-behaviour) classification: the bladder is broadly either failing to store (overactive/spastic detrusor with small capacity and low compliance, causing urgency, frequency and incontinence) or failing to empty (underactive/acontractile detrusor, or detrusor–sphincter dyssynergia, causing retention and overflow) — or a combination of both.</w:t>
      </w:r>
    </w:p>
    <w:p>
      <w:pPr>
        <w:spacing w:before="0" w:after="80"/>
      </w:pPr>
      <w:r>
        <w:rPr>
          <w:rFonts w:ascii="Calibri" w:hAnsi="Calibri"/>
          <w:b w:val="0"/>
          <w:i w:val="0"/>
          <w:color w:val="212121"/>
          <w:sz w:val="21"/>
        </w:rPr>
        <w:t>(2) Lesion-level classification: suprapontine lesions (stroke, Parkinson disease, dementia) usually cause detrusor overactivity with preserved sphincter coordination; suprasacral (spinal) lesions between the pons and the sacral cord cause detrusor overactivity WITH detrusor–sphincter dyssynergia — the pattern most dangerous to the kidneys; and sacral / infrasacral lesions (conus medullaris, cauda equina, pelvic surgery, diabetic neuropathy) cause a flaccid, acontractile bladder with retention.</w:t>
      </w:r>
    </w:p>
    <w:p>
      <w:pPr>
        <w:spacing w:before="0" w:after="80"/>
      </w:pPr>
      <w:r>
        <w:rPr>
          <w:rFonts w:ascii="Calibri" w:hAnsi="Calibri"/>
          <w:b w:val="0"/>
          <w:i w:val="0"/>
          <w:color w:val="212121"/>
          <w:sz w:val="21"/>
        </w:rPr>
        <w:t>(3) Lapides classification (historical): sensory neurogenic, motor paralytic, uninhibited, reflex, and autonomous neurogenic bladder.</w:t>
      </w:r>
    </w:p>
    <w:p>
      <w:pPr>
        <w:spacing w:before="0" w:after="80"/>
      </w:pPr>
      <w:r>
        <w:rPr>
          <w:rFonts w:ascii="Calibri" w:hAnsi="Calibri"/>
          <w:b w:val="0"/>
          <w:i w:val="0"/>
          <w:color w:val="212121"/>
          <w:sz w:val="21"/>
        </w:rPr>
        <w:t>(4) International Continence Society framework: characterises the storage and voiding phases separately — detrusor function, urethral (sphincter) function, bladder sensation, capacity and compliance — to standardise urodynamic reporting.</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Spinal cord injury: Traumatic or non-traumatic cord lesions interrupt the spinobulbar micturition pathways; suprasacral injury produces detrusor overactivity with dyssynergia while sacral injury produces a flaccid bladder. Road-traffic accidents, then falls, are the leading causes in India.</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Stroke and other brain lesions: Damage to cortical and subcortical micturition centres removes descending inhibitory control, causing detrusor overactivity, urgency and urge incontinence.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Diabetic autonomic neuropathy (diabetic cystopathy): Chronic hyperglycaemia damages the sensory and autonomic nerves of the bladder, producing impaired fullness sensation, a large-capacity poorly contractile bladder, high residuals and retention.</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Multiple sclerosis and other demyelination: Demyelinating plaques in the spinal cord and brainstem disrupt micturition pathways, most commonly causing detrusor overactivity and dyssynergia.</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Congenital spinal dysraphism (spina bifida / meningomyelocele): Malformation of the sacral cord and nerve roots causes lifelong neurogenic bladder from infancy and is a major paediatric cause.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Parkinson's disease and neurodegeneration: Loss of basal-ganglia modulation of the pontine micturition centre causes detrusor overactivity, urgency and nocturia.</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Peripheral / pelvic nerve injury: Radical pelvic surgery (rectal, uterine, prostatic), pelvic fracture or cauda equina compression denervates the detrusor, producing an underactive, poorly emptying bladder.</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(young / middle-aged)</w:t>
            </w:r>
          </w:p>
        </w:tc>
        <w:tc>
          <w:tcPr>
            <w:tcW w:type="dxa" w:w="4276"/>
            <w:vAlign w:val="top"/>
          </w:tcPr>
          <w:p>
            <w:pPr>
              <w:spacing w:after="60" w:line="259" w:lineRule="auto"/>
            </w:pPr>
            <w:r>
              <w:rPr>
                <w:rFonts w:ascii="Calibri" w:hAnsi="Calibri"/>
                <w:b w:val="0"/>
                <w:i w:val="0"/>
                <w:color w:val="212121"/>
                <w:sz w:val="19"/>
              </w:rPr>
              <w:t>Spinal-cord-injury-related neurogenic bladder clusters in economically active young and middle-aged adults, because road-traffic and workplace/fall trauma — the leading causes in India — predominantly injure this group.</w:t>
            </w:r>
          </w:p>
          <w:p>
            <w:pPr>
              <w:spacing w:after="40" w:before="60" w:line="259" w:lineRule="auto"/>
            </w:pPr>
            <w:r>
              <w:rPr>
                <w:rFonts w:ascii="Calibri" w:hAnsi="Calibri"/>
                <w:b w:val="0"/>
                <w:i w:val="0"/>
                <w:color w:val="212121"/>
                <w:sz w:val="19"/>
              </w:rPr>
              <w:t>Spinal cord injury usually affects younger age groups with a male preponderance; the most common traumatic cause is road-traffic accident, followed by falls and sports injuries.</w:t>
            </w:r>
          </w:p>
          <w:p>
            <w:pPr>
              <w:spacing w:after="40" w:line="252" w:lineRule="auto"/>
            </w:pPr>
            <w:hyperlink r:id="rId9">
              <w:r>
                <w:rPr>
                  <w:rFonts w:ascii="Calibri" w:hAnsi="Calibri" w:cs="Calibri"/>
                  <w:sz w:val="18"/>
                  <w:color w:val="1155CC"/>
                  <w:u w:val="single"/>
                </w:rPr>
                <w:t xml:space="preserve">pubmed.ncbi.nlm.nih.gov/29752515</w:t>
              </w:r>
            </w:hyperlink>
          </w:p>
          <w:p>
            <w:pPr>
              <w:spacing w:before="60" w:after="40"/>
            </w:pPr>
            <w:r>
              <w:rPr>
                <w:rFonts w:ascii="Calibri" w:hAnsi="Calibri"/>
                <w:b w:val="0"/>
                <w:i w:val="0"/>
                <w:color w:val="5A5A5A"/>
                <w:sz w:val="18"/>
              </w:rPr>
              <w:t>#spinalcordinjury  #RTA  #youngadults  #trauma  #NLUTD</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In older adults neurogenic bladder arises mainly from stroke, Parkinson's disease, dementia and long-standing diabetes, often overlapping with age-related detrusor overactivity and prostatic obstruction, which complicates management.</w:t>
            </w:r>
          </w:p>
          <w:p>
            <w:pPr>
              <w:spacing w:after="40" w:before="60" w:line="259" w:lineRule="auto"/>
            </w:pPr>
            <w:r>
              <w:rPr>
                <w:rFonts w:ascii="Calibri" w:hAnsi="Calibri"/>
                <w:b w:val="0"/>
                <w:i w:val="0"/>
                <w:color w:val="212121"/>
                <w:sz w:val="19"/>
              </w:rPr>
              <w:t>The mean age of patients presenting with neurogenic bladder is about 62.5 years (SD 19.6).</w:t>
            </w:r>
          </w:p>
          <w:p>
            <w:pPr>
              <w:spacing w:after="40" w:line="252" w:lineRule="auto"/>
            </w:pPr>
            <w:hyperlink r:id="rId10">
              <w:r>
                <w:rPr>
                  <w:rFonts w:ascii="Calibri" w:hAnsi="Calibri" w:cs="Calibri"/>
                  <w:sz w:val="18"/>
                  <w:color w:val="1155CC"/>
                  <w:u w:val="single"/>
                </w:rPr>
                <w:t xml:space="preserve">ncbi.nlm.nih.gov — StatPearls: Neurogenic Bladder</w:t>
              </w:r>
            </w:hyperlink>
          </w:p>
          <w:p>
            <w:pPr>
              <w:spacing w:before="60" w:after="40"/>
            </w:pPr>
            <w:r>
              <w:rPr>
                <w:rFonts w:ascii="Calibri" w:hAnsi="Calibri"/>
                <w:b w:val="0"/>
                <w:i w:val="0"/>
                <w:color w:val="5A5A5A"/>
                <w:sz w:val="18"/>
              </w:rPr>
              <w:t>#elderly  #stroke  #parkinsons  #dementia  #detrusoroveractivity</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Men carry a higher burden of the commonest structural cause — traumatic spinal cord injury — owing to greater exposure to road-traffic, occupational and fall injuries, and later to prostatic obstruction that compounds emptying failure.</w:t>
            </w:r>
          </w:p>
          <w:p>
            <w:pPr>
              <w:spacing w:after="40" w:before="60" w:line="259" w:lineRule="auto"/>
            </w:pPr>
            <w:r>
              <w:rPr>
                <w:rFonts w:ascii="Calibri" w:hAnsi="Calibri"/>
                <w:b w:val="0"/>
                <w:i w:val="0"/>
                <w:color w:val="212121"/>
                <w:sz w:val="19"/>
              </w:rPr>
              <w:t>India contributes an estimated 15.57% of global spinal cord injury incidence and 13.22% of related years lived with disability, with a consistent male preponderance.</w:t>
            </w:r>
          </w:p>
          <w:p>
            <w:pPr>
              <w:spacing w:after="40" w:line="252" w:lineRule="auto"/>
            </w:pPr>
            <w:hyperlink r:id="rId11">
              <w:r>
                <w:rPr>
                  <w:rFonts w:ascii="Calibri" w:hAnsi="Calibri" w:cs="Calibri"/>
                  <w:sz w:val="18"/>
                  <w:color w:val="1155CC"/>
                  <w:u w:val="single"/>
                </w:rPr>
                <w:t xml:space="preserve">pubmed.ncbi.nlm.nih.gov/40820556</w:t>
              </w:r>
            </w:hyperlink>
          </w:p>
          <w:p>
            <w:pPr>
              <w:spacing w:before="60" w:after="40"/>
            </w:pPr>
            <w:r>
              <w:rPr>
                <w:rFonts w:ascii="Calibri" w:hAnsi="Calibri"/>
                <w:b w:val="0"/>
                <w:i w:val="0"/>
                <w:color w:val="5A5A5A"/>
                <w:sz w:val="18"/>
              </w:rPr>
              <w:t>#male  #SCIburden  #GBD  #India  #occupationalinjury</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Women are over-represented among multiple-sclerosis-related neurogenic bladder and among cases from obstetric / radical pelvic surgery injury to the pelvic autonomic nerves.</w:t>
            </w:r>
          </w:p>
          <w:p>
            <w:pPr>
              <w:spacing w:after="40" w:before="60" w:line="259" w:lineRule="auto"/>
            </w:pPr>
            <w:r>
              <w:rPr>
                <w:rFonts w:ascii="Calibri" w:hAnsi="Calibri"/>
                <w:b w:val="0"/>
                <w:i w:val="0"/>
                <w:color w:val="212121"/>
                <w:sz w:val="19"/>
              </w:rPr>
              <w:t>Multiple sclerosis, which is 2–3 times commoner in women, is being increasingly recognised in India and frequently causes neurogenic detrusor overactivity.</w:t>
            </w:r>
          </w:p>
          <w:p>
            <w:pPr>
              <w:spacing w:after="40" w:line="252" w:lineRule="auto"/>
            </w:pPr>
            <w:hyperlink r:id="rId12">
              <w:r>
                <w:rPr>
                  <w:rFonts w:ascii="Calibri" w:hAnsi="Calibri" w:cs="Calibri"/>
                  <w:sz w:val="18"/>
                  <w:color w:val="1155CC"/>
                  <w:u w:val="single"/>
                </w:rPr>
                <w:t xml:space="preserve">pubmed.ncbi.nlm.nih.gov/28495133</w:t>
              </w:r>
            </w:hyperlink>
          </w:p>
          <w:p>
            <w:pPr>
              <w:spacing w:before="60" w:after="40"/>
            </w:pPr>
            <w:r>
              <w:rPr>
                <w:rFonts w:ascii="Calibri" w:hAnsi="Calibri"/>
                <w:b w:val="0"/>
                <w:i w:val="0"/>
                <w:color w:val="5A5A5A"/>
                <w:sz w:val="18"/>
              </w:rPr>
              <w:t>#female  #multiplesclerosis  #pelvicsurgery  #detrusoroveractivity</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Ethnicity</w:t>
            </w:r>
          </w:p>
        </w:tc>
        <w:tc>
          <w:tcPr>
            <w:tcW w:type="dxa" w:w="2160"/>
            <w:vAlign w:val="top"/>
          </w:tcPr>
          <w:p>
            <w:pPr>
              <w:spacing w:after="40" w:before="0" w:line="259" w:lineRule="auto"/>
            </w:pPr>
            <w:r>
              <w:rPr>
                <w:rFonts w:ascii="Calibri" w:hAnsi="Calibri"/>
                <w:b w:val="0"/>
                <w:i w:val="0"/>
                <w:color w:val="212121"/>
                <w:sz w:val="19"/>
              </w:rPr>
              <w:t>Indian population (SCI burden)</w:t>
            </w:r>
          </w:p>
        </w:tc>
        <w:tc>
          <w:tcPr>
            <w:tcW w:type="dxa" w:w="4276"/>
            <w:vAlign w:val="top"/>
          </w:tcPr>
          <w:p>
            <w:pPr>
              <w:spacing w:after="60" w:line="259" w:lineRule="auto"/>
            </w:pPr>
            <w:r>
              <w:rPr>
                <w:rFonts w:ascii="Calibri" w:hAnsi="Calibri"/>
                <w:b w:val="0"/>
                <w:i w:val="0"/>
                <w:color w:val="212121"/>
                <w:sz w:val="19"/>
              </w:rPr>
              <w:t>India carries one of the largest absolute spinal-cord-injury burdens globally, and the lack of a national SCI registry means neurogenic bladder is frequently under-diagnosed and under-surveilled, especially in trauma survivors.</w:t>
            </w:r>
          </w:p>
          <w:p>
            <w:pPr>
              <w:spacing w:after="40" w:before="60" w:line="259" w:lineRule="auto"/>
            </w:pPr>
            <w:r>
              <w:rPr>
                <w:rFonts w:ascii="Calibri" w:hAnsi="Calibri"/>
                <w:b w:val="0"/>
                <w:i w:val="0"/>
                <w:color w:val="212121"/>
                <w:sz w:val="19"/>
              </w:rPr>
              <w:t>Autopsy and hospital series describe cervical spinal cord injury as a major cause of trauma fatality in India, with no national SCI database to guide long-term bladder care.</w:t>
            </w:r>
          </w:p>
          <w:p>
            <w:pPr>
              <w:spacing w:after="40" w:line="252" w:lineRule="auto"/>
            </w:pPr>
            <w:hyperlink r:id="rId13">
              <w:r>
                <w:rPr>
                  <w:rFonts w:ascii="Calibri" w:hAnsi="Calibri" w:cs="Calibri"/>
                  <w:sz w:val="18"/>
                  <w:color w:val="1155CC"/>
                  <w:u w:val="single"/>
                </w:rPr>
                <w:t xml:space="preserve">pubmed.ncbi.nlm.nih.gov/23831875</w:t>
              </w:r>
            </w:hyperlink>
          </w:p>
          <w:p>
            <w:pPr>
              <w:spacing w:before="60" w:after="40"/>
            </w:pPr>
            <w:r>
              <w:rPr>
                <w:rFonts w:ascii="Calibri" w:hAnsi="Calibri"/>
                <w:b w:val="0"/>
                <w:i w:val="0"/>
                <w:color w:val="5A5A5A"/>
                <w:sz w:val="18"/>
              </w:rPr>
              <w:t>#India  #SCI  #noregistry  #trauma  #underdiagnosed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Rural / agricultural</w:t>
            </w:r>
          </w:p>
        </w:tc>
        <w:tc>
          <w:tcPr>
            <w:tcW w:type="dxa" w:w="2160"/>
            <w:vAlign w:val="top"/>
          </w:tcPr>
          <w:p>
            <w:pPr>
              <w:spacing w:after="40" w:before="0" w:line="259" w:lineRule="auto"/>
            </w:pPr>
            <w:r>
              <w:rPr>
                <w:rFonts w:ascii="Calibri" w:hAnsi="Calibri"/>
                <w:b w:val="0"/>
                <w:i w:val="0"/>
                <w:color w:val="212121"/>
                <w:sz w:val="19"/>
              </w:rPr>
              <w:t>Rural North &amp; agricultural India</w:t>
            </w:r>
          </w:p>
        </w:tc>
        <w:tc>
          <w:tcPr>
            <w:tcW w:type="dxa" w:w="4276"/>
            <w:vAlign w:val="top"/>
          </w:tcPr>
          <w:p>
            <w:pPr>
              <w:spacing w:after="60" w:line="259" w:lineRule="auto"/>
            </w:pPr>
            <w:r>
              <w:rPr>
                <w:rFonts w:ascii="Calibri" w:hAnsi="Calibri"/>
                <w:b w:val="0"/>
                <w:i w:val="0"/>
                <w:color w:val="212121"/>
                <w:sz w:val="19"/>
              </w:rPr>
              <w:t>Rural and agricultural populations face high rates of fall-from-height (trees, rooftops) spinal injuries and, through periconceptional folate deficiency, a higher birth prevalence of neural-tube defects that cause congenital neurogenic bladder.</w:t>
            </w:r>
          </w:p>
          <w:p>
            <w:pPr>
              <w:spacing w:after="40" w:before="60" w:line="259" w:lineRule="auto"/>
            </w:pPr>
            <w:r>
              <w:rPr>
                <w:rFonts w:ascii="Calibri" w:hAnsi="Calibri"/>
                <w:b w:val="0"/>
                <w:i w:val="0"/>
                <w:color w:val="212121"/>
                <w:sz w:val="19"/>
              </w:rPr>
              <w:t>Indian studies report neural-tube-defect birth prevalence in the range of roughly 4–9 per 1,000 births, higher than many Western estimates.</w:t>
            </w:r>
          </w:p>
          <w:p>
            <w:pPr>
              <w:spacing w:after="40" w:line="252" w:lineRule="auto"/>
            </w:pPr>
            <w:hyperlink r:id="rId14">
              <w:r>
                <w:rPr>
                  <w:rFonts w:ascii="Calibri" w:hAnsi="Calibri" w:cs="Calibri"/>
                  <w:sz w:val="18"/>
                  <w:color w:val="1155CC"/>
                  <w:u w:val="single"/>
                </w:rPr>
                <w:t xml:space="preserve">pubmed.ncbi.nlm.nih.gov/23873811</w:t>
              </w:r>
            </w:hyperlink>
          </w:p>
          <w:p>
            <w:pPr>
              <w:spacing w:before="60" w:after="40"/>
            </w:pPr>
            <w:r>
              <w:rPr>
                <w:rFonts w:ascii="Calibri" w:hAnsi="Calibri"/>
                <w:b w:val="0"/>
                <w:i w:val="0"/>
                <w:color w:val="5A5A5A"/>
                <w:sz w:val="18"/>
              </w:rPr>
              <w:t>#rural  #neuraltubedefect  #spinabifida  #folate  #falls</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 / Immobility</w:t>
            </w:r>
          </w:p>
        </w:tc>
        <w:tc>
          <w:tcPr>
            <w:tcW w:type="dxa" w:w="2160"/>
            <w:vAlign w:val="top"/>
          </w:tcPr>
          <w:p>
            <w:pPr>
              <w:spacing w:after="40" w:before="0" w:line="259" w:lineRule="auto"/>
            </w:pPr>
            <w:r>
              <w:rPr>
                <w:rFonts w:ascii="Calibri" w:hAnsi="Calibri"/>
                <w:b w:val="0"/>
                <w:i w:val="0"/>
                <w:color w:val="212121"/>
                <w:sz w:val="19"/>
              </w:rPr>
              <w:t>Wheelchair-bound, bedridden, post-stroke, SCI</w:t>
            </w:r>
          </w:p>
        </w:tc>
        <w:tc>
          <w:tcPr>
            <w:tcW w:type="dxa" w:w="4276"/>
            <w:vAlign w:val="top"/>
          </w:tcPr>
          <w:p>
            <w:pPr>
              <w:spacing w:after="60" w:line="259" w:lineRule="auto"/>
            </w:pPr>
            <w:r>
              <w:rPr>
                <w:rFonts w:ascii="Calibri" w:hAnsi="Calibri"/>
                <w:b w:val="0"/>
                <w:i w:val="0"/>
                <w:color w:val="212121"/>
                <w:sz w:val="19"/>
              </w:rPr>
              <w:t>Prolonged immobility promotes urinary stasis, incomplete emptying, immobilisation hypercalciuria and pressure sores, sharply increasing the risk of recurrent infection and bladder or kidney stones — the leading complications of neurogenic bladder.</w:t>
            </w:r>
          </w:p>
          <w:p>
            <w:pPr>
              <w:spacing w:after="40" w:before="60" w:line="259" w:lineRule="auto"/>
            </w:pPr>
            <w:r>
              <w:rPr>
                <w:rFonts w:ascii="Calibri" w:hAnsi="Calibri"/>
                <w:b w:val="0"/>
                <w:i w:val="0"/>
                <w:color w:val="212121"/>
                <w:sz w:val="19"/>
              </w:rPr>
              <w:t>Recurrent urinary tract infection, urolithiasis and pyelonephritis are among the most common complications and, historically, a leading cause of death after spinal cord injury.</w:t>
            </w:r>
          </w:p>
          <w:p>
            <w:pPr>
              <w:spacing w:after="40" w:line="252" w:lineRule="auto"/>
            </w:pPr>
            <w:hyperlink r:id="rId10">
              <w:r>
                <w:rPr>
                  <w:rFonts w:ascii="Calibri" w:hAnsi="Calibri" w:cs="Calibri"/>
                  <w:sz w:val="18"/>
                  <w:color w:val="1155CC"/>
                  <w:u w:val="single"/>
                </w:rPr>
                <w:t xml:space="preserve">ncbi.nlm.nih.gov — StatPearls: Neurogenic Bladder</w:t>
              </w:r>
            </w:hyperlink>
          </w:p>
          <w:p>
            <w:pPr>
              <w:spacing w:before="60" w:after="40"/>
            </w:pPr>
            <w:r>
              <w:rPr>
                <w:rFonts w:ascii="Calibri" w:hAnsi="Calibri"/>
                <w:b w:val="0"/>
                <w:i w:val="0"/>
                <w:color w:val="5A5A5A"/>
                <w:sz w:val="18"/>
              </w:rPr>
              <w:t>#immobility  #stasis  #UTI  #stones  #pressuresores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Smokers, long-term catheter users</w:t>
            </w:r>
          </w:p>
        </w:tc>
        <w:tc>
          <w:tcPr>
            <w:tcW w:type="dxa" w:w="4276"/>
            <w:vAlign w:val="top"/>
          </w:tcPr>
          <w:p>
            <w:pPr>
              <w:spacing w:after="60" w:line="259" w:lineRule="auto"/>
            </w:pPr>
            <w:r>
              <w:rPr>
                <w:rFonts w:ascii="Calibri" w:hAnsi="Calibri"/>
                <w:b w:val="0"/>
                <w:i w:val="0"/>
                <w:color w:val="212121"/>
                <w:sz w:val="19"/>
              </w:rPr>
              <w:t>Smoking is associated with overactive-bladder and urgency symptoms, impairs neurological and wound recovery after stroke or spinal injury, and is the strongest risk factor for bladder cancer — a concern in patients with decades of indwelling catheterization.</w:t>
            </w:r>
          </w:p>
          <w:p>
            <w:pPr>
              <w:spacing w:before="60" w:after="40"/>
            </w:pPr>
            <w:r>
              <w:rPr>
                <w:rFonts w:ascii="Calibri" w:hAnsi="Calibri"/>
                <w:b w:val="0"/>
                <w:i w:val="0"/>
                <w:color w:val="5A5A5A"/>
                <w:sz w:val="18"/>
              </w:rPr>
              <w:t>#smoking  #overactivebladder  #bladdercancer  #recovery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Chronic heavy drinkers</w:t>
            </w:r>
          </w:p>
        </w:tc>
        <w:tc>
          <w:tcPr>
            <w:tcW w:type="dxa" w:w="4276"/>
            <w:vAlign w:val="top"/>
          </w:tcPr>
          <w:p>
            <w:pPr>
              <w:spacing w:after="60" w:line="259" w:lineRule="auto"/>
            </w:pPr>
            <w:r>
              <w:rPr>
                <w:rFonts w:ascii="Calibri" w:hAnsi="Calibri"/>
                <w:b w:val="0"/>
                <w:i w:val="0"/>
                <w:color w:val="212121"/>
                <w:sz w:val="19"/>
              </w:rPr>
              <w:t>Chronic heavy alcohol use causes peripheral and autonomic neuropathy that contributes to bladder sensory loss and poor emptying, while alcohol's diuretic effect acutely worsens urgency, frequency and incontinence.</w:t>
            </w:r>
          </w:p>
          <w:p>
            <w:pPr>
              <w:spacing w:before="60" w:after="40"/>
            </w:pPr>
            <w:r>
              <w:rPr>
                <w:rFonts w:ascii="Calibri" w:hAnsi="Calibri"/>
                <w:b w:val="0"/>
                <w:i w:val="0"/>
                <w:color w:val="5A5A5A"/>
                <w:sz w:val="18"/>
              </w:rPr>
              <w:t>#alcohol  #neuropathy  #diuresis  #urgency</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Folate intake</w:t>
            </w:r>
          </w:p>
        </w:tc>
        <w:tc>
          <w:tcPr>
            <w:tcW w:type="dxa" w:w="2160"/>
            <w:vAlign w:val="top"/>
          </w:tcPr>
          <w:p>
            <w:pPr>
              <w:spacing w:after="40" w:before="0" w:line="259" w:lineRule="auto"/>
            </w:pPr>
            <w:r>
              <w:rPr>
                <w:rFonts w:ascii="Calibri" w:hAnsi="Calibri"/>
                <w:b w:val="0"/>
                <w:i w:val="0"/>
                <w:color w:val="212121"/>
                <w:sz w:val="19"/>
              </w:rPr>
              <w:t>Women of reproductive age with low folate</w:t>
            </w:r>
          </w:p>
        </w:tc>
        <w:tc>
          <w:tcPr>
            <w:tcW w:type="dxa" w:w="4276"/>
            <w:vAlign w:val="top"/>
          </w:tcPr>
          <w:p>
            <w:pPr>
              <w:spacing w:after="60" w:line="259" w:lineRule="auto"/>
            </w:pPr>
            <w:r>
              <w:rPr>
                <w:rFonts w:ascii="Calibri" w:hAnsi="Calibri"/>
                <w:b w:val="0"/>
                <w:i w:val="0"/>
                <w:color w:val="212121"/>
                <w:sz w:val="19"/>
              </w:rPr>
              <w:t>Inadequate periconceptional folate is the key modifiable dietary driver of neural-tube defects (spina bifida, meningomyelocele), the commonest congenital cause of lifelong neurogenic bladder in children.</w:t>
            </w:r>
          </w:p>
          <w:p>
            <w:pPr>
              <w:spacing w:after="40" w:before="60" w:line="259" w:lineRule="auto"/>
            </w:pPr>
            <w:r>
              <w:rPr>
                <w:rFonts w:ascii="Calibri" w:hAnsi="Calibri"/>
                <w:b w:val="0"/>
                <w:i w:val="0"/>
                <w:color w:val="212121"/>
                <w:sz w:val="19"/>
              </w:rPr>
              <w:t>Adequate periconceptional folic acid can prevent a large proportion of neural-tube defects; Indian NTD birth prevalence is reported at roughly 4–9 per 1,000 births.</w:t>
            </w:r>
          </w:p>
          <w:p>
            <w:pPr>
              <w:spacing w:after="40" w:line="252" w:lineRule="auto"/>
            </w:pPr>
            <w:hyperlink r:id="rId14">
              <w:r>
                <w:rPr>
                  <w:rFonts w:ascii="Calibri" w:hAnsi="Calibri" w:cs="Calibri"/>
                  <w:sz w:val="18"/>
                  <w:color w:val="1155CC"/>
                  <w:u w:val="single"/>
                </w:rPr>
                <w:t xml:space="preserve">pubmed.ncbi.nlm.nih.gov/23873811</w:t>
              </w:r>
            </w:hyperlink>
          </w:p>
          <w:p>
            <w:pPr>
              <w:spacing w:before="60" w:after="40"/>
            </w:pPr>
            <w:r>
              <w:rPr>
                <w:rFonts w:ascii="Calibri" w:hAnsi="Calibri"/>
                <w:b w:val="0"/>
                <w:i w:val="0"/>
                <w:color w:val="5A5A5A"/>
                <w:sz w:val="18"/>
              </w:rPr>
              <w:t>#folate  #neuraltubedefect  #prevention  #pregnancy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Bladder irritants / fluids</w:t>
            </w:r>
          </w:p>
        </w:tc>
        <w:tc>
          <w:tcPr>
            <w:tcW w:type="dxa" w:w="2160"/>
            <w:vAlign w:val="top"/>
          </w:tcPr>
          <w:p>
            <w:pPr>
              <w:spacing w:after="40" w:before="0" w:line="259" w:lineRule="auto"/>
            </w:pPr>
            <w:r>
              <w:rPr>
                <w:rFonts w:ascii="Calibri" w:hAnsi="Calibri"/>
                <w:b w:val="0"/>
                <w:i w:val="0"/>
                <w:color w:val="212121"/>
                <w:sz w:val="19"/>
              </w:rPr>
              <w:t>High-caffeine, low-fibre, low-fluid diets</w:t>
            </w:r>
          </w:p>
        </w:tc>
        <w:tc>
          <w:tcPr>
            <w:tcW w:type="dxa" w:w="4276"/>
            <w:vAlign w:val="top"/>
          </w:tcPr>
          <w:p>
            <w:pPr>
              <w:spacing w:after="60" w:line="259" w:lineRule="auto"/>
            </w:pPr>
            <w:r>
              <w:rPr>
                <w:rFonts w:ascii="Calibri" w:hAnsi="Calibri"/>
                <w:b w:val="0"/>
                <w:i w:val="0"/>
                <w:color w:val="212121"/>
                <w:sz w:val="19"/>
              </w:rPr>
              <w:t>Caffeinated and carbonated drinks irritate the detrusor and worsen urgency and frequency, low-fibre diets cause constipation that impairs bladder emptying and can trigger autonomic dysreflexia, and inadequate fluid intake concentrates urine, raising UTI and stone risk.</w:t>
            </w:r>
          </w:p>
          <w:p>
            <w:pPr>
              <w:spacing w:before="60" w:after="40"/>
            </w:pPr>
            <w:r>
              <w:rPr>
                <w:rFonts w:ascii="Calibri" w:hAnsi="Calibri"/>
                <w:b w:val="0"/>
                <w:i w:val="0"/>
                <w:color w:val="5A5A5A"/>
                <w:sz w:val="18"/>
              </w:rPr>
              <w:t>#caffeine  #bladderirritant  #constipation  #hydration</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 genetic</w:t>
            </w:r>
          </w:p>
        </w:tc>
        <w:tc>
          <w:tcPr>
            <w:tcW w:type="dxa" w:w="2160"/>
            <w:vAlign w:val="top"/>
          </w:tcPr>
          <w:p>
            <w:pPr>
              <w:spacing w:after="40" w:before="0" w:line="259" w:lineRule="auto"/>
            </w:pPr>
            <w:r>
              <w:rPr>
                <w:rFonts w:ascii="Calibri" w:hAnsi="Calibri"/>
                <w:b w:val="0"/>
                <w:i w:val="0"/>
                <w:color w:val="212121"/>
                <w:sz w:val="19"/>
              </w:rPr>
              <w:t>Prior NTD pregnancy, MTHFR variants, hereditary spastic paraplegia</w:t>
            </w:r>
          </w:p>
        </w:tc>
        <w:tc>
          <w:tcPr>
            <w:tcW w:type="dxa" w:w="4276"/>
            <w:vAlign w:val="top"/>
          </w:tcPr>
          <w:p>
            <w:pPr>
              <w:spacing w:after="60" w:line="259" w:lineRule="auto"/>
            </w:pPr>
            <w:r>
              <w:rPr>
                <w:rFonts w:ascii="Calibri" w:hAnsi="Calibri"/>
                <w:b w:val="0"/>
                <w:i w:val="0"/>
                <w:color w:val="212121"/>
                <w:sz w:val="19"/>
              </w:rPr>
              <w:t>A previous neural-tube-defect pregnancy and folate-metabolism gene variants (e.g. MTHFR) raise recurrence risk of spina bifida, while rare hereditary spastic paraplegias and familial neurodegeneration produce neurogenic bladder through inherited cord and neuronal disease.</w:t>
            </w:r>
          </w:p>
          <w:p>
            <w:pPr>
              <w:spacing w:before="60" w:after="40"/>
            </w:pPr>
            <w:r>
              <w:rPr>
                <w:rFonts w:ascii="Calibri" w:hAnsi="Calibri"/>
                <w:b w:val="0"/>
                <w:i w:val="0"/>
                <w:color w:val="5A5A5A"/>
                <w:sz w:val="18"/>
              </w:rPr>
              <w:t>#familyhistory  #MTHFR  #spinabifida  #hereditary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Patients with long-standing / poorly controlled diabetes</w:t>
            </w:r>
          </w:p>
        </w:tc>
        <w:tc>
          <w:tcPr>
            <w:tcW w:type="dxa" w:w="4276"/>
            <w:vAlign w:val="top"/>
          </w:tcPr>
          <w:p>
            <w:pPr>
              <w:spacing w:after="60" w:line="259" w:lineRule="auto"/>
            </w:pPr>
            <w:r>
              <w:rPr>
                <w:rFonts w:ascii="Calibri" w:hAnsi="Calibri"/>
                <w:b w:val="0"/>
                <w:i w:val="0"/>
                <w:color w:val="212121"/>
                <w:sz w:val="19"/>
              </w:rPr>
              <w:t>Diabetic autonomic neuropathy damages bladder afferents and detrusor innervation, causing impaired sensation, a large hypocontractile bladder, high post-void residuals and retention (diabetic cystopathy) — an enormous burden given India's diabetes epidemic.</w:t>
            </w:r>
          </w:p>
          <w:p>
            <w:pPr>
              <w:spacing w:after="40" w:before="60" w:line="259" w:lineRule="auto"/>
            </w:pPr>
            <w:r>
              <w:rPr>
                <w:rFonts w:ascii="Calibri" w:hAnsi="Calibri"/>
                <w:b w:val="0"/>
                <w:i w:val="0"/>
                <w:color w:val="212121"/>
                <w:sz w:val="19"/>
              </w:rPr>
              <w:t>An estimated 50–80% of patients with diabetes develop diabetic bladder dysfunction over the course of their disease.</w:t>
            </w:r>
          </w:p>
          <w:p>
            <w:pPr>
              <w:spacing w:after="40" w:line="252" w:lineRule="auto"/>
            </w:pPr>
            <w:hyperlink r:id="rId15">
              <w:r>
                <w:rPr>
                  <w:rFonts w:ascii="Calibri" w:hAnsi="Calibri" w:cs="Calibri"/>
                  <w:sz w:val="18"/>
                  <w:color w:val="1155CC"/>
                  <w:u w:val="single"/>
                </w:rPr>
                <w:t xml:space="preserve">pubmed.ncbi.nlm.nih.gov/36505062</w:t>
              </w:r>
            </w:hyperlink>
          </w:p>
          <w:p>
            <w:pPr>
              <w:spacing w:before="60" w:after="40"/>
            </w:pPr>
            <w:r>
              <w:rPr>
                <w:rFonts w:ascii="Calibri" w:hAnsi="Calibri"/>
                <w:b w:val="0"/>
                <w:i w:val="0"/>
                <w:color w:val="5A5A5A"/>
                <w:sz w:val="18"/>
              </w:rPr>
              <w:t>#diabetes  #diabeticcystopathy  #autonomicneuropathy  #retention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Spinal cord injury</w:t>
            </w:r>
          </w:p>
        </w:tc>
        <w:tc>
          <w:tcPr>
            <w:tcW w:type="dxa" w:w="2160"/>
            <w:vAlign w:val="top"/>
          </w:tcPr>
          <w:p>
            <w:pPr>
              <w:spacing w:after="40" w:before="0" w:line="259" w:lineRule="auto"/>
            </w:pPr>
            <w:r>
              <w:rPr>
                <w:rFonts w:ascii="Calibri" w:hAnsi="Calibri"/>
                <w:b w:val="0"/>
                <w:i w:val="0"/>
                <w:color w:val="212121"/>
                <w:sz w:val="19"/>
              </w:rPr>
              <w:t>Patients with traumatic or non-traumatic SCI</w:t>
            </w:r>
          </w:p>
        </w:tc>
        <w:tc>
          <w:tcPr>
            <w:tcW w:type="dxa" w:w="4276"/>
            <w:vAlign w:val="top"/>
          </w:tcPr>
          <w:p>
            <w:pPr>
              <w:spacing w:after="60" w:line="259" w:lineRule="auto"/>
            </w:pPr>
            <w:r>
              <w:rPr>
                <w:rFonts w:ascii="Calibri" w:hAnsi="Calibri"/>
                <w:b w:val="0"/>
                <w:i w:val="0"/>
                <w:color w:val="212121"/>
                <w:sz w:val="19"/>
              </w:rPr>
              <w:t>Spinal cord injury is the archetypal cause: suprasacral injury produces detrusor overactivity with detrusor–sphincter dyssynergia and dangerously high storage pressures, while sacral injury produces a flaccid, retentive bladder.</w:t>
            </w:r>
          </w:p>
          <w:p>
            <w:pPr>
              <w:spacing w:after="40" w:before="60" w:line="259" w:lineRule="auto"/>
            </w:pPr>
            <w:r>
              <w:rPr>
                <w:rFonts w:ascii="Calibri" w:hAnsi="Calibri"/>
                <w:b w:val="0"/>
                <w:i w:val="0"/>
                <w:color w:val="212121"/>
                <w:sz w:val="19"/>
              </w:rPr>
              <w:t>About 70–84% of people with spinal cord injury develop neurogenic bladder dysfunction.</w:t>
            </w:r>
          </w:p>
          <w:p>
            <w:pPr>
              <w:spacing w:after="40" w:line="252" w:lineRule="auto"/>
            </w:pPr>
            <w:hyperlink r:id="rId10">
              <w:r>
                <w:rPr>
                  <w:rFonts w:ascii="Calibri" w:hAnsi="Calibri" w:cs="Calibri"/>
                  <w:sz w:val="18"/>
                  <w:color w:val="1155CC"/>
                  <w:u w:val="single"/>
                </w:rPr>
                <w:t xml:space="preserve">ncbi.nlm.nih.gov — StatPearls: Neurogenic Bladder</w:t>
              </w:r>
            </w:hyperlink>
          </w:p>
          <w:p>
            <w:pPr>
              <w:spacing w:before="60" w:after="40"/>
            </w:pPr>
            <w:r>
              <w:rPr>
                <w:rFonts w:ascii="Calibri" w:hAnsi="Calibri"/>
                <w:b w:val="0"/>
                <w:i w:val="0"/>
                <w:color w:val="5A5A5A"/>
                <w:sz w:val="18"/>
              </w:rPr>
              <w:t>#spinalcordinjury  #dyssynergia  #highpressure  #NLUTD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Multiple sclerosis</w:t>
            </w:r>
          </w:p>
        </w:tc>
        <w:tc>
          <w:tcPr>
            <w:tcW w:type="dxa" w:w="2160"/>
            <w:vAlign w:val="top"/>
          </w:tcPr>
          <w:p>
            <w:pPr>
              <w:spacing w:after="40" w:before="0" w:line="259" w:lineRule="auto"/>
            </w:pPr>
            <w:r>
              <w:rPr>
                <w:rFonts w:ascii="Calibri" w:hAnsi="Calibri"/>
                <w:b w:val="0"/>
                <w:i w:val="0"/>
                <w:color w:val="212121"/>
                <w:sz w:val="19"/>
              </w:rPr>
              <w:t>Patients with multiple sclerosis</w:t>
            </w:r>
          </w:p>
        </w:tc>
        <w:tc>
          <w:tcPr>
            <w:tcW w:type="dxa" w:w="4276"/>
            <w:vAlign w:val="top"/>
          </w:tcPr>
          <w:p>
            <w:pPr>
              <w:spacing w:after="60" w:line="259" w:lineRule="auto"/>
            </w:pPr>
            <w:r>
              <w:rPr>
                <w:rFonts w:ascii="Calibri" w:hAnsi="Calibri"/>
                <w:b w:val="0"/>
                <w:i w:val="0"/>
                <w:color w:val="212121"/>
                <w:sz w:val="19"/>
              </w:rPr>
              <w:t>Demyelinating plaques in the cord and brainstem disrupt micturition control, making lower urinary tract dysfunction one of the most frequent and disabling features of MS.</w:t>
            </w:r>
          </w:p>
          <w:p>
            <w:pPr>
              <w:spacing w:after="40" w:before="60" w:line="259" w:lineRule="auto"/>
            </w:pPr>
            <w:r>
              <w:rPr>
                <w:rFonts w:ascii="Calibri" w:hAnsi="Calibri"/>
                <w:b w:val="0"/>
                <w:i w:val="0"/>
                <w:color w:val="212121"/>
                <w:sz w:val="19"/>
              </w:rPr>
              <w:t>Lower urinary tract dysfunction affects 40–90% of people with MS, with detrusor hyperreflexia (overactivity) in 50–90%.</w:t>
            </w:r>
          </w:p>
          <w:p>
            <w:pPr>
              <w:spacing w:after="40" w:line="252" w:lineRule="auto"/>
            </w:pPr>
            <w:hyperlink r:id="rId10">
              <w:r>
                <w:rPr>
                  <w:rFonts w:ascii="Calibri" w:hAnsi="Calibri" w:cs="Calibri"/>
                  <w:sz w:val="18"/>
                  <w:color w:val="1155CC"/>
                  <w:u w:val="single"/>
                </w:rPr>
                <w:t xml:space="preserve">ncbi.nlm.nih.gov — StatPearls: Neurogenic Bladder</w:t>
              </w:r>
            </w:hyperlink>
          </w:p>
          <w:p>
            <w:pPr>
              <w:spacing w:before="60" w:after="40"/>
            </w:pPr>
            <w:r>
              <w:rPr>
                <w:rFonts w:ascii="Calibri" w:hAnsi="Calibri"/>
                <w:b w:val="0"/>
                <w:i w:val="0"/>
                <w:color w:val="5A5A5A"/>
                <w:sz w:val="18"/>
              </w:rPr>
              <w:t>#multiplesclerosis  #detrusorhyperreflexia  #demyelination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Stroke</w:t>
            </w:r>
          </w:p>
        </w:tc>
        <w:tc>
          <w:tcPr>
            <w:tcW w:type="dxa" w:w="2160"/>
            <w:vAlign w:val="top"/>
          </w:tcPr>
          <w:p>
            <w:pPr>
              <w:spacing w:after="40" w:before="0" w:line="259" w:lineRule="auto"/>
            </w:pPr>
            <w:r>
              <w:rPr>
                <w:rFonts w:ascii="Calibri" w:hAnsi="Calibri"/>
                <w:b w:val="0"/>
                <w:i w:val="0"/>
                <w:color w:val="212121"/>
                <w:sz w:val="19"/>
              </w:rPr>
              <w:t>Post-stroke patients</w:t>
            </w:r>
          </w:p>
        </w:tc>
        <w:tc>
          <w:tcPr>
            <w:tcW w:type="dxa" w:w="4276"/>
            <w:vAlign w:val="top"/>
          </w:tcPr>
          <w:p>
            <w:pPr>
              <w:spacing w:after="60" w:line="259" w:lineRule="auto"/>
            </w:pPr>
            <w:r>
              <w:rPr>
                <w:rFonts w:ascii="Calibri" w:hAnsi="Calibri"/>
                <w:b w:val="0"/>
                <w:i w:val="0"/>
                <w:color w:val="212121"/>
                <w:sz w:val="19"/>
              </w:rPr>
              <w:t>Cortical and subcortical stroke removes inhibitory control of the pontine micturition centre, producing detrusor overactivity and urge incontinence; early post-stroke incontinence also marks a poorer functional prognosis.</w:t>
            </w:r>
          </w:p>
          <w:p>
            <w:pPr>
              <w:spacing w:after="40" w:before="60" w:line="259" w:lineRule="auto"/>
            </w:pPr>
            <w:r>
              <w:rPr>
                <w:rFonts w:ascii="Calibri" w:hAnsi="Calibri"/>
                <w:b w:val="0"/>
                <w:i w:val="0"/>
                <w:color w:val="212121"/>
                <w:sz w:val="19"/>
              </w:rPr>
              <w:t>Lower urinary tract dysfunction is reported in about 14–53% of patients with brain lesions such as stroke.</w:t>
            </w:r>
          </w:p>
          <w:p>
            <w:pPr>
              <w:spacing w:after="40" w:line="252" w:lineRule="auto"/>
            </w:pPr>
            <w:hyperlink r:id="rId16">
              <w:r>
                <w:rPr>
                  <w:rFonts w:ascii="Calibri" w:hAnsi="Calibri" w:cs="Calibri"/>
                  <w:sz w:val="18"/>
                  <w:color w:val="1155CC"/>
                  <w:u w:val="single"/>
                </w:rPr>
                <w:t xml:space="preserve">pubmed.ncbi.nlm.nih.gov/26003249</w:t>
              </w:r>
            </w:hyperlink>
          </w:p>
          <w:p>
            <w:pPr>
              <w:spacing w:before="60" w:after="40"/>
            </w:pPr>
            <w:r>
              <w:rPr>
                <w:rFonts w:ascii="Calibri" w:hAnsi="Calibri"/>
                <w:b w:val="0"/>
                <w:i w:val="0"/>
                <w:color w:val="5A5A5A"/>
                <w:sz w:val="18"/>
              </w:rPr>
              <w:t>#stroke  #urgeincontinence  #detrusoroveractivity  #prognosis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Parkinson's disease</w:t>
            </w:r>
          </w:p>
        </w:tc>
        <w:tc>
          <w:tcPr>
            <w:tcW w:type="dxa" w:w="2160"/>
            <w:vAlign w:val="top"/>
          </w:tcPr>
          <w:p>
            <w:pPr>
              <w:spacing w:after="40" w:before="0" w:line="259" w:lineRule="auto"/>
            </w:pPr>
            <w:r>
              <w:rPr>
                <w:rFonts w:ascii="Calibri" w:hAnsi="Calibri"/>
                <w:b w:val="0"/>
                <w:i w:val="0"/>
                <w:color w:val="212121"/>
                <w:sz w:val="19"/>
              </w:rPr>
              <w:t>Patients with Parkinson's disease</w:t>
            </w:r>
          </w:p>
        </w:tc>
        <w:tc>
          <w:tcPr>
            <w:tcW w:type="dxa" w:w="4276"/>
            <w:vAlign w:val="top"/>
          </w:tcPr>
          <w:p>
            <w:pPr>
              <w:spacing w:after="60" w:line="259" w:lineRule="auto"/>
            </w:pPr>
            <w:r>
              <w:rPr>
                <w:rFonts w:ascii="Calibri" w:hAnsi="Calibri"/>
                <w:b w:val="0"/>
                <w:i w:val="0"/>
                <w:color w:val="212121"/>
                <w:sz w:val="19"/>
              </w:rPr>
              <w:t>Loss of basal-ganglia modulation of the micturition reflex causes detrusor overactivity with urgency, frequency and troublesome nocturia, contributing to falls in the elderly.</w:t>
            </w:r>
          </w:p>
          <w:p>
            <w:pPr>
              <w:spacing w:after="40" w:before="60" w:line="259" w:lineRule="auto"/>
            </w:pPr>
            <w:r>
              <w:rPr>
                <w:rFonts w:ascii="Calibri" w:hAnsi="Calibri"/>
                <w:b w:val="0"/>
                <w:i w:val="0"/>
                <w:color w:val="212121"/>
                <w:sz w:val="19"/>
              </w:rPr>
              <w:t>Bladder dysfunction affects an estimated 37–72% of people with Parkinson's disease.</w:t>
            </w:r>
          </w:p>
          <w:p>
            <w:pPr>
              <w:spacing w:after="40" w:line="252" w:lineRule="auto"/>
            </w:pPr>
            <w:hyperlink r:id="rId10">
              <w:r>
                <w:rPr>
                  <w:rFonts w:ascii="Calibri" w:hAnsi="Calibri" w:cs="Calibri"/>
                  <w:sz w:val="18"/>
                  <w:color w:val="1155CC"/>
                  <w:u w:val="single"/>
                </w:rPr>
                <w:t xml:space="preserve">ncbi.nlm.nih.gov — StatPearls: Neurogenic Bladder</w:t>
              </w:r>
            </w:hyperlink>
          </w:p>
          <w:p>
            <w:pPr>
              <w:spacing w:before="60" w:after="40"/>
            </w:pPr>
            <w:r>
              <w:rPr>
                <w:rFonts w:ascii="Calibri" w:hAnsi="Calibri"/>
                <w:b w:val="0"/>
                <w:i w:val="0"/>
                <w:color w:val="5A5A5A"/>
                <w:sz w:val="18"/>
              </w:rPr>
              <w:t>#parkinsons  #nocturia  #urgency  #falls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Spina bifida</w:t>
            </w:r>
          </w:p>
        </w:tc>
        <w:tc>
          <w:tcPr>
            <w:tcW w:type="dxa" w:w="2160"/>
            <w:vAlign w:val="top"/>
          </w:tcPr>
          <w:p>
            <w:pPr>
              <w:spacing w:after="40" w:before="0" w:line="259" w:lineRule="auto"/>
            </w:pPr>
            <w:r>
              <w:rPr>
                <w:rFonts w:ascii="Calibri" w:hAnsi="Calibri"/>
                <w:b w:val="0"/>
                <w:i w:val="0"/>
                <w:color w:val="212121"/>
                <w:sz w:val="19"/>
              </w:rPr>
              <w:t>Children &amp; adults with spina bifida / meningomyelocele</w:t>
            </w:r>
          </w:p>
        </w:tc>
        <w:tc>
          <w:tcPr>
            <w:tcW w:type="dxa" w:w="4276"/>
            <w:vAlign w:val="top"/>
          </w:tcPr>
          <w:p>
            <w:pPr>
              <w:spacing w:after="60" w:line="259" w:lineRule="auto"/>
            </w:pPr>
            <w:r>
              <w:rPr>
                <w:rFonts w:ascii="Calibri" w:hAnsi="Calibri"/>
                <w:b w:val="0"/>
                <w:i w:val="0"/>
                <w:color w:val="212121"/>
                <w:sz w:val="19"/>
              </w:rPr>
              <w:t>Congenital dysraphism damages the sacral cord and roots, producing neurogenic bladder from birth with high risk of reflux and renal scarring if pressures are not controlled early.</w:t>
            </w:r>
          </w:p>
          <w:p>
            <w:pPr>
              <w:spacing w:after="40" w:before="60" w:line="259" w:lineRule="auto"/>
            </w:pPr>
            <w:r>
              <w:rPr>
                <w:rFonts w:ascii="Calibri" w:hAnsi="Calibri"/>
                <w:b w:val="0"/>
                <w:i w:val="0"/>
                <w:color w:val="212121"/>
                <w:sz w:val="19"/>
              </w:rPr>
              <w:t>Around 60.9% of adults with spina bifida experience urinary incontinence.</w:t>
            </w:r>
          </w:p>
          <w:p>
            <w:pPr>
              <w:spacing w:after="40" w:line="252" w:lineRule="auto"/>
            </w:pPr>
            <w:hyperlink r:id="rId10">
              <w:r>
                <w:rPr>
                  <w:rFonts w:ascii="Calibri" w:hAnsi="Calibri" w:cs="Calibri"/>
                  <w:sz w:val="18"/>
                  <w:color w:val="1155CC"/>
                  <w:u w:val="single"/>
                </w:rPr>
                <w:t xml:space="preserve">ncbi.nlm.nih.gov — StatPearls: Neurogenic Bladder</w:t>
              </w:r>
            </w:hyperlink>
          </w:p>
          <w:p>
            <w:pPr>
              <w:spacing w:before="60" w:after="40"/>
            </w:pPr>
            <w:r>
              <w:rPr>
                <w:rFonts w:ascii="Calibri" w:hAnsi="Calibri"/>
                <w:b w:val="0"/>
                <w:i w:val="0"/>
                <w:color w:val="5A5A5A"/>
                <w:sz w:val="18"/>
              </w:rPr>
              <w:t>#spinabifida  #meningomyelocele  #congenital  #vesicoureteralreflux</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Immobility and prolonged bedrest after spinal injury or stroke promote urinary stasis, immobilisation hypercalciuria, stones and infection, whereas mobilisation, timed voiding and pelvic-floor rehabilitation improve continence outcomes.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Periconceptional folate deficiency raises neural-tube-defect risk (a leading congenital cause), and low-fibre diets cause constipation that impairs bladder emptying and can precipitate autonomic dysreflexia.</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Nocturnal detrusor overactivity and nocturnal polyuria cause nocturia and fragmented sleep; poor sleep in turn heightens perception of overactive-bladder symptoms.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is associated with overactive-bladder and urgency symptoms, impairs neurological and wound recovery, and is the leading risk factor for bladder cancer in long-term catheter users.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Chronic heavy alcohol use causes peripheral and autonomic neuropathy contributing to bladder dysfunction, and its diuretic effect acutely worsens urgency and incontinence.</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Incontinence and catheter dependence commonly cause depression, anxiety and social withdrawal, while psychological stress amplifies overactive-bladder symptoms through the brain–bladder axis.</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Fluid intake directly determines urine volume and thus the risk of infection, stones and incontinence; both excessive bolus intake and chronic dehydration worsen neurogenic bladder management, so individualised fluid targets are central.</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Caffeine is a bladder irritant and diuretic that worsens urgency, frequency and detrusor overactivity; reduction is a first-line behavioural measure.</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Perineal and catheter (clean intermittent catheterization) hygiene critically determines the risk of recurrent urinary tract infection, the single most common complication of neurogenic bladder.</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 distended or infected bladder, a blocked catheter or constipation are classic triggers of autonomic dysreflexia in cord lesions at or above T6 — a hypertensive emergency — and precipitate breakthrough incontinence and reflex leakage.</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Voiding position influences emptying efficiency: an upright or seated posture and pelvic positioning aid bladder emptying and assisted (Credé/Valsalva) voiding, whereas a supine bedridden state promotes stasis and residual urine.</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Post-void residual (PVR) volume</w:t>
            </w:r>
          </w:p>
        </w:tc>
        <w:tc>
          <w:tcPr>
            <w:tcW w:type="dxa" w:w="1655"/>
            <w:vAlign w:val="top"/>
          </w:tcPr>
          <w:p>
            <w:pPr>
              <w:spacing w:after="40" w:before="0" w:line="259" w:lineRule="auto"/>
            </w:pPr>
            <w:r>
              <w:rPr>
                <w:rFonts w:ascii="Calibri" w:hAnsi="Calibri"/>
                <w:b w:val="0"/>
                <w:i w:val="0"/>
                <w:color w:val="212121"/>
                <w:sz w:val="19"/>
              </w:rPr>
              <w:t>Adults with neurogenic bladder</w:t>
            </w:r>
          </w:p>
        </w:tc>
        <w:tc>
          <w:tcPr>
            <w:tcW w:type="dxa" w:w="1512"/>
            <w:vAlign w:val="top"/>
          </w:tcPr>
          <w:p>
            <w:pPr>
              <w:spacing w:after="40" w:before="0" w:line="259" w:lineRule="auto"/>
            </w:pPr>
            <w:r>
              <w:rPr>
                <w:rFonts w:ascii="Calibri" w:hAnsi="Calibri"/>
                <w:b w:val="0"/>
                <w:i w:val="0"/>
                <w:color w:val="212121"/>
                <w:sz w:val="19"/>
              </w:rPr>
              <w:t>&lt; 50–100 mL</w:t>
            </w:r>
          </w:p>
        </w:tc>
        <w:tc>
          <w:tcPr>
            <w:tcW w:type="dxa" w:w="1512"/>
            <w:vAlign w:val="top"/>
          </w:tcPr>
          <w:p>
            <w:pPr>
              <w:spacing w:after="40" w:before="0" w:line="259" w:lineRule="auto"/>
            </w:pPr>
            <w:r>
              <w:rPr>
                <w:rFonts w:ascii="Calibri" w:hAnsi="Calibri"/>
                <w:b w:val="0"/>
                <w:i w:val="0"/>
                <w:color w:val="212121"/>
                <w:sz w:val="19"/>
              </w:rPr>
              <w:t>&gt; 100 mL or &gt; 20% of voided volume</w:t>
            </w:r>
          </w:p>
        </w:tc>
        <w:tc>
          <w:tcPr>
            <w:tcW w:type="dxa" w:w="1468"/>
            <w:vAlign w:val="top"/>
          </w:tcPr>
          <w:p>
            <w:pPr>
              <w:spacing w:after="60" w:line="259" w:lineRule="auto"/>
            </w:pPr>
            <w:r>
              <w:rPr>
                <w:rFonts w:ascii="Calibri" w:hAnsi="Calibri"/>
                <w:b w:val="0"/>
                <w:i w:val="0"/>
                <w:color w:val="212121"/>
                <w:sz w:val="19"/>
              </w:rPr>
              <w:t>Elevated PVR indicates incomplete emptying and guides clean intermittent catheterization.</w:t>
            </w:r>
          </w:p>
          <w:p>
            <w:pPr>
              <w:spacing w:after="40" w:line="252" w:lineRule="auto"/>
            </w:pPr>
            <w:hyperlink r:id="rId10">
              <w:r>
                <w:rPr>
                  <w:rFonts w:ascii="Calibri" w:hAnsi="Calibri" w:cs="Calibri"/>
                  <w:sz w:val="18"/>
                  <w:color w:val="1155CC"/>
                  <w:u w:val="single"/>
                </w:rPr>
                <w:t xml:space="preserve">https://www.ncbi.nlm.nih.gov/books/NBK560617/</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Daily fluid intake</w:t>
            </w:r>
          </w:p>
        </w:tc>
        <w:tc>
          <w:tcPr>
            <w:tcW w:type="dxa" w:w="1655"/>
            <w:vAlign w:val="top"/>
          </w:tcPr>
          <w:p>
            <w:pPr>
              <w:spacing w:after="40" w:before="0" w:line="259" w:lineRule="auto"/>
            </w:pPr>
            <w:r>
              <w:rPr>
                <w:rFonts w:ascii="Calibri" w:hAnsi="Calibri"/>
                <w:b w:val="0"/>
                <w:i w:val="0"/>
                <w:color w:val="212121"/>
                <w:sz w:val="19"/>
              </w:rPr>
              <w:t>Neurogenic bladder patients</w:t>
            </w:r>
          </w:p>
        </w:tc>
        <w:tc>
          <w:tcPr>
            <w:tcW w:type="dxa" w:w="1512"/>
            <w:vAlign w:val="top"/>
          </w:tcPr>
          <w:p>
            <w:pPr>
              <w:spacing w:after="40" w:before="0" w:line="259" w:lineRule="auto"/>
            </w:pPr>
            <w:r>
              <w:rPr>
                <w:rFonts w:ascii="Calibri" w:hAnsi="Calibri"/>
                <w:b w:val="0"/>
                <w:i w:val="0"/>
                <w:color w:val="212121"/>
                <w:sz w:val="19"/>
              </w:rPr>
              <w:t>~1.5–2 L/day spread evenly</w:t>
            </w:r>
          </w:p>
        </w:tc>
        <w:tc>
          <w:tcPr>
            <w:tcW w:type="dxa" w:w="1512"/>
            <w:vAlign w:val="top"/>
          </w:tcPr>
          <w:p>
            <w:pPr>
              <w:spacing w:after="40" w:before="0" w:line="259" w:lineRule="auto"/>
            </w:pPr>
            <w:r>
              <w:rPr>
                <w:rFonts w:ascii="Calibri" w:hAnsi="Calibri"/>
                <w:b w:val="0"/>
                <w:i w:val="0"/>
                <w:color w:val="212121"/>
                <w:sz w:val="19"/>
              </w:rPr>
              <w:t>&lt; 1 L/day (concentrated urine) or large boluses</w:t>
            </w:r>
          </w:p>
        </w:tc>
        <w:tc>
          <w:tcPr>
            <w:tcW w:type="dxa" w:w="1468"/>
            <w:vAlign w:val="top"/>
          </w:tcPr>
          <w:p>
            <w:pPr>
              <w:spacing w:after="40" w:before="0" w:line="259" w:lineRule="auto"/>
            </w:pPr>
            <w:r>
              <w:rPr>
                <w:rFonts w:ascii="Calibri" w:hAnsi="Calibri"/>
                <w:b w:val="0"/>
                <w:i w:val="0"/>
                <w:color w:val="212121"/>
                <w:sz w:val="19"/>
              </w:rPr>
              <w:t>Individualised to balance infection/stone prevention against continence.</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Detrusor / bladder storage pressure (DLPP)</w:t>
            </w:r>
          </w:p>
        </w:tc>
        <w:tc>
          <w:tcPr>
            <w:tcW w:type="dxa" w:w="1655"/>
            <w:vAlign w:val="top"/>
          </w:tcPr>
          <w:p>
            <w:pPr>
              <w:spacing w:after="40" w:before="0" w:line="259" w:lineRule="auto"/>
            </w:pPr>
            <w:r>
              <w:rPr>
                <w:rFonts w:ascii="Calibri" w:hAnsi="Calibri"/>
                <w:b w:val="0"/>
                <w:i w:val="0"/>
                <w:color w:val="212121"/>
                <w:sz w:val="19"/>
              </w:rPr>
              <w:t>Suprasacral &amp; spina bifida bladders</w:t>
            </w:r>
          </w:p>
        </w:tc>
        <w:tc>
          <w:tcPr>
            <w:tcW w:type="dxa" w:w="1512"/>
            <w:vAlign w:val="top"/>
          </w:tcPr>
          <w:p>
            <w:pPr>
              <w:spacing w:after="40" w:before="0" w:line="259" w:lineRule="auto"/>
            </w:pPr>
            <w:r>
              <w:rPr>
                <w:rFonts w:ascii="Calibri" w:hAnsi="Calibri"/>
                <w:b w:val="0"/>
                <w:i w:val="0"/>
                <w:color w:val="212121"/>
                <w:sz w:val="19"/>
              </w:rPr>
              <w:t>&lt; 40 cm H₂O</w:t>
            </w:r>
          </w:p>
        </w:tc>
        <w:tc>
          <w:tcPr>
            <w:tcW w:type="dxa" w:w="1512"/>
            <w:vAlign w:val="top"/>
          </w:tcPr>
          <w:p>
            <w:pPr>
              <w:spacing w:after="40" w:before="0" w:line="259" w:lineRule="auto"/>
            </w:pPr>
            <w:r>
              <w:rPr>
                <w:rFonts w:ascii="Calibri" w:hAnsi="Calibri"/>
                <w:b w:val="0"/>
                <w:i w:val="0"/>
                <w:color w:val="212121"/>
                <w:sz w:val="19"/>
              </w:rPr>
              <w:t>≥ 40 cm H₂O (leak-point pressure)</w:t>
            </w:r>
          </w:p>
        </w:tc>
        <w:tc>
          <w:tcPr>
            <w:tcW w:type="dxa" w:w="1468"/>
            <w:vAlign w:val="top"/>
          </w:tcPr>
          <w:p>
            <w:pPr>
              <w:spacing w:after="60" w:line="259" w:lineRule="auto"/>
            </w:pPr>
            <w:r>
              <w:rPr>
                <w:rFonts w:ascii="Calibri" w:hAnsi="Calibri"/>
                <w:b w:val="0"/>
                <w:i w:val="0"/>
                <w:color w:val="212121"/>
                <w:sz w:val="19"/>
              </w:rPr>
              <w:t>An ‘unsafe’ high-pressure bladder at high risk of upper-tract deterioration.</w:t>
            </w:r>
          </w:p>
          <w:p>
            <w:pPr>
              <w:spacing w:after="40" w:line="252" w:lineRule="auto"/>
            </w:pPr>
            <w:hyperlink r:id="rId10">
              <w:r>
                <w:rPr>
                  <w:rFonts w:ascii="Calibri" w:hAnsi="Calibri" w:cs="Calibri"/>
                  <w:sz w:val="18"/>
                  <w:color w:val="1155CC"/>
                  <w:u w:val="single"/>
                </w:rPr>
                <w:t xml:space="preserve">https://www.ncbi.nlm.nih.gov/books/NBK560617/</w:t>
              </w:r>
            </w:hyperlink>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Clean intermittent catheterization frequency</w:t>
            </w:r>
          </w:p>
        </w:tc>
        <w:tc>
          <w:tcPr>
            <w:tcW w:type="dxa" w:w="1655"/>
            <w:vAlign w:val="top"/>
          </w:tcPr>
          <w:p>
            <w:pPr>
              <w:spacing w:after="40" w:before="0" w:line="259" w:lineRule="auto"/>
            </w:pPr>
            <w:r>
              <w:rPr>
                <w:rFonts w:ascii="Calibri" w:hAnsi="Calibri"/>
                <w:b w:val="0"/>
                <w:i w:val="0"/>
                <w:color w:val="212121"/>
                <w:sz w:val="19"/>
              </w:rPr>
              <w:t>Retention / high-residual bladders</w:t>
            </w:r>
          </w:p>
        </w:tc>
        <w:tc>
          <w:tcPr>
            <w:tcW w:type="dxa" w:w="1512"/>
            <w:vAlign w:val="top"/>
          </w:tcPr>
          <w:p>
            <w:pPr>
              <w:spacing w:after="40" w:before="0" w:line="259" w:lineRule="auto"/>
            </w:pPr>
            <w:r>
              <w:rPr>
                <w:rFonts w:ascii="Calibri" w:hAnsi="Calibri"/>
                <w:b w:val="0"/>
                <w:i w:val="0"/>
                <w:color w:val="212121"/>
                <w:sz w:val="19"/>
              </w:rPr>
              <w:t>4–6 aseptic catheterizations/day</w:t>
            </w:r>
          </w:p>
        </w:tc>
        <w:tc>
          <w:tcPr>
            <w:tcW w:type="dxa" w:w="1512"/>
            <w:vAlign w:val="top"/>
          </w:tcPr>
          <w:p>
            <w:pPr>
              <w:spacing w:after="40" w:before="0" w:line="259" w:lineRule="auto"/>
            </w:pPr>
            <w:r>
              <w:rPr>
                <w:rFonts w:ascii="Calibri" w:hAnsi="Calibri"/>
                <w:b w:val="0"/>
                <w:i w:val="0"/>
                <w:color w:val="212121"/>
                <w:sz w:val="19"/>
              </w:rPr>
              <w:t>Skipped/infrequent or reused contaminated catheters</w:t>
            </w:r>
          </w:p>
        </w:tc>
        <w:tc>
          <w:tcPr>
            <w:tcW w:type="dxa" w:w="1468"/>
            <w:vAlign w:val="top"/>
          </w:tcPr>
          <w:p>
            <w:pPr>
              <w:spacing w:after="60" w:line="259" w:lineRule="auto"/>
            </w:pPr>
            <w:r>
              <w:rPr>
                <w:rFonts w:ascii="Calibri" w:hAnsi="Calibri"/>
                <w:b w:val="0"/>
                <w:i w:val="0"/>
                <w:color w:val="212121"/>
                <w:sz w:val="19"/>
              </w:rPr>
              <w:t>CIC is the standard of care for emptying failure; technique determines UTI risk.</w:t>
            </w:r>
          </w:p>
          <w:p>
            <w:pPr>
              <w:spacing w:after="40" w:line="252" w:lineRule="auto"/>
            </w:pPr>
            <w:hyperlink r:id="rId17">
              <w:r>
                <w:rPr>
                  <w:rFonts w:ascii="Calibri" w:hAnsi="Calibri" w:cs="Calibri"/>
                  <w:sz w:val="18"/>
                  <w:color w:val="1155CC"/>
                  <w:u w:val="single"/>
                </w:rPr>
                <w:t xml:space="preserve">https://pubmed.ncbi.nlm.nih.gov/35018670/</w:t>
              </w:r>
            </w:hyperlink>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Serum creatinine / eGFR</w:t>
            </w:r>
          </w:p>
        </w:tc>
        <w:tc>
          <w:tcPr>
            <w:tcW w:type="dxa" w:w="1655"/>
            <w:vAlign w:val="top"/>
          </w:tcPr>
          <w:p>
            <w:pPr>
              <w:spacing w:after="40" w:before="0" w:line="259" w:lineRule="auto"/>
            </w:pPr>
            <w:r>
              <w:rPr>
                <w:rFonts w:ascii="Calibri" w:hAnsi="Calibri"/>
                <w:b w:val="0"/>
                <w:i w:val="0"/>
                <w:color w:val="212121"/>
                <w:sz w:val="19"/>
              </w:rPr>
              <w:t>Chronic neurogenic bladder</w:t>
            </w:r>
          </w:p>
        </w:tc>
        <w:tc>
          <w:tcPr>
            <w:tcW w:type="dxa" w:w="1512"/>
            <w:vAlign w:val="top"/>
          </w:tcPr>
          <w:p>
            <w:pPr>
              <w:spacing w:after="40" w:before="0" w:line="259" w:lineRule="auto"/>
            </w:pPr>
            <w:r>
              <w:rPr>
                <w:rFonts w:ascii="Calibri" w:hAnsi="Calibri"/>
                <w:b w:val="0"/>
                <w:i w:val="0"/>
                <w:color w:val="212121"/>
                <w:sz w:val="19"/>
              </w:rPr>
              <w:t>Creatinine 0.6–1.3 mg/dL; eGFR &gt; 90</w:t>
            </w:r>
          </w:p>
        </w:tc>
        <w:tc>
          <w:tcPr>
            <w:tcW w:type="dxa" w:w="1512"/>
            <w:vAlign w:val="top"/>
          </w:tcPr>
          <w:p>
            <w:pPr>
              <w:spacing w:after="40" w:before="0" w:line="259" w:lineRule="auto"/>
            </w:pPr>
            <w:r>
              <w:rPr>
                <w:rFonts w:ascii="Calibri" w:hAnsi="Calibri"/>
                <w:b w:val="0"/>
                <w:i w:val="0"/>
                <w:color w:val="212121"/>
                <w:sz w:val="19"/>
              </w:rPr>
              <w:t>Rising creatinine; eGFR &lt; 60</w:t>
            </w:r>
          </w:p>
        </w:tc>
        <w:tc>
          <w:tcPr>
            <w:tcW w:type="dxa" w:w="1468"/>
            <w:vAlign w:val="top"/>
          </w:tcPr>
          <w:p>
            <w:pPr>
              <w:spacing w:after="60" w:line="259" w:lineRule="auto"/>
            </w:pPr>
            <w:r>
              <w:rPr>
                <w:rFonts w:ascii="Calibri" w:hAnsi="Calibri"/>
                <w:b w:val="0"/>
                <w:i w:val="0"/>
                <w:color w:val="212121"/>
                <w:sz w:val="19"/>
              </w:rPr>
              <w:t>Monitors neurogenic-bladder nephropathy; cystatin C is preferable in low-muscle-mass SCI.</w:t>
            </w:r>
          </w:p>
          <w:p>
            <w:pPr>
              <w:spacing w:after="40" w:line="252" w:lineRule="auto"/>
            </w:pPr>
            <w:hyperlink r:id="rId10">
              <w:r>
                <w:rPr>
                  <w:rFonts w:ascii="Calibri" w:hAnsi="Calibri" w:cs="Calibri"/>
                  <w:sz w:val="18"/>
                  <w:color w:val="1155CC"/>
                  <w:u w:val="single"/>
                </w:rPr>
                <w:t xml:space="preserve">https://www.ncbi.nlm.nih.gov/books/NBK560617/</w:t>
              </w:r>
            </w:hyperlink>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Caffeine intake</w:t>
            </w:r>
          </w:p>
        </w:tc>
        <w:tc>
          <w:tcPr>
            <w:tcW w:type="dxa" w:w="1655"/>
            <w:vAlign w:val="top"/>
          </w:tcPr>
          <w:p>
            <w:pPr>
              <w:spacing w:after="40" w:before="0" w:line="259" w:lineRule="auto"/>
            </w:pPr>
            <w:r>
              <w:rPr>
                <w:rFonts w:ascii="Calibri" w:hAnsi="Calibri"/>
                <w:b w:val="0"/>
                <w:i w:val="0"/>
                <w:color w:val="212121"/>
                <w:sz w:val="19"/>
              </w:rPr>
              <w:t>Overactive/urgency-predominant bladder</w:t>
            </w:r>
          </w:p>
        </w:tc>
        <w:tc>
          <w:tcPr>
            <w:tcW w:type="dxa" w:w="1512"/>
            <w:vAlign w:val="top"/>
          </w:tcPr>
          <w:p>
            <w:pPr>
              <w:spacing w:after="40" w:before="0" w:line="259" w:lineRule="auto"/>
            </w:pPr>
            <w:r>
              <w:rPr>
                <w:rFonts w:ascii="Calibri" w:hAnsi="Calibri"/>
                <w:b w:val="0"/>
                <w:i w:val="0"/>
                <w:color w:val="212121"/>
                <w:sz w:val="19"/>
              </w:rPr>
              <w:t>&lt; 200 mg/day</w:t>
            </w:r>
          </w:p>
        </w:tc>
        <w:tc>
          <w:tcPr>
            <w:tcW w:type="dxa" w:w="1512"/>
            <w:vAlign w:val="top"/>
          </w:tcPr>
          <w:p>
            <w:pPr>
              <w:spacing w:after="40" w:before="0" w:line="259" w:lineRule="auto"/>
            </w:pPr>
            <w:r>
              <w:rPr>
                <w:rFonts w:ascii="Calibri" w:hAnsi="Calibri"/>
                <w:b w:val="0"/>
                <w:i w:val="0"/>
                <w:color w:val="212121"/>
                <w:sz w:val="19"/>
              </w:rPr>
              <w:t>&gt; 400 mg/day</w:t>
            </w:r>
          </w:p>
        </w:tc>
        <w:tc>
          <w:tcPr>
            <w:tcW w:type="dxa" w:w="1468"/>
            <w:vAlign w:val="top"/>
          </w:tcPr>
          <w:p>
            <w:pPr>
              <w:spacing w:after="40" w:before="0" w:line="259" w:lineRule="auto"/>
            </w:pPr>
            <w:r>
              <w:rPr>
                <w:rFonts w:ascii="Calibri" w:hAnsi="Calibri"/>
                <w:b w:val="0"/>
                <w:i w:val="0"/>
                <w:color w:val="212121"/>
                <w:sz w:val="19"/>
              </w:rPr>
              <w:t>Bladder irritant and diuretic; reduction lessens urgency and frequency.</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Mobilisation / repositioning</w:t>
            </w:r>
          </w:p>
        </w:tc>
        <w:tc>
          <w:tcPr>
            <w:tcW w:type="dxa" w:w="1655"/>
            <w:vAlign w:val="top"/>
          </w:tcPr>
          <w:p>
            <w:pPr>
              <w:spacing w:after="40" w:before="0" w:line="259" w:lineRule="auto"/>
            </w:pPr>
            <w:r>
              <w:rPr>
                <w:rFonts w:ascii="Calibri" w:hAnsi="Calibri"/>
                <w:b w:val="0"/>
                <w:i w:val="0"/>
                <w:color w:val="212121"/>
                <w:sz w:val="19"/>
              </w:rPr>
              <w:t>Bedridden, wheelchair users</w:t>
            </w:r>
          </w:p>
        </w:tc>
        <w:tc>
          <w:tcPr>
            <w:tcW w:type="dxa" w:w="1512"/>
            <w:vAlign w:val="top"/>
          </w:tcPr>
          <w:p>
            <w:pPr>
              <w:spacing w:after="40" w:before="0" w:line="259" w:lineRule="auto"/>
            </w:pPr>
            <w:r>
              <w:rPr>
                <w:rFonts w:ascii="Calibri" w:hAnsi="Calibri"/>
                <w:b w:val="0"/>
                <w:i w:val="0"/>
                <w:color w:val="212121"/>
                <w:sz w:val="19"/>
              </w:rPr>
              <w:t>Daily mobilisation + 2-hourly repositioning</w:t>
            </w:r>
          </w:p>
        </w:tc>
        <w:tc>
          <w:tcPr>
            <w:tcW w:type="dxa" w:w="1512"/>
            <w:vAlign w:val="top"/>
          </w:tcPr>
          <w:p>
            <w:pPr>
              <w:spacing w:after="40" w:before="0" w:line="259" w:lineRule="auto"/>
            </w:pPr>
            <w:r>
              <w:rPr>
                <w:rFonts w:ascii="Calibri" w:hAnsi="Calibri"/>
                <w:b w:val="0"/>
                <w:i w:val="0"/>
                <w:color w:val="212121"/>
                <w:sz w:val="19"/>
              </w:rPr>
              <w:t>Prolonged bedrest/immobility</w:t>
            </w:r>
          </w:p>
        </w:tc>
        <w:tc>
          <w:tcPr>
            <w:tcW w:type="dxa" w:w="1468"/>
            <w:vAlign w:val="top"/>
          </w:tcPr>
          <w:p>
            <w:pPr>
              <w:spacing w:after="40" w:before="0" w:line="259" w:lineRule="auto"/>
            </w:pPr>
            <w:r>
              <w:rPr>
                <w:rFonts w:ascii="Calibri" w:hAnsi="Calibri"/>
                <w:b w:val="0"/>
                <w:i w:val="0"/>
                <w:color w:val="212121"/>
                <w:sz w:val="19"/>
              </w:rPr>
              <w:t>Immobility promotes stasis, hypercalciuria, stones, UTI and pressure sores.</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Nocturia episodes</w:t>
            </w:r>
          </w:p>
        </w:tc>
        <w:tc>
          <w:tcPr>
            <w:tcW w:type="dxa" w:w="1655"/>
            <w:vAlign w:val="top"/>
          </w:tcPr>
          <w:p>
            <w:pPr>
              <w:spacing w:after="40" w:before="0" w:line="259" w:lineRule="auto"/>
            </w:pPr>
            <w:r>
              <w:rPr>
                <w:rFonts w:ascii="Calibri" w:hAnsi="Calibri"/>
                <w:b w:val="0"/>
                <w:i w:val="0"/>
                <w:color w:val="212121"/>
                <w:sz w:val="19"/>
              </w:rPr>
              <w:t>Adults with neurogenic bladder</w:t>
            </w:r>
          </w:p>
        </w:tc>
        <w:tc>
          <w:tcPr>
            <w:tcW w:type="dxa" w:w="1512"/>
            <w:vAlign w:val="top"/>
          </w:tcPr>
          <w:p>
            <w:pPr>
              <w:spacing w:after="40" w:before="0" w:line="259" w:lineRule="auto"/>
            </w:pPr>
            <w:r>
              <w:rPr>
                <w:rFonts w:ascii="Calibri" w:hAnsi="Calibri"/>
                <w:b w:val="0"/>
                <w:i w:val="0"/>
                <w:color w:val="212121"/>
                <w:sz w:val="19"/>
              </w:rPr>
              <w:t>≤ 1 void/night</w:t>
            </w:r>
          </w:p>
        </w:tc>
        <w:tc>
          <w:tcPr>
            <w:tcW w:type="dxa" w:w="1512"/>
            <w:vAlign w:val="top"/>
          </w:tcPr>
          <w:p>
            <w:pPr>
              <w:spacing w:after="40" w:before="0" w:line="259" w:lineRule="auto"/>
            </w:pPr>
            <w:r>
              <w:rPr>
                <w:rFonts w:ascii="Calibri" w:hAnsi="Calibri"/>
                <w:b w:val="0"/>
                <w:i w:val="0"/>
                <w:color w:val="212121"/>
                <w:sz w:val="19"/>
              </w:rPr>
              <w:t>≥ 2 voids/night</w:t>
            </w:r>
          </w:p>
        </w:tc>
        <w:tc>
          <w:tcPr>
            <w:tcW w:type="dxa" w:w="1468"/>
            <w:vAlign w:val="top"/>
          </w:tcPr>
          <w:p>
            <w:pPr>
              <w:spacing w:after="40" w:before="0" w:line="259" w:lineRule="auto"/>
            </w:pPr>
            <w:r>
              <w:rPr>
                <w:rFonts w:ascii="Calibri" w:hAnsi="Calibri"/>
                <w:b w:val="0"/>
                <w:i w:val="0"/>
                <w:color w:val="212121"/>
                <w:sz w:val="19"/>
              </w:rPr>
              <w:t>Reflects nocturnal detrusor overactivity or polyuria; raises fall risk in the elderly.</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Bowel regularity</w:t>
            </w:r>
          </w:p>
        </w:tc>
        <w:tc>
          <w:tcPr>
            <w:tcW w:type="dxa" w:w="1655"/>
            <w:vAlign w:val="top"/>
          </w:tcPr>
          <w:p>
            <w:pPr>
              <w:spacing w:after="40" w:before="0" w:line="259" w:lineRule="auto"/>
            </w:pPr>
            <w:r>
              <w:rPr>
                <w:rFonts w:ascii="Calibri" w:hAnsi="Calibri"/>
                <w:b w:val="0"/>
                <w:i w:val="0"/>
                <w:color w:val="212121"/>
                <w:sz w:val="19"/>
              </w:rPr>
              <w:t>Neurogenic bladder &amp; bowel patients</w:t>
            </w:r>
          </w:p>
        </w:tc>
        <w:tc>
          <w:tcPr>
            <w:tcW w:type="dxa" w:w="1512"/>
            <w:vAlign w:val="top"/>
          </w:tcPr>
          <w:p>
            <w:pPr>
              <w:spacing w:after="40" w:before="0" w:line="259" w:lineRule="auto"/>
            </w:pPr>
            <w:r>
              <w:rPr>
                <w:rFonts w:ascii="Calibri" w:hAnsi="Calibri"/>
                <w:b w:val="0"/>
                <w:i w:val="0"/>
                <w:color w:val="212121"/>
                <w:sz w:val="19"/>
              </w:rPr>
              <w:t>Regular soft stool</w:t>
            </w:r>
          </w:p>
        </w:tc>
        <w:tc>
          <w:tcPr>
            <w:tcW w:type="dxa" w:w="1512"/>
            <w:vAlign w:val="top"/>
          </w:tcPr>
          <w:p>
            <w:pPr>
              <w:spacing w:after="40" w:before="0" w:line="259" w:lineRule="auto"/>
            </w:pPr>
            <w:r>
              <w:rPr>
                <w:rFonts w:ascii="Calibri" w:hAnsi="Calibri"/>
                <w:b w:val="0"/>
                <w:i w:val="0"/>
                <w:color w:val="212121"/>
                <w:sz w:val="19"/>
              </w:rPr>
              <w:t>Constipation / faecal loading</w:t>
            </w:r>
          </w:p>
        </w:tc>
        <w:tc>
          <w:tcPr>
            <w:tcW w:type="dxa" w:w="1468"/>
            <w:vAlign w:val="top"/>
          </w:tcPr>
          <w:p>
            <w:pPr>
              <w:spacing w:after="40" w:before="0" w:line="259" w:lineRule="auto"/>
            </w:pPr>
            <w:r>
              <w:rPr>
                <w:rFonts w:ascii="Calibri" w:hAnsi="Calibri"/>
                <w:b w:val="0"/>
                <w:i w:val="0"/>
                <w:color w:val="212121"/>
                <w:sz w:val="19"/>
              </w:rPr>
              <w:t>A loaded rectum impairs bladder emptying and can trigger autonomic dysreflexia.</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Neurogenic bladder, long-term catheter users</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40" w:before="0" w:line="259" w:lineRule="auto"/>
            </w:pPr>
            <w:r>
              <w:rPr>
                <w:rFonts w:ascii="Calibri" w:hAnsi="Calibri"/>
                <w:b w:val="0"/>
                <w:i w:val="0"/>
                <w:color w:val="212121"/>
                <w:sz w:val="19"/>
              </w:rPr>
              <w:t>Worsens urgency and raises bladder-cancer risk with chronic catheterization.</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Functional</w:t>
            </w:r>
          </w:p>
        </w:tc>
        <w:tc>
          <w:tcPr>
            <w:tcW w:type="dxa" w:w="1036"/>
            <w:vAlign w:val="top"/>
          </w:tcPr>
          <w:p>
            <w:pPr>
              <w:spacing w:after="40" w:before="0" w:line="259" w:lineRule="auto"/>
            </w:pPr>
            <w:r>
              <w:rPr>
                <w:rFonts w:ascii="Calibri" w:hAnsi="Calibri"/>
                <w:b w:val="0"/>
                <w:i w:val="0"/>
                <w:color w:val="212121"/>
                <w:sz w:val="16"/>
              </w:rPr>
              <w:t>Detrusor pressure, compliance &amp; DSD</w:t>
            </w:r>
          </w:p>
        </w:tc>
        <w:tc>
          <w:tcPr>
            <w:tcW w:type="dxa" w:w="892"/>
            <w:vAlign w:val="top"/>
          </w:tcPr>
          <w:p>
            <w:pPr>
              <w:spacing w:after="40" w:before="0" w:line="259" w:lineRule="auto"/>
            </w:pPr>
            <w:r>
              <w:rPr>
                <w:rFonts w:ascii="Calibri" w:hAnsi="Calibri"/>
                <w:b w:val="0"/>
                <w:i w:val="0"/>
                <w:color w:val="212121"/>
                <w:sz w:val="16"/>
              </w:rPr>
              <w:t>Urodynamic study (filling cystometry ± video)</w:t>
            </w:r>
          </w:p>
        </w:tc>
        <w:tc>
          <w:tcPr>
            <w:tcW w:type="dxa" w:w="950"/>
            <w:vAlign w:val="top"/>
          </w:tcPr>
          <w:p>
            <w:pPr>
              <w:spacing w:after="40" w:before="0" w:line="259" w:lineRule="auto"/>
            </w:pPr>
            <w:r>
              <w:rPr>
                <w:rFonts w:ascii="Calibri" w:hAnsi="Calibri"/>
                <w:b w:val="0"/>
                <w:i w:val="0"/>
                <w:color w:val="212121"/>
                <w:sz w:val="16"/>
              </w:rPr>
              <w:t>Stable low-pressure filling; compliance &gt; 20–30 mL/cmH₂O; no involuntary contractions; DLPP &lt; 40 cmH₂O</w:t>
            </w:r>
          </w:p>
        </w:tc>
        <w:tc>
          <w:tcPr>
            <w:tcW w:type="dxa" w:w="950"/>
            <w:vAlign w:val="top"/>
          </w:tcPr>
          <w:p>
            <w:pPr>
              <w:spacing w:after="40" w:before="0" w:line="259" w:lineRule="auto"/>
            </w:pPr>
            <w:r>
              <w:rPr>
                <w:rFonts w:ascii="Calibri" w:hAnsi="Calibri"/>
                <w:b w:val="0"/>
                <w:i w:val="0"/>
                <w:color w:val="212121"/>
                <w:sz w:val="16"/>
              </w:rPr>
              <w:t>Detrusor overactivity, low compliance, DLPP ≥ 40 cmH₂O, detrusor–sphincter dyssynergia</w:t>
            </w:r>
          </w:p>
        </w:tc>
        <w:tc>
          <w:tcPr>
            <w:tcW w:type="dxa" w:w="1036"/>
            <w:vAlign w:val="top"/>
          </w:tcPr>
          <w:p>
            <w:pPr>
              <w:spacing w:after="40" w:before="0" w:line="259" w:lineRule="auto"/>
            </w:pPr>
            <w:r>
              <w:rPr>
                <w:rFonts w:ascii="Calibri" w:hAnsi="Calibri"/>
                <w:b w:val="0"/>
                <w:i w:val="0"/>
                <w:color w:val="212121"/>
                <w:sz w:val="16"/>
              </w:rPr>
              <w:t>Defines bladder behaviour and upper-tract risk; the diagnostic reference standard</w:t>
            </w:r>
          </w:p>
        </w:tc>
        <w:tc>
          <w:tcPr>
            <w:tcW w:type="dxa" w:w="1036"/>
            <w:vAlign w:val="top"/>
          </w:tcPr>
          <w:p>
            <w:pPr>
              <w:spacing w:after="40" w:before="0" w:line="259" w:lineRule="auto"/>
            </w:pPr>
            <w:r>
              <w:rPr>
                <w:rFonts w:ascii="Calibri" w:hAnsi="Calibri"/>
                <w:b w:val="0"/>
                <w:i w:val="0"/>
                <w:color w:val="212121"/>
                <w:sz w:val="16"/>
              </w:rPr>
              <w:t>SCI, spina bifida, MS with retention or incontinence</w:t>
            </w:r>
          </w:p>
        </w:tc>
        <w:tc>
          <w:tcPr>
            <w:tcW w:type="dxa" w:w="720"/>
            <w:vAlign w:val="top"/>
          </w:tcPr>
          <w:p>
            <w:pPr>
              <w:spacing w:after="40" w:before="0" w:line="259" w:lineRule="auto"/>
            </w:pPr>
            <w:r>
              <w:rPr>
                <w:rFonts w:ascii="Calibri" w:hAnsi="Calibri"/>
                <w:b w:val="0"/>
                <w:i w:val="0"/>
                <w:color w:val="212121"/>
                <w:sz w:val="16"/>
              </w:rPr>
              <w:t>Provoking factors; Water</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Videourodynamics adds anatomical/reflux detail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Functional</w:t>
            </w:r>
          </w:p>
        </w:tc>
        <w:tc>
          <w:tcPr>
            <w:tcW w:type="dxa" w:w="1036"/>
            <w:vAlign w:val="top"/>
          </w:tcPr>
          <w:p>
            <w:pPr>
              <w:spacing w:after="40" w:before="0" w:line="259" w:lineRule="auto"/>
            </w:pPr>
            <w:r>
              <w:rPr>
                <w:rFonts w:ascii="Calibri" w:hAnsi="Calibri"/>
                <w:b w:val="0"/>
                <w:i w:val="0"/>
                <w:color w:val="212121"/>
                <w:sz w:val="16"/>
              </w:rPr>
              <w:t>Post-void residual volume</w:t>
            </w:r>
          </w:p>
        </w:tc>
        <w:tc>
          <w:tcPr>
            <w:tcW w:type="dxa" w:w="892"/>
            <w:vAlign w:val="top"/>
          </w:tcPr>
          <w:p>
            <w:pPr>
              <w:spacing w:after="40" w:before="0" w:line="259" w:lineRule="auto"/>
            </w:pPr>
            <w:r>
              <w:rPr>
                <w:rFonts w:ascii="Calibri" w:hAnsi="Calibri"/>
                <w:b w:val="0"/>
                <w:i w:val="0"/>
                <w:color w:val="212121"/>
                <w:sz w:val="16"/>
              </w:rPr>
              <w:t>Bladder scan / in-out catheter</w:t>
            </w:r>
          </w:p>
        </w:tc>
        <w:tc>
          <w:tcPr>
            <w:tcW w:type="dxa" w:w="950"/>
            <w:vAlign w:val="top"/>
          </w:tcPr>
          <w:p>
            <w:pPr>
              <w:spacing w:after="40" w:before="0" w:line="259" w:lineRule="auto"/>
            </w:pPr>
            <w:r>
              <w:rPr>
                <w:rFonts w:ascii="Calibri" w:hAnsi="Calibri"/>
                <w:b w:val="0"/>
                <w:i w:val="0"/>
                <w:color w:val="212121"/>
                <w:sz w:val="16"/>
              </w:rPr>
              <w:t>&lt; 50–100 mL</w:t>
            </w:r>
          </w:p>
        </w:tc>
        <w:tc>
          <w:tcPr>
            <w:tcW w:type="dxa" w:w="950"/>
            <w:vAlign w:val="top"/>
          </w:tcPr>
          <w:p>
            <w:pPr>
              <w:spacing w:after="40" w:before="0" w:line="259" w:lineRule="auto"/>
            </w:pPr>
            <w:r>
              <w:rPr>
                <w:rFonts w:ascii="Calibri" w:hAnsi="Calibri"/>
                <w:b w:val="0"/>
                <w:i w:val="0"/>
                <w:color w:val="212121"/>
                <w:sz w:val="16"/>
              </w:rPr>
              <w:t>&gt; 100 mL or &gt; 20% voided</w:t>
            </w:r>
          </w:p>
        </w:tc>
        <w:tc>
          <w:tcPr>
            <w:tcW w:type="dxa" w:w="1036"/>
            <w:vAlign w:val="top"/>
          </w:tcPr>
          <w:p>
            <w:pPr>
              <w:spacing w:after="40" w:before="0" w:line="259" w:lineRule="auto"/>
            </w:pPr>
            <w:r>
              <w:rPr>
                <w:rFonts w:ascii="Calibri" w:hAnsi="Calibri"/>
                <w:b w:val="0"/>
                <w:i w:val="0"/>
                <w:color w:val="212121"/>
                <w:sz w:val="16"/>
              </w:rPr>
              <w:t>Objective marker of incomplete emptying; indicates need for CIC</w:t>
            </w:r>
          </w:p>
        </w:tc>
        <w:tc>
          <w:tcPr>
            <w:tcW w:type="dxa" w:w="1036"/>
            <w:vAlign w:val="top"/>
          </w:tcPr>
          <w:p>
            <w:pPr>
              <w:spacing w:after="40" w:before="0" w:line="259" w:lineRule="auto"/>
            </w:pPr>
            <w:r>
              <w:rPr>
                <w:rFonts w:ascii="Calibri" w:hAnsi="Calibri"/>
                <w:b w:val="0"/>
                <w:i w:val="0"/>
                <w:color w:val="212121"/>
                <w:sz w:val="16"/>
              </w:rPr>
              <w:t>Diabetic cystopathy, sacral/cauda equina lesions</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Non-invasive, repeatable at bedside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creatinine &amp; eGFR</w:t>
            </w:r>
          </w:p>
        </w:tc>
        <w:tc>
          <w:tcPr>
            <w:tcW w:type="dxa" w:w="892"/>
            <w:vAlign w:val="top"/>
          </w:tcPr>
          <w:p>
            <w:pPr>
              <w:spacing w:after="40" w:before="0" w:line="259" w:lineRule="auto"/>
            </w:pPr>
            <w:r>
              <w:rPr>
                <w:rFonts w:ascii="Calibri" w:hAnsi="Calibri"/>
                <w:b w:val="0"/>
                <w:i w:val="0"/>
                <w:color w:val="212121"/>
                <w:sz w:val="16"/>
              </w:rPr>
              <w:t>Renal function blood test</w:t>
            </w:r>
          </w:p>
        </w:tc>
        <w:tc>
          <w:tcPr>
            <w:tcW w:type="dxa" w:w="950"/>
            <w:vAlign w:val="top"/>
          </w:tcPr>
          <w:p>
            <w:pPr>
              <w:spacing w:after="40" w:before="0" w:line="259" w:lineRule="auto"/>
            </w:pPr>
            <w:r>
              <w:rPr>
                <w:rFonts w:ascii="Calibri" w:hAnsi="Calibri"/>
                <w:b w:val="0"/>
                <w:i w:val="0"/>
                <w:color w:val="212121"/>
                <w:sz w:val="16"/>
              </w:rPr>
              <w:t>Creatinine 0.6–1.3 mg/dL; eGFR &gt; 90</w:t>
            </w:r>
          </w:p>
        </w:tc>
        <w:tc>
          <w:tcPr>
            <w:tcW w:type="dxa" w:w="950"/>
            <w:vAlign w:val="top"/>
          </w:tcPr>
          <w:p>
            <w:pPr>
              <w:spacing w:after="40" w:before="0" w:line="259" w:lineRule="auto"/>
            </w:pPr>
            <w:r>
              <w:rPr>
                <w:rFonts w:ascii="Calibri" w:hAnsi="Calibri"/>
                <w:b w:val="0"/>
                <w:i w:val="0"/>
                <w:color w:val="212121"/>
                <w:sz w:val="16"/>
              </w:rPr>
              <w:t>Rising creatinine; eGFR &lt; 60</w:t>
            </w:r>
          </w:p>
        </w:tc>
        <w:tc>
          <w:tcPr>
            <w:tcW w:type="dxa" w:w="1036"/>
            <w:vAlign w:val="top"/>
          </w:tcPr>
          <w:p>
            <w:pPr>
              <w:spacing w:after="40" w:before="0" w:line="259" w:lineRule="auto"/>
            </w:pPr>
            <w:r>
              <w:rPr>
                <w:rFonts w:ascii="Calibri" w:hAnsi="Calibri"/>
                <w:b w:val="0"/>
                <w:i w:val="0"/>
                <w:color w:val="212121"/>
                <w:sz w:val="16"/>
              </w:rPr>
              <w:t>Detects neurogenic-bladder nephropathy from high-pressure storage</w:t>
            </w:r>
          </w:p>
        </w:tc>
        <w:tc>
          <w:tcPr>
            <w:tcW w:type="dxa" w:w="1036"/>
            <w:vAlign w:val="top"/>
          </w:tcPr>
          <w:p>
            <w:pPr>
              <w:spacing w:after="40" w:before="0" w:line="259" w:lineRule="auto"/>
            </w:pPr>
            <w:r>
              <w:rPr>
                <w:rFonts w:ascii="Calibri" w:hAnsi="Calibri"/>
                <w:b w:val="0"/>
                <w:i w:val="0"/>
                <w:color w:val="212121"/>
                <w:sz w:val="16"/>
              </w:rPr>
              <w:t>Chronic high-pressure bladders</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Cystatin C better in low muscle mass (SCI)</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Pyuria &amp; bacteriuria</w:t>
            </w:r>
          </w:p>
        </w:tc>
        <w:tc>
          <w:tcPr>
            <w:tcW w:type="dxa" w:w="892"/>
            <w:vAlign w:val="top"/>
          </w:tcPr>
          <w:p>
            <w:pPr>
              <w:spacing w:after="40" w:before="0" w:line="259" w:lineRule="auto"/>
            </w:pPr>
            <w:r>
              <w:rPr>
                <w:rFonts w:ascii="Calibri" w:hAnsi="Calibri"/>
                <w:b w:val="0"/>
                <w:i w:val="0"/>
                <w:color w:val="212121"/>
                <w:sz w:val="16"/>
              </w:rPr>
              <w:t>Urinalysis + culture</w:t>
            </w:r>
          </w:p>
        </w:tc>
        <w:tc>
          <w:tcPr>
            <w:tcW w:type="dxa" w:w="950"/>
            <w:vAlign w:val="top"/>
          </w:tcPr>
          <w:p>
            <w:pPr>
              <w:spacing w:after="40" w:before="0" w:line="259" w:lineRule="auto"/>
            </w:pPr>
            <w:r>
              <w:rPr>
                <w:rFonts w:ascii="Calibri" w:hAnsi="Calibri"/>
                <w:b w:val="0"/>
                <w:i w:val="0"/>
                <w:color w:val="212121"/>
                <w:sz w:val="16"/>
              </w:rPr>
              <w:t>No significant growth</w:t>
            </w:r>
          </w:p>
        </w:tc>
        <w:tc>
          <w:tcPr>
            <w:tcW w:type="dxa" w:w="950"/>
            <w:vAlign w:val="top"/>
          </w:tcPr>
          <w:p>
            <w:pPr>
              <w:spacing w:after="40" w:before="0" w:line="259" w:lineRule="auto"/>
            </w:pPr>
            <w:r>
              <w:rPr>
                <w:rFonts w:ascii="Calibri" w:hAnsi="Calibri"/>
                <w:b w:val="0"/>
                <w:i w:val="0"/>
                <w:color w:val="212121"/>
                <w:sz w:val="16"/>
              </w:rPr>
              <w:t>≥ 10⁵ CFU/mL with symptoms</w:t>
            </w:r>
          </w:p>
        </w:tc>
        <w:tc>
          <w:tcPr>
            <w:tcW w:type="dxa" w:w="1036"/>
            <w:vAlign w:val="top"/>
          </w:tcPr>
          <w:p>
            <w:pPr>
              <w:spacing w:after="40" w:before="0" w:line="259" w:lineRule="auto"/>
            </w:pPr>
            <w:r>
              <w:rPr>
                <w:rFonts w:ascii="Calibri" w:hAnsi="Calibri"/>
                <w:b w:val="0"/>
                <w:i w:val="0"/>
                <w:color w:val="212121"/>
                <w:sz w:val="16"/>
              </w:rPr>
              <w:t>Distinguishes symptomatic UTI from asymptomatic bacteriuria</w:t>
            </w:r>
          </w:p>
        </w:tc>
        <w:tc>
          <w:tcPr>
            <w:tcW w:type="dxa" w:w="1036"/>
            <w:vAlign w:val="top"/>
          </w:tcPr>
          <w:p>
            <w:pPr>
              <w:spacing w:after="40" w:before="0" w:line="259" w:lineRule="auto"/>
            </w:pPr>
            <w:r>
              <w:rPr>
                <w:rFonts w:ascii="Calibri" w:hAnsi="Calibri"/>
                <w:b w:val="0"/>
                <w:i w:val="0"/>
                <w:color w:val="212121"/>
                <w:sz w:val="16"/>
              </w:rPr>
              <w:t>CIC and indwelling-catheter users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Treat symptomatic UTI only, not asymptomatic bacteriuria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Hydronephrosis, stones, bladder wall</w:t>
            </w:r>
          </w:p>
        </w:tc>
        <w:tc>
          <w:tcPr>
            <w:tcW w:type="dxa" w:w="892"/>
            <w:vAlign w:val="top"/>
          </w:tcPr>
          <w:p>
            <w:pPr>
              <w:spacing w:after="40" w:before="0" w:line="259" w:lineRule="auto"/>
            </w:pPr>
            <w:r>
              <w:rPr>
                <w:rFonts w:ascii="Calibri" w:hAnsi="Calibri"/>
                <w:b w:val="0"/>
                <w:i w:val="0"/>
                <w:color w:val="212121"/>
                <w:sz w:val="16"/>
              </w:rPr>
              <w:t>Renal &amp; bladder ultrasound</w:t>
            </w:r>
          </w:p>
        </w:tc>
        <w:tc>
          <w:tcPr>
            <w:tcW w:type="dxa" w:w="950"/>
            <w:vAlign w:val="top"/>
          </w:tcPr>
          <w:p>
            <w:pPr>
              <w:spacing w:after="40" w:before="0" w:line="259" w:lineRule="auto"/>
            </w:pPr>
            <w:r>
              <w:rPr>
                <w:rFonts w:ascii="Calibri" w:hAnsi="Calibri"/>
                <w:b w:val="0"/>
                <w:i w:val="0"/>
                <w:color w:val="212121"/>
                <w:sz w:val="16"/>
              </w:rPr>
              <w:t>No hydronephrosis, reflux or calculi</w:t>
            </w:r>
          </w:p>
        </w:tc>
        <w:tc>
          <w:tcPr>
            <w:tcW w:type="dxa" w:w="950"/>
            <w:vAlign w:val="top"/>
          </w:tcPr>
          <w:p>
            <w:pPr>
              <w:spacing w:after="40" w:before="0" w:line="259" w:lineRule="auto"/>
            </w:pPr>
            <w:r>
              <w:rPr>
                <w:rFonts w:ascii="Calibri" w:hAnsi="Calibri"/>
                <w:b w:val="0"/>
                <w:i w:val="0"/>
                <w:color w:val="212121"/>
                <w:sz w:val="16"/>
              </w:rPr>
              <w:t>Hydronephrosis, calculi, thick trabeculated bladder</w:t>
            </w:r>
          </w:p>
        </w:tc>
        <w:tc>
          <w:tcPr>
            <w:tcW w:type="dxa" w:w="1036"/>
            <w:vAlign w:val="top"/>
          </w:tcPr>
          <w:p>
            <w:pPr>
              <w:spacing w:after="40" w:before="0" w:line="259" w:lineRule="auto"/>
            </w:pPr>
            <w:r>
              <w:rPr>
                <w:rFonts w:ascii="Calibri" w:hAnsi="Calibri"/>
                <w:b w:val="0"/>
                <w:i w:val="0"/>
                <w:color w:val="212121"/>
                <w:sz w:val="16"/>
              </w:rPr>
              <w:t>Screens for upper-tract deterioration</w:t>
            </w:r>
          </w:p>
        </w:tc>
        <w:tc>
          <w:tcPr>
            <w:tcW w:type="dxa" w:w="1036"/>
            <w:vAlign w:val="top"/>
          </w:tcPr>
          <w:p>
            <w:pPr>
              <w:spacing w:after="40" w:before="0" w:line="259" w:lineRule="auto"/>
            </w:pPr>
            <w:r>
              <w:rPr>
                <w:rFonts w:ascii="Calibri" w:hAnsi="Calibri"/>
                <w:b w:val="0"/>
                <w:i w:val="0"/>
                <w:color w:val="212121"/>
                <w:sz w:val="16"/>
              </w:rPr>
              <w:t>High-pressure / dyssynergic bladders</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Surveillance</w:t>
            </w:r>
          </w:p>
        </w:tc>
        <w:tc>
          <w:tcPr>
            <w:tcW w:type="dxa" w:w="720"/>
            <w:vAlign w:val="top"/>
          </w:tcPr>
          <w:p>
            <w:pPr>
              <w:spacing w:after="40" w:before="0" w:line="259" w:lineRule="auto"/>
            </w:pPr>
            <w:r>
              <w:rPr>
                <w:rFonts w:ascii="Calibri" w:hAnsi="Calibri"/>
                <w:b w:val="0"/>
                <w:i w:val="0"/>
                <w:color w:val="212121"/>
                <w:sz w:val="16"/>
              </w:rPr>
              <w:t>First-line, radiation-free; annual in high-risk patients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Vesicoureteral reflux &amp; bladder morphology</w:t>
            </w:r>
          </w:p>
        </w:tc>
        <w:tc>
          <w:tcPr>
            <w:tcW w:type="dxa" w:w="892"/>
            <w:vAlign w:val="top"/>
          </w:tcPr>
          <w:p>
            <w:pPr>
              <w:spacing w:after="40" w:before="0" w:line="259" w:lineRule="auto"/>
            </w:pPr>
            <w:r>
              <w:rPr>
                <w:rFonts w:ascii="Calibri" w:hAnsi="Calibri"/>
                <w:b w:val="0"/>
                <w:i w:val="0"/>
                <w:color w:val="212121"/>
                <w:sz w:val="16"/>
              </w:rPr>
              <w:t>Micturating cystourethrogram (VCUG)</w:t>
            </w:r>
          </w:p>
        </w:tc>
        <w:tc>
          <w:tcPr>
            <w:tcW w:type="dxa" w:w="950"/>
            <w:vAlign w:val="top"/>
          </w:tcPr>
          <w:p>
            <w:pPr>
              <w:spacing w:after="40" w:before="0" w:line="259" w:lineRule="auto"/>
            </w:pPr>
            <w:r>
              <w:rPr>
                <w:rFonts w:ascii="Calibri" w:hAnsi="Calibri"/>
                <w:b w:val="0"/>
                <w:i w:val="0"/>
                <w:color w:val="212121"/>
                <w:sz w:val="16"/>
              </w:rPr>
              <w:t>No reflux; smooth-walled bladder</w:t>
            </w:r>
          </w:p>
        </w:tc>
        <w:tc>
          <w:tcPr>
            <w:tcW w:type="dxa" w:w="950"/>
            <w:vAlign w:val="top"/>
          </w:tcPr>
          <w:p>
            <w:pPr>
              <w:spacing w:after="40" w:before="0" w:line="259" w:lineRule="auto"/>
            </w:pPr>
            <w:r>
              <w:rPr>
                <w:rFonts w:ascii="Calibri" w:hAnsi="Calibri"/>
                <w:b w:val="0"/>
                <w:i w:val="0"/>
                <w:color w:val="212121"/>
                <w:sz w:val="16"/>
              </w:rPr>
              <w:t>Reflux, trabeculation, diverticula</w:t>
            </w:r>
          </w:p>
        </w:tc>
        <w:tc>
          <w:tcPr>
            <w:tcW w:type="dxa" w:w="1036"/>
            <w:vAlign w:val="top"/>
          </w:tcPr>
          <w:p>
            <w:pPr>
              <w:spacing w:after="40" w:before="0" w:line="259" w:lineRule="auto"/>
            </w:pPr>
            <w:r>
              <w:rPr>
                <w:rFonts w:ascii="Calibri" w:hAnsi="Calibri"/>
                <w:b w:val="0"/>
                <w:i w:val="0"/>
                <w:color w:val="212121"/>
                <w:sz w:val="16"/>
              </w:rPr>
              <w:t>Confirms reflux and outlet behaviour</w:t>
            </w:r>
          </w:p>
        </w:tc>
        <w:tc>
          <w:tcPr>
            <w:tcW w:type="dxa" w:w="1036"/>
            <w:vAlign w:val="top"/>
          </w:tcPr>
          <w:p>
            <w:pPr>
              <w:spacing w:after="40" w:before="0" w:line="259" w:lineRule="auto"/>
            </w:pPr>
            <w:r>
              <w:rPr>
                <w:rFonts w:ascii="Calibri" w:hAnsi="Calibri"/>
                <w:b w:val="0"/>
                <w:i w:val="0"/>
                <w:color w:val="212121"/>
                <w:sz w:val="16"/>
              </w:rPr>
              <w:t>Recurrent UTI, deteriorating tracts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Best combined with urodynamics (videourodynamics)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Neurological history</w:t>
            </w:r>
          </w:p>
        </w:tc>
        <w:tc>
          <w:tcPr>
            <w:tcW w:type="dxa" w:w="979"/>
            <w:vAlign w:val="top"/>
          </w:tcPr>
          <w:p>
            <w:pPr>
              <w:spacing w:after="40" w:before="0" w:line="259" w:lineRule="auto"/>
            </w:pPr>
            <w:r>
              <w:rPr>
                <w:rFonts w:ascii="Calibri" w:hAnsi="Calibri"/>
                <w:b w:val="0"/>
                <w:i w:val="0"/>
                <w:color w:val="212121"/>
                <w:sz w:val="16"/>
              </w:rPr>
              <w:t>Underlying lesion (SCI, stroke, MS, diabetes, spina bifida)</w:t>
            </w:r>
          </w:p>
        </w:tc>
        <w:tc>
          <w:tcPr>
            <w:tcW w:type="dxa" w:w="950"/>
            <w:vAlign w:val="top"/>
          </w:tcPr>
          <w:p>
            <w:pPr>
              <w:spacing w:after="40" w:before="0" w:line="259" w:lineRule="auto"/>
            </w:pPr>
            <w:r>
              <w:rPr>
                <w:rFonts w:ascii="Calibri" w:hAnsi="Calibri"/>
                <w:b w:val="0"/>
                <w:i w:val="0"/>
                <w:color w:val="212121"/>
                <w:sz w:val="16"/>
              </w:rPr>
              <w:t>No neurological disease</w:t>
            </w:r>
          </w:p>
        </w:tc>
        <w:tc>
          <w:tcPr>
            <w:tcW w:type="dxa" w:w="950"/>
            <w:vAlign w:val="top"/>
          </w:tcPr>
          <w:p>
            <w:pPr>
              <w:spacing w:after="40" w:before="0" w:line="259" w:lineRule="auto"/>
            </w:pPr>
            <w:r>
              <w:rPr>
                <w:rFonts w:ascii="Calibri" w:hAnsi="Calibri"/>
                <w:b w:val="0"/>
                <w:i w:val="0"/>
                <w:color w:val="212121"/>
                <w:sz w:val="16"/>
              </w:rPr>
              <w:t>Documented central or peripheral neurological lesion</w:t>
            </w:r>
          </w:p>
        </w:tc>
        <w:tc>
          <w:tcPr>
            <w:tcW w:type="dxa" w:w="1036"/>
            <w:vAlign w:val="top"/>
          </w:tcPr>
          <w:p>
            <w:pPr>
              <w:spacing w:after="40" w:before="0" w:line="259" w:lineRule="auto"/>
            </w:pPr>
            <w:r>
              <w:rPr>
                <w:rFonts w:ascii="Calibri" w:hAnsi="Calibri"/>
                <w:b w:val="0"/>
                <w:i w:val="0"/>
                <w:color w:val="212121"/>
                <w:sz w:val="16"/>
              </w:rPr>
              <w:t>Establishes the neurogenic basis and predicts bladder pattern</w:t>
            </w:r>
          </w:p>
        </w:tc>
        <w:tc>
          <w:tcPr>
            <w:tcW w:type="dxa" w:w="1036"/>
            <w:vAlign w:val="top"/>
          </w:tcPr>
          <w:p>
            <w:pPr>
              <w:spacing w:after="40" w:before="0" w:line="259" w:lineRule="auto"/>
            </w:pPr>
            <w:r>
              <w:rPr>
                <w:rFonts w:ascii="Calibri" w:hAnsi="Calibri"/>
                <w:b w:val="0"/>
                <w:i w:val="0"/>
                <w:color w:val="212121"/>
                <w:sz w:val="16"/>
              </w:rPr>
              <w:t>All suspected neurogenic bladder</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Correlate lesion level with bladder behaviour</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Bladder diary &amp; symptoms</w:t>
            </w:r>
          </w:p>
        </w:tc>
        <w:tc>
          <w:tcPr>
            <w:tcW w:type="dxa" w:w="979"/>
            <w:vAlign w:val="top"/>
          </w:tcPr>
          <w:p>
            <w:pPr>
              <w:spacing w:after="40" w:before="0" w:line="259" w:lineRule="auto"/>
            </w:pPr>
            <w:r>
              <w:rPr>
                <w:rFonts w:ascii="Calibri" w:hAnsi="Calibri"/>
                <w:b w:val="0"/>
                <w:i w:val="0"/>
                <w:color w:val="212121"/>
                <w:sz w:val="16"/>
              </w:rPr>
              <w:t>Frequency, urgency, incontinence, retention, nocturia</w:t>
            </w:r>
          </w:p>
        </w:tc>
        <w:tc>
          <w:tcPr>
            <w:tcW w:type="dxa" w:w="950"/>
            <w:vAlign w:val="top"/>
          </w:tcPr>
          <w:p>
            <w:pPr>
              <w:spacing w:after="40" w:before="0" w:line="259" w:lineRule="auto"/>
            </w:pPr>
            <w:r>
              <w:rPr>
                <w:rFonts w:ascii="Calibri" w:hAnsi="Calibri"/>
                <w:b w:val="0"/>
                <w:i w:val="0"/>
                <w:color w:val="212121"/>
                <w:sz w:val="16"/>
              </w:rPr>
              <w:t>Normal voiding pattern</w:t>
            </w:r>
          </w:p>
        </w:tc>
        <w:tc>
          <w:tcPr>
            <w:tcW w:type="dxa" w:w="950"/>
            <w:vAlign w:val="top"/>
          </w:tcPr>
          <w:p>
            <w:pPr>
              <w:spacing w:after="40" w:before="0" w:line="259" w:lineRule="auto"/>
            </w:pPr>
            <w:r>
              <w:rPr>
                <w:rFonts w:ascii="Calibri" w:hAnsi="Calibri"/>
                <w:b w:val="0"/>
                <w:i w:val="0"/>
                <w:color w:val="212121"/>
                <w:sz w:val="16"/>
              </w:rPr>
              <w:t>Storage or voiding lower urinary tract symptoms</w:t>
            </w:r>
          </w:p>
        </w:tc>
        <w:tc>
          <w:tcPr>
            <w:tcW w:type="dxa" w:w="1036"/>
            <w:vAlign w:val="top"/>
          </w:tcPr>
          <w:p>
            <w:pPr>
              <w:spacing w:after="40" w:before="0" w:line="259" w:lineRule="auto"/>
            </w:pPr>
            <w:r>
              <w:rPr>
                <w:rFonts w:ascii="Calibri" w:hAnsi="Calibri"/>
                <w:b w:val="0"/>
                <w:i w:val="0"/>
                <w:color w:val="212121"/>
                <w:sz w:val="16"/>
              </w:rPr>
              <w:t>Quantifies symptom burden and pattern</w:t>
            </w:r>
          </w:p>
        </w:tc>
        <w:tc>
          <w:tcPr>
            <w:tcW w:type="dxa" w:w="1036"/>
            <w:vAlign w:val="top"/>
          </w:tcPr>
          <w:p>
            <w:pPr>
              <w:spacing w:after="40" w:before="0" w:line="259" w:lineRule="auto"/>
            </w:pPr>
            <w:r>
              <w:rPr>
                <w:rFonts w:ascii="Calibri" w:hAnsi="Calibri"/>
                <w:b w:val="0"/>
                <w:i w:val="0"/>
                <w:color w:val="212121"/>
                <w:sz w:val="16"/>
              </w:rPr>
              <w:t>All neurogenic bladder</w:t>
            </w:r>
          </w:p>
        </w:tc>
        <w:tc>
          <w:tcPr>
            <w:tcW w:type="dxa" w:w="720"/>
            <w:vAlign w:val="top"/>
          </w:tcPr>
          <w:p>
            <w:pPr>
              <w:spacing w:after="40" w:before="0" w:line="259" w:lineRule="auto"/>
            </w:pPr>
            <w:r>
              <w:rPr>
                <w:rFonts w:ascii="Calibri" w:hAnsi="Calibri"/>
                <w:b w:val="0"/>
                <w:i w:val="0"/>
                <w:color w:val="212121"/>
                <w:sz w:val="16"/>
              </w:rPr>
              <w:t>Water; Caffeine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3-day diary including fluid and caffeine intake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Sacral neuro-urological exam</w:t>
            </w:r>
          </w:p>
        </w:tc>
        <w:tc>
          <w:tcPr>
            <w:tcW w:type="dxa" w:w="979"/>
            <w:vAlign w:val="top"/>
          </w:tcPr>
          <w:p>
            <w:pPr>
              <w:spacing w:after="40" w:before="0" w:line="259" w:lineRule="auto"/>
            </w:pPr>
            <w:r>
              <w:rPr>
                <w:rFonts w:ascii="Calibri" w:hAnsi="Calibri"/>
                <w:b w:val="0"/>
                <w:i w:val="0"/>
                <w:color w:val="212121"/>
                <w:sz w:val="16"/>
              </w:rPr>
              <w:t>Perineal sensation (S2–S4), anal tone, bulbocavernosus &amp; anal reflexes</w:t>
            </w:r>
          </w:p>
        </w:tc>
        <w:tc>
          <w:tcPr>
            <w:tcW w:type="dxa" w:w="950"/>
            <w:vAlign w:val="top"/>
          </w:tcPr>
          <w:p>
            <w:pPr>
              <w:spacing w:after="40" w:before="0" w:line="259" w:lineRule="auto"/>
            </w:pPr>
            <w:r>
              <w:rPr>
                <w:rFonts w:ascii="Calibri" w:hAnsi="Calibri"/>
                <w:b w:val="0"/>
                <w:i w:val="0"/>
                <w:color w:val="212121"/>
                <w:sz w:val="16"/>
              </w:rPr>
              <w:t>Intact sensation, normal tone and reflexes</w:t>
            </w:r>
          </w:p>
        </w:tc>
        <w:tc>
          <w:tcPr>
            <w:tcW w:type="dxa" w:w="950"/>
            <w:vAlign w:val="top"/>
          </w:tcPr>
          <w:p>
            <w:pPr>
              <w:spacing w:after="40" w:before="0" w:line="259" w:lineRule="auto"/>
            </w:pPr>
            <w:r>
              <w:rPr>
                <w:rFonts w:ascii="Calibri" w:hAnsi="Calibri"/>
                <w:b w:val="0"/>
                <w:i w:val="0"/>
                <w:color w:val="212121"/>
                <w:sz w:val="16"/>
              </w:rPr>
              <w:t>Saddle anaesthesia, lax tone, absent reflexes</w:t>
            </w:r>
          </w:p>
        </w:tc>
        <w:tc>
          <w:tcPr>
            <w:tcW w:type="dxa" w:w="1036"/>
            <w:vAlign w:val="top"/>
          </w:tcPr>
          <w:p>
            <w:pPr>
              <w:spacing w:after="40" w:before="0" w:line="259" w:lineRule="auto"/>
            </w:pPr>
            <w:r>
              <w:rPr>
                <w:rFonts w:ascii="Calibri" w:hAnsi="Calibri"/>
                <w:b w:val="0"/>
                <w:i w:val="0"/>
                <w:color w:val="212121"/>
                <w:sz w:val="16"/>
              </w:rPr>
              <w:t>Localises sacral (LMN) versus suprasacral (UMN) lesion</w:t>
            </w:r>
          </w:p>
        </w:tc>
        <w:tc>
          <w:tcPr>
            <w:tcW w:type="dxa" w:w="1036"/>
            <w:vAlign w:val="top"/>
          </w:tcPr>
          <w:p>
            <w:pPr>
              <w:spacing w:after="40" w:before="0" w:line="259" w:lineRule="auto"/>
            </w:pPr>
            <w:r>
              <w:rPr>
                <w:rFonts w:ascii="Calibri" w:hAnsi="Calibri"/>
                <w:b w:val="0"/>
                <w:i w:val="0"/>
                <w:color w:val="212121"/>
                <w:sz w:val="16"/>
              </w:rPr>
              <w:t>Cauda equina, conus, spina bifida</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Acute retention + saddle anaesthesia = cauda equina emergency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Abdominal &amp; bladder exam</w:t>
            </w:r>
          </w:p>
        </w:tc>
        <w:tc>
          <w:tcPr>
            <w:tcW w:type="dxa" w:w="979"/>
            <w:vAlign w:val="top"/>
          </w:tcPr>
          <w:p>
            <w:pPr>
              <w:spacing w:after="40" w:before="0" w:line="259" w:lineRule="auto"/>
            </w:pPr>
            <w:r>
              <w:rPr>
                <w:rFonts w:ascii="Calibri" w:hAnsi="Calibri"/>
                <w:b w:val="0"/>
                <w:i w:val="0"/>
                <w:color w:val="212121"/>
                <w:sz w:val="16"/>
              </w:rPr>
              <w:t>Palpable distended bladder, suprapubic dullness</w:t>
            </w:r>
          </w:p>
        </w:tc>
        <w:tc>
          <w:tcPr>
            <w:tcW w:type="dxa" w:w="950"/>
            <w:vAlign w:val="top"/>
          </w:tcPr>
          <w:p>
            <w:pPr>
              <w:spacing w:after="40" w:before="0" w:line="259" w:lineRule="auto"/>
            </w:pPr>
            <w:r>
              <w:rPr>
                <w:rFonts w:ascii="Calibri" w:hAnsi="Calibri"/>
                <w:b w:val="0"/>
                <w:i w:val="0"/>
                <w:color w:val="212121"/>
                <w:sz w:val="16"/>
              </w:rPr>
              <w:t>Non-palpable bladder</w:t>
            </w:r>
          </w:p>
        </w:tc>
        <w:tc>
          <w:tcPr>
            <w:tcW w:type="dxa" w:w="950"/>
            <w:vAlign w:val="top"/>
          </w:tcPr>
          <w:p>
            <w:pPr>
              <w:spacing w:after="40" w:before="0" w:line="259" w:lineRule="auto"/>
            </w:pPr>
            <w:r>
              <w:rPr>
                <w:rFonts w:ascii="Calibri" w:hAnsi="Calibri"/>
                <w:b w:val="0"/>
                <w:i w:val="0"/>
                <w:color w:val="212121"/>
                <w:sz w:val="16"/>
              </w:rPr>
              <w:t>Distended palpable bladder (chronic retention)</w:t>
            </w:r>
          </w:p>
        </w:tc>
        <w:tc>
          <w:tcPr>
            <w:tcW w:type="dxa" w:w="1036"/>
            <w:vAlign w:val="top"/>
          </w:tcPr>
          <w:p>
            <w:pPr>
              <w:spacing w:after="40" w:before="0" w:line="259" w:lineRule="auto"/>
            </w:pPr>
            <w:r>
              <w:rPr>
                <w:rFonts w:ascii="Calibri" w:hAnsi="Calibri"/>
                <w:b w:val="0"/>
                <w:i w:val="0"/>
                <w:color w:val="212121"/>
                <w:sz w:val="16"/>
              </w:rPr>
              <w:t>Detects chronic retention and overflow</w:t>
            </w:r>
          </w:p>
        </w:tc>
        <w:tc>
          <w:tcPr>
            <w:tcW w:type="dxa" w:w="1036"/>
            <w:vAlign w:val="top"/>
          </w:tcPr>
          <w:p>
            <w:pPr>
              <w:spacing w:after="40" w:before="0" w:line="259" w:lineRule="auto"/>
            </w:pPr>
            <w:r>
              <w:rPr>
                <w:rFonts w:ascii="Calibri" w:hAnsi="Calibri"/>
                <w:b w:val="0"/>
                <w:i w:val="0"/>
                <w:color w:val="212121"/>
                <w:sz w:val="16"/>
              </w:rPr>
              <w:t>Flaccid / acontractile bladder</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Correlate with post-void residual</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Autonomic dysreflexia screen</w:t>
            </w:r>
          </w:p>
        </w:tc>
        <w:tc>
          <w:tcPr>
            <w:tcW w:type="dxa" w:w="979"/>
            <w:vAlign w:val="top"/>
          </w:tcPr>
          <w:p>
            <w:pPr>
              <w:spacing w:after="40" w:before="0" w:line="259" w:lineRule="auto"/>
            </w:pPr>
            <w:r>
              <w:rPr>
                <w:rFonts w:ascii="Calibri" w:hAnsi="Calibri"/>
                <w:b w:val="0"/>
                <w:i w:val="0"/>
                <w:color w:val="212121"/>
                <w:sz w:val="16"/>
              </w:rPr>
              <w:t>Pounding headache, sweating, flushing, hypertension on bladder filling</w:t>
            </w:r>
          </w:p>
        </w:tc>
        <w:tc>
          <w:tcPr>
            <w:tcW w:type="dxa" w:w="950"/>
            <w:vAlign w:val="top"/>
          </w:tcPr>
          <w:p>
            <w:pPr>
              <w:spacing w:after="40" w:before="0" w:line="259" w:lineRule="auto"/>
            </w:pPr>
            <w:r>
              <w:rPr>
                <w:rFonts w:ascii="Calibri" w:hAnsi="Calibri"/>
                <w:b w:val="0"/>
                <w:i w:val="0"/>
                <w:color w:val="212121"/>
                <w:sz w:val="16"/>
              </w:rPr>
              <w:t>Stable BP, no symptoms</w:t>
            </w:r>
          </w:p>
        </w:tc>
        <w:tc>
          <w:tcPr>
            <w:tcW w:type="dxa" w:w="950"/>
            <w:vAlign w:val="top"/>
          </w:tcPr>
          <w:p>
            <w:pPr>
              <w:spacing w:after="40" w:before="0" w:line="259" w:lineRule="auto"/>
            </w:pPr>
            <w:r>
              <w:rPr>
                <w:rFonts w:ascii="Calibri" w:hAnsi="Calibri"/>
                <w:b w:val="0"/>
                <w:i w:val="0"/>
                <w:color w:val="212121"/>
                <w:sz w:val="16"/>
              </w:rPr>
              <w:t>Paroxysmal hypertension with bladder distension (lesion ≥ T6)</w:t>
            </w:r>
          </w:p>
        </w:tc>
        <w:tc>
          <w:tcPr>
            <w:tcW w:type="dxa" w:w="1036"/>
            <w:vAlign w:val="top"/>
          </w:tcPr>
          <w:p>
            <w:pPr>
              <w:spacing w:after="40" w:before="0" w:line="259" w:lineRule="auto"/>
            </w:pPr>
            <w:r>
              <w:rPr>
                <w:rFonts w:ascii="Calibri" w:hAnsi="Calibri"/>
                <w:b w:val="0"/>
                <w:i w:val="0"/>
                <w:color w:val="212121"/>
                <w:sz w:val="16"/>
              </w:rPr>
              <w:t>Identifies life-threatening autonomic dysreflexia</w:t>
            </w:r>
          </w:p>
        </w:tc>
        <w:tc>
          <w:tcPr>
            <w:tcW w:type="dxa" w:w="1036"/>
            <w:vAlign w:val="top"/>
          </w:tcPr>
          <w:p>
            <w:pPr>
              <w:spacing w:after="40" w:before="0" w:line="259" w:lineRule="auto"/>
            </w:pPr>
            <w:r>
              <w:rPr>
                <w:rFonts w:ascii="Calibri" w:hAnsi="Calibri"/>
                <w:b w:val="0"/>
                <w:i w:val="0"/>
                <w:color w:val="212121"/>
                <w:sz w:val="16"/>
              </w:rPr>
              <w:t>High spinal cord injury (≥ T6)</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Safety-critical</w:t>
            </w:r>
          </w:p>
        </w:tc>
        <w:tc>
          <w:tcPr>
            <w:tcW w:type="dxa" w:w="720"/>
            <w:vAlign w:val="top"/>
          </w:tcPr>
          <w:p>
            <w:pPr>
              <w:spacing w:after="40" w:before="0" w:line="259" w:lineRule="auto"/>
            </w:pPr>
            <w:r>
              <w:rPr>
                <w:rFonts w:ascii="Calibri" w:hAnsi="Calibri"/>
                <w:b w:val="0"/>
                <w:i w:val="0"/>
                <w:color w:val="212121"/>
                <w:sz w:val="16"/>
              </w:rPr>
              <w:t>Relieve the trigger — drain the bladder — immediately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Bowel &amp; skin assessment</w:t>
            </w:r>
          </w:p>
        </w:tc>
        <w:tc>
          <w:tcPr>
            <w:tcW w:type="dxa" w:w="979"/>
            <w:vAlign w:val="top"/>
          </w:tcPr>
          <w:p>
            <w:pPr>
              <w:spacing w:after="40" w:before="0" w:line="259" w:lineRule="auto"/>
            </w:pPr>
            <w:r>
              <w:rPr>
                <w:rFonts w:ascii="Calibri" w:hAnsi="Calibri"/>
                <w:b w:val="0"/>
                <w:i w:val="0"/>
                <w:color w:val="212121"/>
                <w:sz w:val="16"/>
              </w:rPr>
              <w:t>Constipation, pressure sores, perineal skin condition</w:t>
            </w:r>
          </w:p>
        </w:tc>
        <w:tc>
          <w:tcPr>
            <w:tcW w:type="dxa" w:w="950"/>
            <w:vAlign w:val="top"/>
          </w:tcPr>
          <w:p>
            <w:pPr>
              <w:spacing w:after="40" w:before="0" w:line="259" w:lineRule="auto"/>
            </w:pPr>
            <w:r>
              <w:rPr>
                <w:rFonts w:ascii="Calibri" w:hAnsi="Calibri"/>
                <w:b w:val="0"/>
                <w:i w:val="0"/>
                <w:color w:val="212121"/>
                <w:sz w:val="16"/>
              </w:rPr>
              <w:t>Regular bowels, intact skin</w:t>
            </w:r>
          </w:p>
        </w:tc>
        <w:tc>
          <w:tcPr>
            <w:tcW w:type="dxa" w:w="950"/>
            <w:vAlign w:val="top"/>
          </w:tcPr>
          <w:p>
            <w:pPr>
              <w:spacing w:after="40" w:before="0" w:line="259" w:lineRule="auto"/>
            </w:pPr>
            <w:r>
              <w:rPr>
                <w:rFonts w:ascii="Calibri" w:hAnsi="Calibri"/>
                <w:b w:val="0"/>
                <w:i w:val="0"/>
                <w:color w:val="212121"/>
                <w:sz w:val="16"/>
              </w:rPr>
              <w:t>Constipation, incontinence-associated dermatitis, pressure sores</w:t>
            </w:r>
          </w:p>
        </w:tc>
        <w:tc>
          <w:tcPr>
            <w:tcW w:type="dxa" w:w="1036"/>
            <w:vAlign w:val="top"/>
          </w:tcPr>
          <w:p>
            <w:pPr>
              <w:spacing w:after="40" w:before="0" w:line="259" w:lineRule="auto"/>
            </w:pPr>
            <w:r>
              <w:rPr>
                <w:rFonts w:ascii="Calibri" w:hAnsi="Calibri"/>
                <w:b w:val="0"/>
                <w:i w:val="0"/>
                <w:color w:val="212121"/>
                <w:sz w:val="16"/>
              </w:rPr>
              <w:t>Reveals coexisting neurogenic bowel and skin breakdown</w:t>
            </w:r>
          </w:p>
        </w:tc>
        <w:tc>
          <w:tcPr>
            <w:tcW w:type="dxa" w:w="1036"/>
            <w:vAlign w:val="top"/>
          </w:tcPr>
          <w:p>
            <w:pPr>
              <w:spacing w:after="40" w:before="0" w:line="259" w:lineRule="auto"/>
            </w:pPr>
            <w:r>
              <w:rPr>
                <w:rFonts w:ascii="Calibri" w:hAnsi="Calibri"/>
                <w:b w:val="0"/>
                <w:i w:val="0"/>
                <w:color w:val="212121"/>
                <w:sz w:val="16"/>
              </w:rPr>
              <w:t>Immobile / SCI patients</w:t>
            </w:r>
          </w:p>
        </w:tc>
        <w:tc>
          <w:tcPr>
            <w:tcW w:type="dxa" w:w="720"/>
            <w:vAlign w:val="top"/>
          </w:tcPr>
          <w:p>
            <w:pPr>
              <w:spacing w:after="40" w:before="0" w:line="259" w:lineRule="auto"/>
            </w:pPr>
            <w:r>
              <w:rPr>
                <w:rFonts w:ascii="Calibri" w:hAnsi="Calibri"/>
                <w:b w:val="0"/>
                <w:i w:val="0"/>
                <w:color w:val="212121"/>
                <w:sz w:val="16"/>
              </w:rPr>
              <w:t>Hygiene; 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Bladder–bowel dysfunction commonly cluster together</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Urinary urgency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Sudden compelling need to void from detrusor overactivity (spastic bladder).</w:t>
            </w:r>
          </w:p>
        </w:tc>
      </w:tr>
      <w:tr>
        <w:trPr>
          <w:cantSplit/>
        </w:trPr>
        <w:tc>
          <w:tcPr>
            <w:tcW w:type="dxa" w:w="2304"/>
            <w:vAlign w:val="top"/>
          </w:tcPr>
          <w:p>
            <w:pPr>
              <w:spacing w:after="40" w:before="0" w:line="259" w:lineRule="auto"/>
            </w:pPr>
            <w:r>
              <w:rPr>
                <w:rFonts w:ascii="Calibri" w:hAnsi="Calibri"/>
                <w:b/>
                <w:i w:val="0"/>
                <w:color w:val="212121"/>
                <w:sz w:val="19"/>
              </w:rPr>
              <w:t>Urinary frequency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Frequent small-volume voids due to reduced functional bladder capacity.</w:t>
            </w:r>
          </w:p>
        </w:tc>
      </w:tr>
      <w:tr>
        <w:trPr>
          <w:cantSplit/>
        </w:trPr>
        <w:tc>
          <w:tcPr>
            <w:tcW w:type="dxa" w:w="2304"/>
            <w:vAlign w:val="top"/>
          </w:tcPr>
          <w:p>
            <w:pPr>
              <w:spacing w:after="40" w:before="0" w:line="259" w:lineRule="auto"/>
            </w:pPr>
            <w:r>
              <w:rPr>
                <w:rFonts w:ascii="Calibri" w:hAnsi="Calibri"/>
                <w:b/>
                <w:i w:val="0"/>
                <w:color w:val="212121"/>
                <w:sz w:val="19"/>
              </w:rPr>
              <w:t>Urge urinary incontinence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Involuntary leakage accompanying urgency in the overactive bladder.</w:t>
            </w:r>
          </w:p>
        </w:tc>
      </w:tr>
      <w:tr>
        <w:trPr>
          <w:cantSplit/>
        </w:trPr>
        <w:tc>
          <w:tcPr>
            <w:tcW w:type="dxa" w:w="2304"/>
            <w:vAlign w:val="top"/>
          </w:tcPr>
          <w:p>
            <w:pPr>
              <w:spacing w:after="40" w:before="0" w:line="259" w:lineRule="auto"/>
            </w:pPr>
            <w:r>
              <w:rPr>
                <w:rFonts w:ascii="Calibri" w:hAnsi="Calibri"/>
                <w:b/>
                <w:i w:val="0"/>
                <w:color w:val="212121"/>
                <w:sz w:val="19"/>
              </w:rPr>
              <w:t>Urinary retention / incomplete emptying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Difficulty emptying from an underactive detrusor or detrusor–sphincter dyssynergia.</w:t>
            </w:r>
          </w:p>
        </w:tc>
      </w:tr>
      <w:tr>
        <w:trPr>
          <w:cantSplit/>
        </w:trPr>
        <w:tc>
          <w:tcPr>
            <w:tcW w:type="dxa" w:w="2304"/>
            <w:vAlign w:val="top"/>
          </w:tcPr>
          <w:p>
            <w:pPr>
              <w:spacing w:after="40" w:before="0" w:line="259" w:lineRule="auto"/>
            </w:pPr>
            <w:r>
              <w:rPr>
                <w:rFonts w:ascii="Calibri" w:hAnsi="Calibri"/>
                <w:b/>
                <w:i w:val="0"/>
                <w:color w:val="212121"/>
                <w:sz w:val="19"/>
              </w:rPr>
              <w:t>Nocturia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Waking at night to void due to detrusor overactivity or nocturnal polyuria.</w:t>
            </w:r>
          </w:p>
        </w:tc>
      </w:tr>
      <w:tr>
        <w:trPr>
          <w:cantSplit/>
        </w:trPr>
        <w:tc>
          <w:tcPr>
            <w:tcW w:type="dxa" w:w="2304"/>
            <w:vAlign w:val="top"/>
          </w:tcPr>
          <w:p>
            <w:pPr>
              <w:spacing w:after="40" w:before="0" w:line="259" w:lineRule="auto"/>
            </w:pPr>
            <w:r>
              <w:rPr>
                <w:rFonts w:ascii="Calibri" w:hAnsi="Calibri"/>
                <w:b/>
                <w:i w:val="0"/>
                <w:color w:val="212121"/>
                <w:sz w:val="19"/>
              </w:rPr>
              <w:t>Hesitancy, weak or interrupted stream &amp; straining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Reflects poor detrusor contraction or outlet dyssynergia.</w:t>
            </w:r>
          </w:p>
        </w:tc>
      </w:tr>
      <w:tr>
        <w:trPr>
          <w:cantSplit/>
        </w:trPr>
        <w:tc>
          <w:tcPr>
            <w:tcW w:type="dxa" w:w="2304"/>
            <w:vAlign w:val="top"/>
          </w:tcPr>
          <w:p>
            <w:pPr>
              <w:spacing w:after="40" w:before="0" w:line="259" w:lineRule="auto"/>
            </w:pPr>
            <w:r>
              <w:rPr>
                <w:rFonts w:ascii="Calibri" w:hAnsi="Calibri"/>
                <w:b/>
                <w:i w:val="0"/>
                <w:color w:val="212121"/>
                <w:sz w:val="19"/>
              </w:rPr>
              <w:t>Recurrent UTI symptoms (dysuria, cloudy/malodorous urine)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From urinary stasis and catheterization; a frequent presenting feature.</w:t>
            </w:r>
          </w:p>
        </w:tc>
      </w:tr>
      <w:tr>
        <w:trPr>
          <w:cantSplit/>
        </w:trPr>
        <w:tc>
          <w:tcPr>
            <w:tcW w:type="dxa" w:w="2304"/>
            <w:vAlign w:val="top"/>
          </w:tcPr>
          <w:p>
            <w:pPr>
              <w:spacing w:after="40" w:before="0" w:line="259" w:lineRule="auto"/>
            </w:pPr>
            <w:r>
              <w:rPr>
                <w:rFonts w:ascii="Calibri" w:hAnsi="Calibri"/>
                <w:b/>
                <w:i w:val="0"/>
                <w:color w:val="212121"/>
                <w:sz w:val="19"/>
              </w:rPr>
              <w:t>Constipation / bowel dysfunction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Coexisting neurogenic bowel from the same neurological lesion.</w:t>
            </w:r>
          </w:p>
        </w:tc>
      </w:tr>
      <w:tr>
        <w:trPr>
          <w:cantSplit/>
        </w:trPr>
        <w:tc>
          <w:tcPr>
            <w:tcW w:type="dxa" w:w="2304"/>
            <w:vAlign w:val="top"/>
          </w:tcPr>
          <w:p>
            <w:pPr>
              <w:spacing w:after="40" w:before="0" w:line="259" w:lineRule="auto"/>
            </w:pPr>
            <w:r>
              <w:rPr>
                <w:rFonts w:ascii="Calibri" w:hAnsi="Calibri"/>
                <w:b/>
                <w:i w:val="0"/>
                <w:color w:val="212121"/>
                <w:sz w:val="19"/>
              </w:rPr>
              <w:t>Overflow incontinence (continuous dribbling)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Leakage from a chronically distended, acontractile bladder.</w:t>
            </w:r>
          </w:p>
        </w:tc>
      </w:tr>
      <w:tr>
        <w:trPr>
          <w:cantSplit/>
        </w:trPr>
        <w:tc>
          <w:tcPr>
            <w:tcW w:type="dxa" w:w="2304"/>
            <w:vAlign w:val="top"/>
          </w:tcPr>
          <w:p>
            <w:pPr>
              <w:spacing w:after="40" w:before="0" w:line="259" w:lineRule="auto"/>
            </w:pPr>
            <w:r>
              <w:rPr>
                <w:rFonts w:ascii="Calibri" w:hAnsi="Calibri"/>
                <w:b/>
                <w:i w:val="0"/>
                <w:color w:val="212121"/>
                <w:sz w:val="19"/>
              </w:rPr>
              <w:t>Loss of bladder-filling sensation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Absent awareness of fullness in sacral or diabetic (sensory) lesions.</w:t>
            </w:r>
          </w:p>
        </w:tc>
      </w:tr>
      <w:tr>
        <w:trPr>
          <w:cantSplit/>
        </w:trPr>
        <w:tc>
          <w:tcPr>
            <w:tcW w:type="dxa" w:w="2304"/>
            <w:vAlign w:val="top"/>
          </w:tcPr>
          <w:p>
            <w:pPr>
              <w:spacing w:after="40" w:before="0" w:line="259" w:lineRule="auto"/>
            </w:pPr>
            <w:r>
              <w:rPr>
                <w:rFonts w:ascii="Calibri" w:hAnsi="Calibri"/>
                <w:b/>
                <w:i w:val="0"/>
                <w:color w:val="212121"/>
                <w:sz w:val="19"/>
              </w:rPr>
              <w:t>Suprapubic discomfort or fullness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Due to chronic bladder distension.</w:t>
            </w:r>
          </w:p>
        </w:tc>
      </w:tr>
      <w:tr>
        <w:trPr>
          <w:cantSplit/>
        </w:trPr>
        <w:tc>
          <w:tcPr>
            <w:tcW w:type="dxa" w:w="2304"/>
            <w:vAlign w:val="top"/>
          </w:tcPr>
          <w:p>
            <w:pPr>
              <w:spacing w:after="40" w:before="0" w:line="259" w:lineRule="auto"/>
            </w:pPr>
            <w:r>
              <w:rPr>
                <w:rFonts w:ascii="Calibri" w:hAnsi="Calibri"/>
                <w:b/>
                <w:i w:val="0"/>
                <w:color w:val="212121"/>
                <w:sz w:val="19"/>
              </w:rPr>
              <w:t>Autonomic dysreflexia symptoms (pounding headache, sweating, flushing)</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Triggered by bladder distension in cord lesions ≥ T6 — a hypertensive emergency.</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Palpable, percussible distended bladder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Suprapubic dullness indicating chronic urinary retention.</w:t>
            </w:r>
          </w:p>
        </w:tc>
      </w:tr>
      <w:tr>
        <w:trPr>
          <w:cantSplit/>
        </w:trPr>
        <w:tc>
          <w:tcPr>
            <w:tcW w:type="dxa" w:w="3456"/>
            <w:vAlign w:val="top"/>
          </w:tcPr>
          <w:p>
            <w:pPr>
              <w:spacing w:after="40" w:before="0" w:line="259" w:lineRule="auto"/>
            </w:pPr>
            <w:r>
              <w:rPr>
                <w:rFonts w:ascii="Calibri" w:hAnsi="Calibri"/>
                <w:b/>
                <w:i w:val="0"/>
                <w:color w:val="212121"/>
                <w:sz w:val="19"/>
              </w:rPr>
              <w:t>Elevated post-void residual on bladder scan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 evidence of incomplete emptying.</w:t>
            </w:r>
          </w:p>
        </w:tc>
      </w:tr>
      <w:tr>
        <w:trPr>
          <w:cantSplit/>
        </w:trPr>
        <w:tc>
          <w:tcPr>
            <w:tcW w:type="dxa" w:w="3456"/>
            <w:vAlign w:val="top"/>
          </w:tcPr>
          <w:p>
            <w:pPr>
              <w:spacing w:after="40" w:before="0" w:line="259" w:lineRule="auto"/>
            </w:pPr>
            <w:r>
              <w:rPr>
                <w:rFonts w:ascii="Calibri" w:hAnsi="Calibri"/>
                <w:b/>
                <w:i w:val="0"/>
                <w:color w:val="212121"/>
                <w:sz w:val="19"/>
              </w:rPr>
              <w:t>Reduced perineal sensation (S2–S4) / saddle anaesthesia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Sign of a sacral cord or cauda equina lesion.</w:t>
            </w:r>
          </w:p>
        </w:tc>
      </w:tr>
      <w:tr>
        <w:trPr>
          <w:cantSplit/>
        </w:trPr>
        <w:tc>
          <w:tcPr>
            <w:tcW w:type="dxa" w:w="3456"/>
            <w:vAlign w:val="top"/>
          </w:tcPr>
          <w:p>
            <w:pPr>
              <w:spacing w:after="40" w:before="0" w:line="259" w:lineRule="auto"/>
            </w:pPr>
            <w:r>
              <w:rPr>
                <w:rFonts w:ascii="Calibri" w:hAnsi="Calibri"/>
                <w:b/>
                <w:i w:val="0"/>
                <w:color w:val="212121"/>
                <w:sz w:val="19"/>
              </w:rPr>
              <w:t>Lax anal sphincter tone; absent bulbocavernosus &amp; anal reflexes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Lower-motor-neuron (sacral) lesion pattern.</w:t>
            </w:r>
          </w:p>
        </w:tc>
      </w:tr>
      <w:tr>
        <w:trPr>
          <w:cantSplit/>
        </w:trPr>
        <w:tc>
          <w:tcPr>
            <w:tcW w:type="dxa" w:w="3456"/>
            <w:vAlign w:val="top"/>
          </w:tcPr>
          <w:p>
            <w:pPr>
              <w:spacing w:after="40" w:before="0" w:line="259" w:lineRule="auto"/>
            </w:pPr>
            <w:r>
              <w:rPr>
                <w:rFonts w:ascii="Calibri" w:hAnsi="Calibri"/>
                <w:b/>
                <w:i w:val="0"/>
                <w:color w:val="212121"/>
                <w:sz w:val="19"/>
              </w:rPr>
              <w:t>Exaggerated sacral reflexes, lower-limb spasticity &amp; hyperreflexia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Upper-motor-neuron (suprasacral) lesion pattern.</w:t>
            </w:r>
          </w:p>
        </w:tc>
      </w:tr>
      <w:tr>
        <w:trPr>
          <w:cantSplit/>
        </w:trPr>
        <w:tc>
          <w:tcPr>
            <w:tcW w:type="dxa" w:w="3456"/>
            <w:vAlign w:val="top"/>
          </w:tcPr>
          <w:p>
            <w:pPr>
              <w:spacing w:after="40" w:before="0" w:line="259" w:lineRule="auto"/>
            </w:pPr>
            <w:r>
              <w:rPr>
                <w:rFonts w:ascii="Calibri" w:hAnsi="Calibri"/>
                <w:b/>
                <w:i w:val="0"/>
                <w:color w:val="212121"/>
                <w:sz w:val="19"/>
              </w:rPr>
              <w:t>Trabeculated, thick-walled bladder on imaging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Result of chronic high-pressure storage against outlet resistance.</w:t>
            </w:r>
          </w:p>
        </w:tc>
      </w:tr>
      <w:tr>
        <w:trPr>
          <w:cantSplit/>
        </w:trPr>
        <w:tc>
          <w:tcPr>
            <w:tcW w:type="dxa" w:w="3456"/>
            <w:vAlign w:val="top"/>
          </w:tcPr>
          <w:p>
            <w:pPr>
              <w:spacing w:after="40" w:before="0" w:line="259" w:lineRule="auto"/>
            </w:pPr>
            <w:r>
              <w:rPr>
                <w:rFonts w:ascii="Calibri" w:hAnsi="Calibri"/>
                <w:b/>
                <w:i w:val="0"/>
                <w:color w:val="212121"/>
                <w:sz w:val="19"/>
              </w:rPr>
              <w:t>Positive urine dipstick (leucocytes / nitrites)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Associated urinary tract infection.</w:t>
            </w:r>
          </w:p>
        </w:tc>
      </w:tr>
      <w:tr>
        <w:trPr>
          <w:cantSplit/>
        </w:trPr>
        <w:tc>
          <w:tcPr>
            <w:tcW w:type="dxa" w:w="3456"/>
            <w:vAlign w:val="top"/>
          </w:tcPr>
          <w:p>
            <w:pPr>
              <w:spacing w:after="40" w:before="0" w:line="259" w:lineRule="auto"/>
            </w:pPr>
            <w:r>
              <w:rPr>
                <w:rFonts w:ascii="Calibri" w:hAnsi="Calibri"/>
                <w:b/>
                <w:i w:val="0"/>
                <w:color w:val="212121"/>
                <w:sz w:val="19"/>
              </w:rPr>
              <w:t>Incontinence-associated dermatitis / pressure sores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In immobile, chronically incontinent patients.</w:t>
            </w:r>
          </w:p>
        </w:tc>
      </w:tr>
      <w:tr>
        <w:trPr>
          <w:cantSplit/>
        </w:trPr>
        <w:tc>
          <w:tcPr>
            <w:tcW w:type="dxa" w:w="3456"/>
            <w:vAlign w:val="top"/>
          </w:tcPr>
          <w:p>
            <w:pPr>
              <w:spacing w:after="40" w:before="0" w:line="259" w:lineRule="auto"/>
            </w:pPr>
            <w:r>
              <w:rPr>
                <w:rFonts w:ascii="Calibri" w:hAnsi="Calibri"/>
                <w:b/>
                <w:i w:val="0"/>
                <w:color w:val="212121"/>
                <w:sz w:val="19"/>
              </w:rPr>
              <w:t>Hydronephrosis on ultrasound</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Marker of upper-tract decompensation from sustained high pressures.</w:t>
            </w:r>
          </w:p>
        </w:tc>
      </w:tr>
      <w:tr>
        <w:trPr>
          <w:cantSplit/>
        </w:trPr>
        <w:tc>
          <w:tcPr>
            <w:tcW w:type="dxa" w:w="3456"/>
            <w:vAlign w:val="top"/>
          </w:tcPr>
          <w:p>
            <w:pPr>
              <w:spacing w:after="40" w:before="0" w:line="259" w:lineRule="auto"/>
            </w:pPr>
            <w:r>
              <w:rPr>
                <w:rFonts w:ascii="Calibri" w:hAnsi="Calibri"/>
                <w:b/>
                <w:i w:val="0"/>
                <w:color w:val="212121"/>
                <w:sz w:val="19"/>
              </w:rPr>
              <w:t>Paroxysmal hypertension with bradycardia on bladder filling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Autonomic dysreflexia in high spinal cord lesions (≥ T6).</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urinary tract infections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Urinary incontinence and/or retention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Bladder overdistension and detrusor decompensation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Autonomic dysreflexia (cord lesions ≥ T6)</w:t>
            </w:r>
          </w:p>
        </w:tc>
        <w:tc>
          <w:tcPr>
            <w:tcW w:type="dxa" w:w="2980"/>
            <w:vAlign w:val="top"/>
          </w:tcPr>
          <w:p>
            <w:pPr>
              <w:spacing w:after="40" w:before="0" w:line="259" w:lineRule="auto"/>
            </w:pPr>
            <w:r>
              <w:rPr>
                <w:rFonts w:ascii="Calibri" w:hAnsi="Calibri"/>
                <w:b w:val="0"/>
                <w:i w:val="0"/>
                <w:color w:val="212121"/>
                <w:sz w:val="19"/>
              </w:rPr>
              <w:t>Direct early consequences of impaired storage/emptying and of elevated bladder pressures.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Vesicoureteral reflux</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Hydronephrosis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Bladder and kidney stones (urolithiasis)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Low-compliance, high-pressure bladder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pyelonephritis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Bladder trabeculation and diverticula</w:t>
            </w:r>
          </w:p>
        </w:tc>
        <w:tc>
          <w:tcPr>
            <w:tcW w:type="dxa" w:w="2980"/>
            <w:vAlign w:val="top"/>
          </w:tcPr>
          <w:p>
            <w:pPr>
              <w:spacing w:after="40" w:before="0" w:line="259" w:lineRule="auto"/>
            </w:pPr>
            <w:r>
              <w:rPr>
                <w:rFonts w:ascii="Calibri" w:hAnsi="Calibri"/>
                <w:b w:val="0"/>
                <w:i w:val="0"/>
                <w:color w:val="212121"/>
                <w:sz w:val="19"/>
              </w:rPr>
              <w:t>Result from sustained storage pressures (&gt; 40 cmH₂O), stasis and repeated infection.</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kidney disease progressing to end-stage renal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Renal failure requiring dialysis or transplantation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Urosepsis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Squamous cell carcinoma of the bladder (chronic catheter/stones)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pressure ulcers and loss of independence</w:t>
            </w:r>
          </w:p>
        </w:tc>
        <w:tc>
          <w:tcPr>
            <w:tcW w:type="dxa" w:w="2980"/>
            <w:vAlign w:val="top"/>
          </w:tcPr>
          <w:p>
            <w:pPr>
              <w:spacing w:after="40" w:before="0" w:line="259" w:lineRule="auto"/>
            </w:pPr>
            <w:r>
              <w:rPr>
                <w:rFonts w:ascii="Calibri" w:hAnsi="Calibri"/>
                <w:b w:val="0"/>
                <w:i w:val="0"/>
                <w:color w:val="212121"/>
                <w:sz w:val="19"/>
              </w:rPr>
              <w:t>Irreversible, life-threatening outcomes of long-standing untreated disease — historically a leading cause of death after spinal cord injury.</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Spinal cord injury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archetypal structural cause; injury level dictates whether the bladder is overactive-dyssynergic or flaccid, and drives all management.</w:t>
            </w:r>
          </w:p>
          <w:p>
            <w:pPr>
              <w:spacing w:after="40" w:before="0" w:line="259" w:lineRule="auto"/>
            </w:pPr>
            <w:r>
              <w:rPr>
                <w:rFonts w:ascii="Calibri" w:hAnsi="Calibri"/>
                <w:b/>
                <w:i w:val="0"/>
                <w:color w:val="212121"/>
                <w:sz w:val="19"/>
              </w:rPr>
              <w:t>70–84%</w:t>
            </w:r>
          </w:p>
        </w:tc>
      </w:tr>
      <w:tr>
        <w:trPr>
          <w:cantSplit/>
        </w:trPr>
        <w:tc>
          <w:tcPr>
            <w:tcW w:type="dxa" w:w="2232"/>
            <w:vAlign w:val="top"/>
          </w:tcPr>
          <w:p>
            <w:pPr>
              <w:spacing w:after="40" w:before="0" w:line="259" w:lineRule="auto"/>
            </w:pPr>
            <w:r>
              <w:rPr>
                <w:rFonts w:ascii="Calibri" w:hAnsi="Calibri"/>
                <w:b/>
                <w:i w:val="0"/>
                <w:color w:val="212121"/>
                <w:sz w:val="19"/>
              </w:rPr>
              <w:t>Diabetes mellitus (diabetic cystopathy)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Autonomic neuropathy produces impaired sensation, poor contractility and retention; glycaemic control and bladder function influence each other.</w:t>
            </w:r>
          </w:p>
          <w:p>
            <w:pPr>
              <w:spacing w:after="40" w:before="0" w:line="259" w:lineRule="auto"/>
            </w:pPr>
            <w:r>
              <w:rPr>
                <w:rFonts w:ascii="Calibri" w:hAnsi="Calibri"/>
                <w:b/>
                <w:i w:val="0"/>
                <w:color w:val="212121"/>
                <w:sz w:val="19"/>
              </w:rPr>
              <w:t>50–80%</w:t>
            </w:r>
          </w:p>
        </w:tc>
      </w:tr>
      <w:tr>
        <w:trPr>
          <w:cantSplit/>
        </w:trPr>
        <w:tc>
          <w:tcPr>
            <w:tcW w:type="dxa" w:w="2232"/>
            <w:vAlign w:val="top"/>
          </w:tcPr>
          <w:p>
            <w:pPr>
              <w:spacing w:after="40" w:before="0" w:line="259" w:lineRule="auto"/>
            </w:pPr>
            <w:r>
              <w:rPr>
                <w:rFonts w:ascii="Calibri" w:hAnsi="Calibri"/>
                <w:b/>
                <w:i w:val="0"/>
                <w:color w:val="212121"/>
                <w:sz w:val="19"/>
              </w:rPr>
              <w:t>Multiple sclerosis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Demyelination of cord/brainstem micturition pathways causes detrusor overactivity and dyssynergia; bladder care is central to MS rehabilitation.</w:t>
            </w:r>
          </w:p>
          <w:p>
            <w:pPr>
              <w:spacing w:after="40" w:before="0" w:line="259" w:lineRule="auto"/>
            </w:pPr>
            <w:r>
              <w:rPr>
                <w:rFonts w:ascii="Calibri" w:hAnsi="Calibri"/>
                <w:b/>
                <w:i w:val="0"/>
                <w:color w:val="212121"/>
                <w:sz w:val="19"/>
              </w:rPr>
              <w:t>40–90%</w:t>
            </w:r>
          </w:p>
        </w:tc>
      </w:tr>
      <w:tr>
        <w:trPr>
          <w:cantSplit/>
        </w:trPr>
        <w:tc>
          <w:tcPr>
            <w:tcW w:type="dxa" w:w="2232"/>
            <w:vAlign w:val="top"/>
          </w:tcPr>
          <w:p>
            <w:pPr>
              <w:spacing w:after="40" w:before="0" w:line="259" w:lineRule="auto"/>
            </w:pPr>
            <w:r>
              <w:rPr>
                <w:rFonts w:ascii="Calibri" w:hAnsi="Calibri"/>
                <w:b/>
                <w:i w:val="0"/>
                <w:color w:val="212121"/>
                <w:sz w:val="19"/>
              </w:rPr>
              <w:t>Stroke / cerebrovascular disease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Loss of cortical inhibition causes detrusor overactivity and urge incontinence; early incontinence predicts poorer recovery.</w:t>
            </w:r>
          </w:p>
          <w:p>
            <w:pPr>
              <w:spacing w:after="40" w:before="0" w:line="259" w:lineRule="auto"/>
            </w:pPr>
            <w:r>
              <w:rPr>
                <w:rFonts w:ascii="Calibri" w:hAnsi="Calibri"/>
                <w:b/>
                <w:i w:val="0"/>
                <w:color w:val="212121"/>
                <w:sz w:val="19"/>
              </w:rPr>
              <w:t>Up to 53%</w:t>
            </w:r>
          </w:p>
        </w:tc>
      </w:tr>
      <w:tr>
        <w:trPr>
          <w:cantSplit/>
        </w:trPr>
        <w:tc>
          <w:tcPr>
            <w:tcW w:type="dxa" w:w="2232"/>
            <w:vAlign w:val="top"/>
          </w:tcPr>
          <w:p>
            <w:pPr>
              <w:spacing w:after="40" w:before="0" w:line="259" w:lineRule="auto"/>
            </w:pPr>
            <w:r>
              <w:rPr>
                <w:rFonts w:ascii="Calibri" w:hAnsi="Calibri"/>
                <w:b/>
                <w:i w:val="0"/>
                <w:color w:val="212121"/>
                <w:sz w:val="19"/>
              </w:rPr>
              <w:t>Parkinson's disease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Basal-ganglia dysfunction causes detrusor overactivity, urgency and nocturia, complicating antiparkinsonian and anticholinergic therapy.</w:t>
            </w:r>
          </w:p>
          <w:p>
            <w:pPr>
              <w:spacing w:after="40" w:before="0" w:line="259" w:lineRule="auto"/>
            </w:pPr>
            <w:r>
              <w:rPr>
                <w:rFonts w:ascii="Calibri" w:hAnsi="Calibri"/>
                <w:b/>
                <w:i w:val="0"/>
                <w:color w:val="212121"/>
                <w:sz w:val="19"/>
              </w:rPr>
              <w:t>37–72%</w:t>
            </w:r>
          </w:p>
        </w:tc>
      </w:tr>
      <w:tr>
        <w:trPr>
          <w:cantSplit/>
        </w:trPr>
        <w:tc>
          <w:tcPr>
            <w:tcW w:type="dxa" w:w="2232"/>
            <w:vAlign w:val="top"/>
          </w:tcPr>
          <w:p>
            <w:pPr>
              <w:spacing w:after="40" w:before="0" w:line="259" w:lineRule="auto"/>
            </w:pPr>
            <w:r>
              <w:rPr>
                <w:rFonts w:ascii="Calibri" w:hAnsi="Calibri"/>
                <w:b/>
                <w:i w:val="0"/>
                <w:color w:val="212121"/>
                <w:sz w:val="19"/>
              </w:rPr>
              <w:t>Spina bifida / meningomyelocele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Congenital sacral cord/root malformation causes lifelong neurogenic bladder requiring early pressure control to protect kidneys.</w:t>
            </w:r>
          </w:p>
          <w:p>
            <w:pPr>
              <w:spacing w:after="40" w:before="0" w:line="259" w:lineRule="auto"/>
            </w:pPr>
            <w:r>
              <w:rPr>
                <w:rFonts w:ascii="Calibri" w:hAnsi="Calibri"/>
                <w:b/>
                <w:i w:val="0"/>
                <w:color w:val="212121"/>
                <w:sz w:val="19"/>
              </w:rPr>
              <w:t>Up to 61%</w:t>
            </w:r>
          </w:p>
        </w:tc>
      </w:tr>
      <w:tr>
        <w:trPr>
          <w:cantSplit/>
        </w:trPr>
        <w:tc>
          <w:tcPr>
            <w:tcW w:type="dxa" w:w="2232"/>
            <w:vAlign w:val="top"/>
          </w:tcPr>
          <w:p>
            <w:pPr>
              <w:spacing w:after="40" w:before="0" w:line="259" w:lineRule="auto"/>
            </w:pPr>
            <w:r>
              <w:rPr>
                <w:rFonts w:ascii="Calibri" w:hAnsi="Calibri"/>
                <w:b/>
                <w:i w:val="0"/>
                <w:color w:val="212121"/>
                <w:sz w:val="19"/>
              </w:rPr>
              <w:t>Recurrent urinary tract infection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Urinary stasis and catheterization make UTI the single most common complication and a driver of hospitalisation.</w:t>
            </w:r>
          </w:p>
        </w:tc>
      </w:tr>
      <w:tr>
        <w:trPr>
          <w:cantSplit/>
        </w:trPr>
        <w:tc>
          <w:tcPr>
            <w:tcW w:type="dxa" w:w="2232"/>
            <w:vAlign w:val="top"/>
          </w:tcPr>
          <w:p>
            <w:pPr>
              <w:spacing w:after="40" w:before="0" w:line="259" w:lineRule="auto"/>
            </w:pPr>
            <w:r>
              <w:rPr>
                <w:rFonts w:ascii="Calibri" w:hAnsi="Calibri"/>
                <w:b/>
                <w:i w:val="0"/>
                <w:color w:val="212121"/>
                <w:sz w:val="19"/>
              </w:rPr>
              <w:t>Chronic kidney disease / renal failure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Sustained high storage pressures and reflux cause progressive nephropathy — the most feared outcome.</w:t>
            </w:r>
          </w:p>
        </w:tc>
      </w:tr>
      <w:tr>
        <w:trPr>
          <w:cantSplit/>
        </w:trPr>
        <w:tc>
          <w:tcPr>
            <w:tcW w:type="dxa" w:w="2232"/>
            <w:vAlign w:val="top"/>
          </w:tcPr>
          <w:p>
            <w:pPr>
              <w:spacing w:after="40" w:before="0" w:line="259" w:lineRule="auto"/>
            </w:pPr>
            <w:r>
              <w:rPr>
                <w:rFonts w:ascii="Calibri" w:hAnsi="Calibri"/>
                <w:b/>
                <w:i w:val="0"/>
                <w:color w:val="212121"/>
                <w:sz w:val="19"/>
              </w:rPr>
              <w:t>Urolithiasis (bladder &amp; kidney stones)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Stasis, infection with urease-producing organisms and immobilisation hypercalciuria promote stone formation.</w:t>
            </w:r>
          </w:p>
        </w:tc>
      </w:tr>
      <w:tr>
        <w:trPr>
          <w:cantSplit/>
        </w:trPr>
        <w:tc>
          <w:tcPr>
            <w:tcW w:type="dxa" w:w="2232"/>
            <w:vAlign w:val="top"/>
          </w:tcPr>
          <w:p>
            <w:pPr>
              <w:spacing w:after="40" w:before="0" w:line="259" w:lineRule="auto"/>
            </w:pPr>
            <w:r>
              <w:rPr>
                <w:rFonts w:ascii="Calibri" w:hAnsi="Calibri"/>
                <w:b/>
                <w:i w:val="0"/>
                <w:color w:val="212121"/>
                <w:sz w:val="19"/>
              </w:rPr>
              <w:t>Vesicoureteral reflux &amp; hydronephrosis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High intravesical pressure forces urine retrograde, dilating the upper tracts and accelerating renal damage.</w:t>
            </w:r>
          </w:p>
        </w:tc>
      </w:tr>
      <w:tr>
        <w:trPr>
          <w:cantSplit/>
        </w:trPr>
        <w:tc>
          <w:tcPr>
            <w:tcW w:type="dxa" w:w="2232"/>
            <w:vAlign w:val="top"/>
          </w:tcPr>
          <w:p>
            <w:pPr>
              <w:spacing w:after="40" w:before="0" w:line="259" w:lineRule="auto"/>
            </w:pPr>
            <w:r>
              <w:rPr>
                <w:rFonts w:ascii="Calibri" w:hAnsi="Calibri"/>
                <w:b/>
                <w:i w:val="0"/>
                <w:color w:val="212121"/>
                <w:sz w:val="19"/>
              </w:rPr>
              <w:t>Neurogenic bowel dysfunction / constipation</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Shares the underlying neurological lesion; a loaded rectum worsens bladder emptying and can trigger dysreflexia.</w:t>
            </w:r>
          </w:p>
        </w:tc>
      </w:tr>
      <w:tr>
        <w:trPr>
          <w:cantSplit/>
        </w:trPr>
        <w:tc>
          <w:tcPr>
            <w:tcW w:type="dxa" w:w="2232"/>
            <w:vAlign w:val="top"/>
          </w:tcPr>
          <w:p>
            <w:pPr>
              <w:spacing w:after="40" w:before="0" w:line="259" w:lineRule="auto"/>
            </w:pPr>
            <w:r>
              <w:rPr>
                <w:rFonts w:ascii="Calibri" w:hAnsi="Calibri"/>
                <w:b/>
                <w:i w:val="0"/>
                <w:color w:val="212121"/>
                <w:sz w:val="19"/>
              </w:rPr>
              <w:t>Depression &amp; anxiety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Incontinence, catheter dependence and loss of independence cause psychological distress, which in turn amplifies bladder symptoms.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red-flag symptoms — sudden inability to pass urine, saddle numbness, new leg weakness — as possible cauda equina syndrome needing emergency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periconceptional folic acid (400 mcg/day, higher after a previous affected pregnancy) to prevent spina-bifida-related neurogenic bladder.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tight glycaemic control to prevent diabetic cystopathy.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helmets and seatbelts and prevent falls to reduce spinal cord injury — the leading structural cause in India.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painless, symptom-free high bladder pressures can silently damage the kidneys, so attend regular surveillance.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of reproductive 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Road/occupational-injury-prone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with prior NTD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public</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correct clean intermittent catheterization technique and hygiene from a trained nurse.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structured self-management plan with a bladder diary and catheter-care routine.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periodic upper-tract surveillance (renal ultrasound, serum creatinine) and urodynamics as advised.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symptomatic urinary tract infections promptly and avoid antibiotics for asymptomatic bacteriuria.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to recognise and manage autonomic dysreflexia — sit up and drain the bladder first — in high spinal injury.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Established neurogenic bladder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SCI ≥ T6</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Spina bifida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pelvic-floor muscle training / biofeedback for selected sphincter-weakness or overactive-bladder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scheduled ('timed') voiding and bladder retraining to improve continence.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Mobilise regularly and reposition 2-hourly to prevent stasis, stones and pressure sores.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Optimise seating/posture in wheelchair users to aid bladder emptying.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Continue physiotherapy-guided rehabilitation after spinal cord injury or stroke.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SCI</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Multiple sclerosis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Overactive-bladder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Immobile adults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an individualised fluid intake (about 1.5–2 L/day) spread through the day to lower UTI and stone risk while limiting incontinence.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high-fibre diet to prevent constipation, which impairs bladder emptying and can trigger autonomic dysreflexia.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bladder irritants — caffeine, carbonated and sugary drinks, and excess spicy food.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folate-rich foods (green leafy vegetables, legumes, fortified cereals), especially before and during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evening fluids to lessen nocturia and night-time leakage.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Neurogenic bladder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Overactive-bladder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Constipation-prone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Restrict fluids and caffeine for 2–3 hours before bed and double-void before sleep to reduce nocturia.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Time evening catheterization or medication to control nocturnal detrusor overactivity and consolidate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nocturia actively to prevent night-time falls, especially in the elderly and in Parkinson's disease.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Nocturia sufferers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Parkinson's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Overactive-bladder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completely — it worsens urgency and overactive-bladder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smoking is the leading risk factor for bladder cancer, a real danger for long-term catheter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cessation support to aid neurological and wound recovery after spinal injury or stroke.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with neurogenic bladder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indwelling-catheter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Post-SCI/stroke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 and chronic alcohol use, which causes peripheral/autonomic neuropathy that worsens bladder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alcohol's diuretic load, which acutely aggravates urgency and incontinence.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Moderate intake is especially important in people with diabetes to protect nerves.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Neurogenic bladder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depression and anxiety linked to incontinence and catheter dependence.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counselling, peer support and continence-product education to reduce social isolation.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sexual dysfunction and body-image concerns as part of holistic rehabilitation.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Teach stress-reduction techniques, since stress amplifies overactive-bladder symptoms.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Incontinent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SCI / spina bifida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Catheter-dependent patients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29752515/" TargetMode="External"/><Relationship Id="rId10" Type="http://schemas.openxmlformats.org/officeDocument/2006/relationships/hyperlink" Target="https://www.ncbi.nlm.nih.gov/books/NBK560617/" TargetMode="External"/><Relationship Id="rId11" Type="http://schemas.openxmlformats.org/officeDocument/2006/relationships/hyperlink" Target="https://pubmed.ncbi.nlm.nih.gov/40820556/" TargetMode="External"/><Relationship Id="rId12" Type="http://schemas.openxmlformats.org/officeDocument/2006/relationships/hyperlink" Target="https://pubmed.ncbi.nlm.nih.gov/28495133/" TargetMode="External"/><Relationship Id="rId13" Type="http://schemas.openxmlformats.org/officeDocument/2006/relationships/hyperlink" Target="https://pubmed.ncbi.nlm.nih.gov/23831875/" TargetMode="External"/><Relationship Id="rId14" Type="http://schemas.openxmlformats.org/officeDocument/2006/relationships/hyperlink" Target="https://pubmed.ncbi.nlm.nih.gov/23873811/" TargetMode="External"/><Relationship Id="rId15" Type="http://schemas.openxmlformats.org/officeDocument/2006/relationships/hyperlink" Target="https://pubmed.ncbi.nlm.nih.gov/36505062/" TargetMode="External"/><Relationship Id="rId16" Type="http://schemas.openxmlformats.org/officeDocument/2006/relationships/hyperlink" Target="https://pubmed.ncbi.nlm.nih.gov/26003249/" TargetMode="External"/><Relationship Id="rId17" Type="http://schemas.openxmlformats.org/officeDocument/2006/relationships/hyperlink" Target="https://pubmed.ncbi.nlm.nih.gov/350186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