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Prostatitis</w:t>
      </w:r>
    </w:p>
    <w:p>
      <w:pPr>
        <w:spacing w:before="0" w:after="160"/>
      </w:pPr>
      <w:r>
        <w:rPr>
          <w:rFonts w:ascii="Calibri" w:hAnsi="Calibri"/>
          <w:b/>
          <w:i w:val="0"/>
          <w:color w:val="212121"/>
          <w:sz w:val="22"/>
        </w:rPr>
        <w:t xml:space="preserve">AKA </w:t>
      </w:r>
      <w:r>
        <w:rPr>
          <w:rFonts w:ascii="Calibri" w:hAnsi="Calibri"/>
          <w:b w:val="0"/>
          <w:i w:val="0"/>
          <w:color w:val="212121"/>
          <w:sz w:val="22"/>
        </w:rPr>
        <w:t>i.e., Prostate inflammation, Prostate infection; encompassing Acute bacterial prostatitis (NIH category I), Chronic bacterial prostatitis (category II), Chronic prostatitis / chronic pelvic pain syndrome (CP/CPPS, category III – inflammatory IIIA and non-inflammatory IIIB), and Asymptomatic inflammatory prostatitis (category IV)</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Prostatitis is inflammation, with or without infection, of the prostate gland — the walnut-sized gland that sits below the bladder and surrounds the urethra in men. It is not a single disease but a spectrum of syndromes: acute and chronic bacterial infection (categories I and II), the far commoner non-bacterial chronic prostatitis / chronic pelvic pain syndrome (CP/CPPS, category III), and asymptomatic inflammatory prostatitis found incidentally (category IV). Clinically it presents with pelvic, perineal or genital pain, lower urinary tract symptoms (dysuria, frequency, urgency, poor stream) and sexual dysfunction (painful ejaculation, erectile difficulty). It is the most common urological diagnosis in men under 50 and the third most common in men over 50.</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Prostatitis is one of the commonest urological problems of adult Indian men, yet it is heavily under-reported because of stigma around genito-urinary and sexual symptoms. Worldwide, prostatitis afflicts an estimated 2–10% of men, and up to half of all men will experience prostatitis-type symptoms at some point in life; chronic prostatitis / chronic pelvic pain syndrome (CP/CPPS, category III) accounts for about 90–95% of all cases, while true acute and chronic bacterial prostatitis together make up only a small minority. Community symptom-prevalence studies report roughly 2–6% of men affected at any time (about 6.3% reporting suggestive symptoms), with a peak in young-to-middle-aged men (35–45 years) — the economically active group. In Indian urology, andrology and STI-clinic practice, chronic prostatitis is a frequent reason for consultation among young and middle-aged men; when bacteria are grown, Escherichia coli is the predominant organism (about 32% of isolates in an Indian chronic-prostatitis/BPH cohort). Prostatitis also accounts for around 8% of all male urologist visits.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Prostatitis is diagnosed by combining a compatible clinical picture (pelvic/perineal pain and lower urinary tract symptoms) with targeted urine and prostatic-secretion testing to sub-classify the NIH category and exclude mimics. Because category III (CP/CPPS) has no confirmatory test, it is largely a diagnosis of exclusion after infection and other pathology are ruled out: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Chief symptom complex — pain in the perineum, suprapubic area, penis, testes or lower back, with voiding symptoms (dysuria, frequency, urgency, weak stream) and/or ejaculatory pain; symptoms lasting ≥ 3 months (in at least the preceding 6 months) define the chronic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 quantification with the NIH Chronic Prostatitis Symptom Index (NIH-CPSI), scoring pain, urinary symptoms and quality-of-life impact — used for diagnosis severity and follow-up;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and mid-stream urine culture to detect pyuria/bacteriuria and identify uropathogens (commonly E. coli and other gram-negatives);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Lower-urinary-tract localization — the Meares–Stamey 4-glass test, or the simpler pre- and post-prostatic-massage 2-glass test: significant leukocytes/bacteria in expressed prostatic secretion (EPS) or post-massage urine (VB3) localizes infection/inflammation to the prostate (category II vs IIIA vs IIIB);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(DRE): in acute prostatitis the gland is exquisitely tender, warm and boggy — vigorous prostatic massage must be avoided as it can precipitate bacteraemia/sepsis; in CP/CPPS the prostate is often normal but the pelvic-floor muscles are tender;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PSA may be transiently elevated by prostatic inflammation — interpret with caution and repeat after treatment rather than proceeding straight to prostate-cancer work-up;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mimics and of complications — urine culture (UTI), STI screen (urethritis), uroflowmetry and post-void residual (obstruction/BPH, retention), and transrectal ultrasound or MRI when abscess or structural disease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Prostatitis is classified by the 1999 NIH consensus system, which replaced the older Meares–Stamey categories and separates four groups by chronicity, presence of infection and of inflammatory cells:</w:t>
      </w:r>
    </w:p>
    <w:p>
      <w:pPr>
        <w:spacing w:before="0" w:after="80"/>
      </w:pPr>
      <w:r>
        <w:rPr>
          <w:rFonts w:ascii="Calibri" w:hAnsi="Calibri"/>
          <w:b w:val="0"/>
          <w:i w:val="0"/>
          <w:color w:val="212121"/>
          <w:sz w:val="21"/>
        </w:rPr>
        <w:t>(1) Category I — Acute bacterial prostatitis: an acute, often severe bacterial infection of the prostate with fever, chills, marked perineal pain, obstructive/irritative voiding symptoms and a tender gland; uncommon but potentially serious (abscess, urinary retention, urosepsis);</w:t>
      </w:r>
    </w:p>
    <w:p>
      <w:pPr>
        <w:spacing w:before="0" w:after="80"/>
      </w:pPr>
      <w:r>
        <w:rPr>
          <w:rFonts w:ascii="Calibri" w:hAnsi="Calibri"/>
          <w:b w:val="0"/>
          <w:i w:val="0"/>
          <w:color w:val="212121"/>
          <w:sz w:val="21"/>
        </w:rPr>
        <w:t>(2) Category II — Chronic bacterial prostatitis: recurrent or persistent bacterial infection of the prostate, typically presenting as relapsing urinary tract infections with the same organism between largely symptom-free intervals; also uncommon;</w:t>
      </w:r>
    </w:p>
    <w:p>
      <w:pPr>
        <w:spacing w:before="0" w:after="80"/>
      </w:pPr>
      <w:r>
        <w:rPr>
          <w:rFonts w:ascii="Calibri" w:hAnsi="Calibri"/>
          <w:b w:val="0"/>
          <w:i w:val="0"/>
          <w:color w:val="212121"/>
          <w:sz w:val="21"/>
        </w:rPr>
        <w:t>(3) Category III — Chronic prostatitis / chronic pelvic pain syndrome (CP/CPPS): chronic pelvic pain for ≥ 3 months without demonstrable infection; by far the commonest form (about 90–95% of cases), sub-divided into IIIA (inflammatory — leukocytes present in prostatic secretions/semen) and IIIB (non-inflammatory — no leukocytes), and attributed to a multifactorial mix of pelvic-floor dysfunction, neuropathic pain, neuro-immune and possible autoimmune mechanisms;</w:t>
      </w:r>
    </w:p>
    <w:p>
      <w:pPr>
        <w:spacing w:before="0" w:after="80"/>
      </w:pPr>
      <w:r>
        <w:rPr>
          <w:rFonts w:ascii="Calibri" w:hAnsi="Calibri"/>
          <w:b w:val="0"/>
          <w:i w:val="0"/>
          <w:color w:val="212121"/>
          <w:sz w:val="21"/>
        </w:rPr>
        <w:t>(4) Category IV — Asymptomatic inflammatory prostatitis: prostatic inflammation with no symptoms, discovered incidentally on semen analysis, prostate biopsy or during evaluation of raised PSA or infertility; requires treatment only in specific contexts (e.g., infertility work-up).</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Uropathogenic bacteria: Ascending urethral infection or intraprostatic urinary reflux by gram-negative organisms — chiefly Escherichia coli, and also Klebsiella, Proteus, Pseudomonas, Enterobacter and Enterococcus — causes acute (category I) and chronic bacterial (category II) prostatitis.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Urinary reflux and stasis: Dysfunctional high-pressure voiding, bladder outlet obstruction (BPH, stricture) and incomplete emptying promote reflux of infected/irritant urine into prostatic ducts, seeding infection and chemical inflammation.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Instrumentation and catheterization: Urethral catheters, cystoscopy, prostate biopsy and unprotected receptive/insertive sexual exposure introduce organisms and are important precipitants of bacterial prostatitis.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Pelvic-floor dysfunction and neuromuscular factors: In CP/CPPS, chronic pelvic-floor muscle spasm, myofascial trigger points and abnormal voiding generate and perpetuate perineal pain.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Neuropathic and neuro-immune mechanisms: Peripheral and central sensitization, mast-cell/cytokine activation and possible autoimmune responses are thought to drive category III pain in the absence of infection.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Behavioural and lifestyle triggers: Prolonged sitting/driving (perineal micro-trauma and pelvic congestion), low fluid intake and infrequent voiding, heavy caffeine/alcohol and spicy diet, and psychological stress can precipitate or aggravate symptoms.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Psychological factors: Anxiety, depression and stress are both risk factors for and consequences of CP/CPPS, interacting bidirectionally with pain through the brain–pelvis axis.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to middle-aged adult men</w:t>
            </w:r>
          </w:p>
        </w:tc>
        <w:tc>
          <w:tcPr>
            <w:tcW w:type="dxa" w:w="4276"/>
            <w:vAlign w:val="top"/>
          </w:tcPr>
          <w:p>
            <w:pPr>
              <w:spacing w:after="60" w:line="259" w:lineRule="auto"/>
            </w:pPr>
            <w:r>
              <w:rPr>
                <w:rFonts w:ascii="Calibri" w:hAnsi="Calibri"/>
                <w:b w:val="0"/>
                <w:i w:val="0"/>
                <w:color w:val="212121"/>
                <w:sz w:val="19"/>
              </w:rPr>
              <w:t>Chronic prostatitis / CPPS is predominantly a condition of sexually active, working-age men, in whom pelvic-floor dysfunction, stress, sedentary work and voiding habits combine to produce chronic pelvic pain. It is the single commonest urological diagnosis in men under 50 and disrupts work, sexual and psychological well-being at a productive age.</w:t>
            </w:r>
          </w:p>
          <w:p>
            <w:pPr>
              <w:spacing w:after="40" w:before="60" w:line="259" w:lineRule="auto"/>
            </w:pPr>
            <w:r>
              <w:rPr>
                <w:rFonts w:ascii="Calibri" w:hAnsi="Calibri"/>
                <w:b w:val="0"/>
                <w:i w:val="0"/>
                <w:color w:val="212121"/>
                <w:sz w:val="19"/>
              </w:rPr>
              <w:t>Prostatitis is the most common urinary-tract diagnosis in men under 50; CP/CPPS peaks in men aged 35–45 years.</w:t>
            </w:r>
          </w:p>
          <w:p>
            <w:pPr>
              <w:spacing w:after="40" w:line="252" w:lineRule="auto"/>
            </w:pPr>
            <w:hyperlink r:id="rId9">
              <w:r>
                <w:rPr>
                  <w:rFonts w:ascii="Calibri" w:hAnsi="Calibri" w:cs="Calibri"/>
                  <w:sz w:val="18"/>
                  <w:color w:val="1155CC"/>
                  <w:u w:val="single"/>
                </w:rPr>
                <w:t xml:space="preserve">clevelandclinic.org — prostatitis (commonest urinary issue in men &lt;50)</w:t>
              </w:r>
            </w:hyperlink>
          </w:p>
          <w:p>
            <w:pPr>
              <w:spacing w:before="60" w:after="40"/>
            </w:pPr>
            <w:r>
              <w:rPr>
                <w:rFonts w:ascii="Calibri" w:hAnsi="Calibri"/>
                <w:b w:val="0"/>
                <w:i w:val="0"/>
                <w:color w:val="5A5A5A"/>
                <w:sz w:val="18"/>
              </w:rPr>
              <w:t>#prostatitis  #CPPS  #pelvicpain  #youngmen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men</w:t>
            </w:r>
          </w:p>
        </w:tc>
        <w:tc>
          <w:tcPr>
            <w:tcW w:type="dxa" w:w="4276"/>
            <w:vAlign w:val="top"/>
          </w:tcPr>
          <w:p>
            <w:pPr>
              <w:spacing w:after="60" w:line="259" w:lineRule="auto"/>
            </w:pPr>
            <w:r>
              <w:rPr>
                <w:rFonts w:ascii="Calibri" w:hAnsi="Calibri"/>
                <w:b w:val="0"/>
                <w:i w:val="0"/>
                <w:color w:val="212121"/>
                <w:sz w:val="19"/>
              </w:rPr>
              <w:t>In older men, benign prostatic enlargement, incomplete bladder emptying, catheterization and instrumentation raise the risk of acute and chronic bacterial prostatitis, while asymptomatic inflammatory prostatitis (category IV) is frequently found incidentally on biopsy or PSA work-up.</w:t>
            </w:r>
          </w:p>
          <w:p>
            <w:pPr>
              <w:spacing w:after="40" w:before="60" w:line="259" w:lineRule="auto"/>
            </w:pPr>
            <w:r>
              <w:rPr>
                <w:rFonts w:ascii="Calibri" w:hAnsi="Calibri"/>
                <w:b w:val="0"/>
                <w:i w:val="0"/>
                <w:color w:val="212121"/>
                <w:sz w:val="19"/>
              </w:rPr>
              <w:t>Prostatitis is the third most common urological diagnosis in men over 50; bacterial forms are more likely when there is obstruction or catheter use.</w:t>
            </w:r>
          </w:p>
          <w:p>
            <w:pPr>
              <w:spacing w:after="40" w:line="252" w:lineRule="auto"/>
            </w:pPr>
            <w:hyperlink r:id="rId9">
              <w:r>
                <w:rPr>
                  <w:rFonts w:ascii="Calibri" w:hAnsi="Calibri" w:cs="Calibri"/>
                  <w:sz w:val="18"/>
                  <w:color w:val="1155CC"/>
                  <w:u w:val="single"/>
                </w:rPr>
                <w:t xml:space="preserve">clevelandclinic.org — prostatitis in men over 50</w:t>
              </w:r>
            </w:hyperlink>
          </w:p>
          <w:p>
            <w:pPr>
              <w:spacing w:before="60" w:after="40"/>
            </w:pPr>
            <w:r>
              <w:rPr>
                <w:rFonts w:ascii="Calibri" w:hAnsi="Calibri"/>
                <w:b w:val="0"/>
                <w:i w:val="0"/>
                <w:color w:val="5A5A5A"/>
                <w:sz w:val="18"/>
              </w:rPr>
              <w:t>#elderly  #BPH  #catheter  #bacterialprostatitis  #asymptomatic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(male-only condition)</w:t>
            </w:r>
          </w:p>
        </w:tc>
        <w:tc>
          <w:tcPr>
            <w:tcW w:type="dxa" w:w="4276"/>
            <w:vAlign w:val="top"/>
          </w:tcPr>
          <w:p>
            <w:pPr>
              <w:spacing w:after="60" w:line="259" w:lineRule="auto"/>
            </w:pPr>
            <w:r>
              <w:rPr>
                <w:rFonts w:ascii="Calibri" w:hAnsi="Calibri"/>
                <w:b w:val="0"/>
                <w:i w:val="0"/>
                <w:color w:val="212121"/>
                <w:sz w:val="19"/>
              </w:rPr>
              <w:t>Prostatitis affects only men because the prostate is a male gland. The clinical pattern differs by age: young-to-middle-aged men mostly develop non-bacterial CP/CPPS, whereas bacterial prostatitis clusters in older men with obstruction, catheters or instrumentation.</w:t>
            </w:r>
          </w:p>
          <w:p>
            <w:pPr>
              <w:spacing w:after="40" w:before="60" w:line="259" w:lineRule="auto"/>
            </w:pPr>
            <w:r>
              <w:rPr>
                <w:rFonts w:ascii="Calibri" w:hAnsi="Calibri"/>
                <w:b w:val="0"/>
                <w:i w:val="0"/>
                <w:color w:val="212121"/>
                <w:sz w:val="19"/>
              </w:rPr>
              <w:t>Prostatitis afflicts an estimated 2–10% of men and accounts for about 8% of all male urologist visits.</w:t>
            </w:r>
          </w:p>
          <w:p>
            <w:pPr>
              <w:spacing w:after="40" w:line="252" w:lineRule="auto"/>
            </w:pPr>
            <w:hyperlink r:id="rId10">
              <w:r>
                <w:rPr>
                  <w:rFonts w:ascii="Calibri" w:hAnsi="Calibri" w:cs="Calibri"/>
                  <w:sz w:val="18"/>
                  <w:color w:val="1155CC"/>
                  <w:u w:val="single"/>
                </w:rPr>
                <w:t xml:space="preserve">pubmed 16409145 — prostatitis afflicts 2–10% of men</w:t>
              </w:r>
            </w:hyperlink>
          </w:p>
          <w:p>
            <w:pPr>
              <w:spacing w:before="60" w:after="40"/>
            </w:pPr>
            <w:r>
              <w:rPr>
                <w:rFonts w:ascii="Calibri" w:hAnsi="Calibri"/>
                <w:b w:val="0"/>
                <w:i w:val="0"/>
                <w:color w:val="5A5A5A"/>
                <w:sz w:val="18"/>
              </w:rPr>
              <w:t>#male  #prostategland  #urology  #menshealth  #prevalence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stigmatised men delaying care</w:t>
            </w:r>
          </w:p>
        </w:tc>
        <w:tc>
          <w:tcPr>
            <w:tcW w:type="dxa" w:w="4276"/>
            <w:vAlign w:val="top"/>
          </w:tcPr>
          <w:p>
            <w:pPr>
              <w:spacing w:after="60" w:line="259" w:lineRule="auto"/>
            </w:pPr>
            <w:r>
              <w:rPr>
                <w:rFonts w:ascii="Calibri" w:hAnsi="Calibri"/>
                <w:b w:val="0"/>
                <w:i w:val="0"/>
                <w:color w:val="212121"/>
                <w:sz w:val="19"/>
              </w:rPr>
              <w:t>Sexual and pelvic symptoms carry heavy stigma in India; many men self-treat, consult informal practitioners or delay urological care, so chronic prostatitis is often long-standing and poorly controlled by the time it is diagnosed, worsening pain and psychological burden.</w:t>
            </w:r>
          </w:p>
          <w:p>
            <w:pPr>
              <w:spacing w:after="40" w:before="60" w:line="259" w:lineRule="auto"/>
            </w:pPr>
            <w:r>
              <w:rPr>
                <w:rFonts w:ascii="Calibri" w:hAnsi="Calibri"/>
                <w:b w:val="0"/>
                <w:i w:val="0"/>
                <w:color w:val="212121"/>
                <w:sz w:val="19"/>
              </w:rPr>
              <w:t>Prostatitis is common yet heavily under-reported; up to half of men experience prostatitis-type symptoms at some point in life.</w:t>
            </w:r>
          </w:p>
          <w:p>
            <w:pPr>
              <w:spacing w:after="40" w:line="252" w:lineRule="auto"/>
            </w:pPr>
            <w:hyperlink r:id="rId9">
              <w:r>
                <w:rPr>
                  <w:rFonts w:ascii="Calibri" w:hAnsi="Calibri" w:cs="Calibri"/>
                  <w:sz w:val="18"/>
                  <w:color w:val="1155CC"/>
                  <w:u w:val="single"/>
                </w:rPr>
                <w:t xml:space="preserve">clevelandclinic.org — up to 50% of men have symptoms in their lifetime</w:t>
              </w:r>
            </w:hyperlink>
          </w:p>
          <w:p>
            <w:pPr>
              <w:spacing w:before="60" w:after="40"/>
            </w:pPr>
            <w:r>
              <w:rPr>
                <w:rFonts w:ascii="Calibri" w:hAnsi="Calibri"/>
                <w:b w:val="0"/>
                <w:i w:val="0"/>
                <w:color w:val="5A5A5A"/>
                <w:sz w:val="18"/>
              </w:rPr>
              <w:t>#stigma  #underreported  #delayedcare  #selftreatment  #access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occupation</w:t>
            </w:r>
          </w:p>
        </w:tc>
        <w:tc>
          <w:tcPr>
            <w:tcW w:type="dxa" w:w="2160"/>
            <w:vAlign w:val="top"/>
          </w:tcPr>
          <w:p>
            <w:pPr>
              <w:spacing w:after="40" w:before="0" w:line="259" w:lineRule="auto"/>
            </w:pPr>
            <w:r>
              <w:rPr>
                <w:rFonts w:ascii="Calibri" w:hAnsi="Calibri"/>
                <w:b w:val="0"/>
                <w:i w:val="0"/>
                <w:color w:val="212121"/>
                <w:sz w:val="19"/>
              </w:rPr>
              <w:t>Urban Indian desk / IT workers and professional drivers</w:t>
            </w:r>
          </w:p>
        </w:tc>
        <w:tc>
          <w:tcPr>
            <w:tcW w:type="dxa" w:w="4276"/>
            <w:vAlign w:val="top"/>
          </w:tcPr>
          <w:p>
            <w:pPr>
              <w:spacing w:after="60" w:line="259" w:lineRule="auto"/>
            </w:pPr>
            <w:r>
              <w:rPr>
                <w:rFonts w:ascii="Calibri" w:hAnsi="Calibri"/>
                <w:b w:val="0"/>
                <w:i w:val="0"/>
                <w:color w:val="212121"/>
                <w:sz w:val="19"/>
              </w:rPr>
              <w:t>Urbanisation brings prolonged uninterrupted sitting (IT, call-centre and office work) and long hours of two-wheeler, taxi and truck driving — both cause perineal micro-trauma and pelvic congestion that provoke and perpetuate CP/CPPS symptoms in Indian men.</w:t>
            </w:r>
          </w:p>
          <w:p>
            <w:pPr>
              <w:spacing w:after="40" w:before="60" w:line="259" w:lineRule="auto"/>
            </w:pPr>
            <w:r>
              <w:rPr>
                <w:rFonts w:ascii="Calibri" w:hAnsi="Calibri"/>
                <w:b w:val="0"/>
                <w:i w:val="0"/>
                <w:color w:val="212121"/>
                <w:sz w:val="19"/>
              </w:rPr>
              <w:t>Prolonged sitting and driving are recognised aggravating factors for chronic pelvic pain / CP/CPPS.</w:t>
            </w:r>
          </w:p>
          <w:p>
            <w:pPr>
              <w:spacing w:after="40" w:line="252" w:lineRule="auto"/>
            </w:pPr>
            <w:hyperlink r:id="rId11">
              <w:r>
                <w:rPr>
                  <w:rFonts w:ascii="Calibri" w:hAnsi="Calibri" w:cs="Calibri"/>
                  <w:sz w:val="18"/>
                  <w:color w:val="1155CC"/>
                  <w:u w:val="single"/>
                </w:rPr>
                <w:t xml:space="preserve">en.wikipedia.org — chronic prostatitis / CPPS</w:t>
              </w:r>
            </w:hyperlink>
          </w:p>
          <w:p>
            <w:pPr>
              <w:spacing w:before="60" w:after="40"/>
            </w:pPr>
            <w:r>
              <w:rPr>
                <w:rFonts w:ascii="Calibri" w:hAnsi="Calibri"/>
                <w:b w:val="0"/>
                <w:i w:val="0"/>
                <w:color w:val="5A5A5A"/>
                <w:sz w:val="18"/>
              </w:rPr>
              <w:t>#urbanIndia  #sedentary  #drivers  #perinealtrauma  #pelviccongestion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hydration</w:t>
            </w:r>
          </w:p>
        </w:tc>
        <w:tc>
          <w:tcPr>
            <w:tcW w:type="dxa" w:w="2160"/>
            <w:vAlign w:val="top"/>
          </w:tcPr>
          <w:p>
            <w:pPr>
              <w:spacing w:after="40" w:before="0" w:line="259" w:lineRule="auto"/>
            </w:pPr>
            <w:r>
              <w:rPr>
                <w:rFonts w:ascii="Calibri" w:hAnsi="Calibri"/>
                <w:b w:val="0"/>
                <w:i w:val="0"/>
                <w:color w:val="212121"/>
                <w:sz w:val="19"/>
              </w:rPr>
              <w:t>Men in hot climates with low fluid intake</w:t>
            </w:r>
          </w:p>
        </w:tc>
        <w:tc>
          <w:tcPr>
            <w:tcW w:type="dxa" w:w="4276"/>
            <w:vAlign w:val="top"/>
          </w:tcPr>
          <w:p>
            <w:pPr>
              <w:spacing w:after="60" w:line="259" w:lineRule="auto"/>
            </w:pPr>
            <w:r>
              <w:rPr>
                <w:rFonts w:ascii="Calibri" w:hAnsi="Calibri"/>
                <w:b w:val="0"/>
                <w:i w:val="0"/>
                <w:color w:val="212121"/>
                <w:sz w:val="19"/>
              </w:rPr>
              <w:t>India's hot climate with inadequate water intake produces concentrated urine, dehydration and infrequent voiding, which favour urinary stasis, reflux and bacterial urinary tract infection — precipitants of bacterial prostatitis and irritative voiding symptoms.</w:t>
            </w:r>
          </w:p>
          <w:p>
            <w:pPr>
              <w:spacing w:after="40" w:before="60" w:line="259" w:lineRule="auto"/>
            </w:pPr>
            <w:r>
              <w:rPr>
                <w:rFonts w:ascii="Calibri" w:hAnsi="Calibri"/>
                <w:b w:val="0"/>
                <w:i w:val="0"/>
                <w:color w:val="212121"/>
                <w:sz w:val="19"/>
              </w:rPr>
              <w:t>Low fluid intake and urinary stasis promote UTI and intraprostatic reflux, key routes to bacterial prostatitis.</w:t>
            </w:r>
          </w:p>
          <w:p>
            <w:pPr>
              <w:spacing w:after="40" w:line="252" w:lineRule="auto"/>
            </w:pPr>
            <w:hyperlink r:id="rId12">
              <w:r>
                <w:rPr>
                  <w:rFonts w:ascii="Calibri" w:hAnsi="Calibri" w:cs="Calibri"/>
                  <w:sz w:val="18"/>
                  <w:color w:val="1155CC"/>
                  <w:u w:val="single"/>
                </w:rPr>
                <w:t xml:space="preserve">en.wikipedia.org — acute (bacterial) prostatitis</w:t>
              </w:r>
            </w:hyperlink>
          </w:p>
          <w:p>
            <w:pPr>
              <w:spacing w:before="60" w:after="40"/>
            </w:pPr>
            <w:r>
              <w:rPr>
                <w:rFonts w:ascii="Calibri" w:hAnsi="Calibri"/>
                <w:b w:val="0"/>
                <w:i w:val="0"/>
                <w:color w:val="5A5A5A"/>
                <w:sz w:val="18"/>
              </w:rPr>
              <w:t>#dehydration  #hotclimate  #urinarystasis  #UTI  #lowfluidintake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Posture</w:t>
            </w:r>
          </w:p>
        </w:tc>
        <w:tc>
          <w:tcPr>
            <w:tcW w:type="dxa" w:w="2160"/>
            <w:vAlign w:val="top"/>
          </w:tcPr>
          <w:p>
            <w:pPr>
              <w:spacing w:after="40" w:before="0" w:line="259" w:lineRule="auto"/>
            </w:pPr>
            <w:r>
              <w:rPr>
                <w:rFonts w:ascii="Calibri" w:hAnsi="Calibri"/>
                <w:b w:val="0"/>
                <w:i w:val="0"/>
                <w:color w:val="212121"/>
                <w:sz w:val="19"/>
              </w:rPr>
              <w:t>Men with prolonged sitting and cycling</w:t>
            </w:r>
          </w:p>
        </w:tc>
        <w:tc>
          <w:tcPr>
            <w:tcW w:type="dxa" w:w="4276"/>
            <w:vAlign w:val="top"/>
          </w:tcPr>
          <w:p>
            <w:pPr>
              <w:spacing w:after="60" w:line="259" w:lineRule="auto"/>
            </w:pPr>
            <w:r>
              <w:rPr>
                <w:rFonts w:ascii="Calibri" w:hAnsi="Calibri"/>
                <w:b w:val="0"/>
                <w:i w:val="0"/>
                <w:color w:val="212121"/>
                <w:sz w:val="19"/>
              </w:rPr>
              <w:t>Long periods of sitting, prolonged cycling and lack of exercise increase perineal pressure and reduce pelvic circulation, aggravating pelvic-floor dysfunction and the perineal pain of CP/CPPS.</w:t>
            </w:r>
          </w:p>
          <w:p>
            <w:pPr>
              <w:spacing w:after="40" w:before="60" w:line="259" w:lineRule="auto"/>
            </w:pPr>
            <w:r>
              <w:rPr>
                <w:rFonts w:ascii="Calibri" w:hAnsi="Calibri"/>
                <w:b w:val="0"/>
                <w:i w:val="0"/>
                <w:color w:val="212121"/>
                <w:sz w:val="19"/>
              </w:rPr>
              <w:t>Sedentary behaviour and prolonged sitting are commonly reported aggravators of CP/CPPS pelvic pain.</w:t>
            </w:r>
          </w:p>
          <w:p>
            <w:pPr>
              <w:spacing w:after="40" w:line="252" w:lineRule="auto"/>
            </w:pPr>
            <w:hyperlink r:id="rId11">
              <w:r>
                <w:rPr>
                  <w:rFonts w:ascii="Calibri" w:hAnsi="Calibri" w:cs="Calibri"/>
                  <w:sz w:val="18"/>
                  <w:color w:val="1155CC"/>
                  <w:u w:val="single"/>
                </w:rPr>
                <w:t xml:space="preserve">en.wikipedia.org — CP/CPPS aggravating factors</w:t>
              </w:r>
            </w:hyperlink>
          </w:p>
          <w:p>
            <w:pPr>
              <w:spacing w:before="60" w:after="40"/>
            </w:pPr>
            <w:r>
              <w:rPr>
                <w:rFonts w:ascii="Calibri" w:hAnsi="Calibri"/>
                <w:b w:val="0"/>
                <w:i w:val="0"/>
                <w:color w:val="5A5A5A"/>
                <w:sz w:val="18"/>
              </w:rPr>
              <w:t>#sedentary  #cycling  #posture  #pelvicfloor  #perinealpressure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impairs pelvic microcirculation, promotes systemic inflammation and worsens pain perception and sexual function; smoking is associated with more severe lower urinary tract and pelvic-pain symptoms.</w:t>
            </w:r>
          </w:p>
          <w:p>
            <w:pPr>
              <w:spacing w:after="40" w:before="60" w:line="259" w:lineRule="auto"/>
            </w:pPr>
            <w:r>
              <w:rPr>
                <w:rFonts w:ascii="Calibri" w:hAnsi="Calibri"/>
                <w:b w:val="0"/>
                <w:i w:val="0"/>
                <w:color w:val="212121"/>
                <w:sz w:val="19"/>
              </w:rPr>
              <w:t>Smoking is linked to worse lower-urinary-tract and pelvic-pain symptom severity and impaired sexual function.</w:t>
            </w:r>
          </w:p>
          <w:p>
            <w:pPr>
              <w:spacing w:before="60" w:after="40"/>
            </w:pPr>
            <w:r>
              <w:rPr>
                <w:rFonts w:ascii="Calibri" w:hAnsi="Calibri"/>
                <w:b w:val="0"/>
                <w:i w:val="0"/>
                <w:color w:val="5A5A5A"/>
                <w:sz w:val="18"/>
              </w:rPr>
              <w:t>#smoking  #nicotine  #microcirculation  #inflammation  #erectiledysfunction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Alcohol is a bladder and prostate irritant and a diuretic; heavy or binge intake worsens irritative urinary symptoms, urgency and pelvic pain and can precipitate acute urinary retention in prostatitis.</w:t>
            </w:r>
          </w:p>
          <w:p>
            <w:pPr>
              <w:spacing w:after="40" w:before="60" w:line="259" w:lineRule="auto"/>
            </w:pPr>
            <w:r>
              <w:rPr>
                <w:rFonts w:ascii="Calibri" w:hAnsi="Calibri"/>
                <w:b w:val="0"/>
                <w:i w:val="0"/>
                <w:color w:val="212121"/>
                <w:sz w:val="19"/>
              </w:rPr>
              <w:t>Alcohol is a recognised irritant that aggravates the voiding and pain symptoms of prostatitis.</w:t>
            </w:r>
          </w:p>
          <w:p>
            <w:pPr>
              <w:spacing w:before="60" w:after="40"/>
            </w:pPr>
            <w:r>
              <w:rPr>
                <w:rFonts w:ascii="Calibri" w:hAnsi="Calibri"/>
                <w:b w:val="0"/>
                <w:i w:val="0"/>
                <w:color w:val="5A5A5A"/>
                <w:sz w:val="18"/>
              </w:rPr>
              <w:t>#alcohol  #bladderirritant  #urgency  #pelvicpain  #retention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Spicy / caffeine-rich diet</w:t>
            </w:r>
          </w:p>
        </w:tc>
        <w:tc>
          <w:tcPr>
            <w:tcW w:type="dxa" w:w="2160"/>
            <w:vAlign w:val="top"/>
          </w:tcPr>
          <w:p>
            <w:pPr>
              <w:spacing w:after="40" w:before="0" w:line="259" w:lineRule="auto"/>
            </w:pPr>
            <w:r>
              <w:rPr>
                <w:rFonts w:ascii="Calibri" w:hAnsi="Calibri"/>
                <w:b w:val="0"/>
                <w:i w:val="0"/>
                <w:color w:val="212121"/>
                <w:sz w:val="19"/>
              </w:rPr>
              <w:t>High chilli, coffee and tea consumers</w:t>
            </w:r>
          </w:p>
        </w:tc>
        <w:tc>
          <w:tcPr>
            <w:tcW w:type="dxa" w:w="4276"/>
            <w:vAlign w:val="top"/>
          </w:tcPr>
          <w:p>
            <w:pPr>
              <w:spacing w:after="60" w:line="259" w:lineRule="auto"/>
            </w:pPr>
            <w:r>
              <w:rPr>
                <w:rFonts w:ascii="Calibri" w:hAnsi="Calibri"/>
                <w:b w:val="0"/>
                <w:i w:val="0"/>
                <w:color w:val="212121"/>
                <w:sz w:val="19"/>
              </w:rPr>
              <w:t>Spicy foods (chilli), caffeine (coffee, tea, cola) and other dietary irritants sensitise bladder and prostatic afferents and are among the most consistently reported dietary triggers of CP/CPPS flares in the Indian diet.</w:t>
            </w:r>
          </w:p>
          <w:p>
            <w:pPr>
              <w:spacing w:after="40" w:before="60" w:line="259" w:lineRule="auto"/>
            </w:pPr>
            <w:r>
              <w:rPr>
                <w:rFonts w:ascii="Calibri" w:hAnsi="Calibri"/>
                <w:b w:val="0"/>
                <w:i w:val="0"/>
                <w:color w:val="212121"/>
                <w:sz w:val="19"/>
              </w:rPr>
              <w:t>Caffeine and spicy foods are frequently reported dietary triggers that worsen CP/CPPS symptoms.</w:t>
            </w:r>
          </w:p>
          <w:p>
            <w:pPr>
              <w:spacing w:after="40" w:line="252" w:lineRule="auto"/>
            </w:pPr>
            <w:hyperlink r:id="rId11">
              <w:r>
                <w:rPr>
                  <w:rFonts w:ascii="Calibri" w:hAnsi="Calibri" w:cs="Calibri"/>
                  <w:sz w:val="18"/>
                  <w:color w:val="1155CC"/>
                  <w:u w:val="single"/>
                </w:rPr>
                <w:t xml:space="preserve">en.wikipedia.org — CP/CPPS dietary triggers</w:t>
              </w:r>
            </w:hyperlink>
          </w:p>
          <w:p>
            <w:pPr>
              <w:spacing w:before="60" w:after="40"/>
            </w:pPr>
            <w:r>
              <w:rPr>
                <w:rFonts w:ascii="Calibri" w:hAnsi="Calibri"/>
                <w:b w:val="0"/>
                <w:i w:val="0"/>
                <w:color w:val="5A5A5A"/>
                <w:sz w:val="18"/>
              </w:rPr>
              <w:t>#spicyfood  #chilli  #caffeine  #dietarytrigger  #bladderirritant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susceptibility</w:t>
            </w:r>
          </w:p>
        </w:tc>
        <w:tc>
          <w:tcPr>
            <w:tcW w:type="dxa" w:w="2160"/>
            <w:vAlign w:val="top"/>
          </w:tcPr>
          <w:p>
            <w:pPr>
              <w:spacing w:after="40" w:before="0" w:line="259" w:lineRule="auto"/>
            </w:pPr>
            <w:r>
              <w:rPr>
                <w:rFonts w:ascii="Calibri" w:hAnsi="Calibri"/>
                <w:b w:val="0"/>
                <w:i w:val="0"/>
                <w:color w:val="212121"/>
                <w:sz w:val="19"/>
              </w:rPr>
              <w:t>Men with familial chronic pelvic pain or functional pain syndromes</w:t>
            </w:r>
          </w:p>
        </w:tc>
        <w:tc>
          <w:tcPr>
            <w:tcW w:type="dxa" w:w="4276"/>
            <w:vAlign w:val="top"/>
          </w:tcPr>
          <w:p>
            <w:pPr>
              <w:spacing w:after="60" w:line="259" w:lineRule="auto"/>
            </w:pPr>
            <w:r>
              <w:rPr>
                <w:rFonts w:ascii="Calibri" w:hAnsi="Calibri"/>
                <w:b w:val="0"/>
                <w:i w:val="0"/>
                <w:color w:val="212121"/>
                <w:sz w:val="19"/>
              </w:rPr>
              <w:t>CP/CPPS clusters with other chronic functional pain conditions (irritable bowel syndrome, chronic fatigue, fibromyalgia) that share heritable pain-processing and neuro-immune traits, increasing susceptibility in predisposed men.</w:t>
            </w:r>
          </w:p>
          <w:p>
            <w:pPr>
              <w:spacing w:after="40" w:before="60" w:line="259" w:lineRule="auto"/>
            </w:pPr>
            <w:r>
              <w:rPr>
                <w:rFonts w:ascii="Calibri" w:hAnsi="Calibri"/>
                <w:b w:val="0"/>
                <w:i w:val="0"/>
                <w:color w:val="212121"/>
                <w:sz w:val="19"/>
              </w:rPr>
              <w:t>Men with CP/CPPS show an increased prevalence of related functional syndromes such as IBS and chronic fatigue syndrome.</w:t>
            </w:r>
          </w:p>
          <w:p>
            <w:pPr>
              <w:spacing w:after="40" w:line="252" w:lineRule="auto"/>
            </w:pPr>
            <w:hyperlink r:id="rId11">
              <w:r>
                <w:rPr>
                  <w:rFonts w:ascii="Calibri" w:hAnsi="Calibri" w:cs="Calibri"/>
                  <w:sz w:val="18"/>
                  <w:color w:val="1155CC"/>
                  <w:u w:val="single"/>
                </w:rPr>
                <w:t xml:space="preserve">en.wikipedia.org — CP/CPPS associated functional syndromes</w:t>
              </w:r>
            </w:hyperlink>
          </w:p>
          <w:p>
            <w:pPr>
              <w:spacing w:before="60" w:after="40"/>
            </w:pPr>
            <w:r>
              <w:rPr>
                <w:rFonts w:ascii="Calibri" w:hAnsi="Calibri"/>
                <w:b w:val="0"/>
                <w:i w:val="0"/>
                <w:color w:val="5A5A5A"/>
                <w:sz w:val="18"/>
              </w:rPr>
              <w:t>#familyhistory  #functionalpain  #IBS  #centralsensitisation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Benign prostatic hyperplasia (BPH)</w:t>
            </w:r>
          </w:p>
        </w:tc>
        <w:tc>
          <w:tcPr>
            <w:tcW w:type="dxa" w:w="2160"/>
            <w:vAlign w:val="top"/>
          </w:tcPr>
          <w:p>
            <w:pPr>
              <w:spacing w:after="40" w:before="0" w:line="259" w:lineRule="auto"/>
            </w:pPr>
            <w:r>
              <w:rPr>
                <w:rFonts w:ascii="Calibri" w:hAnsi="Calibri"/>
                <w:b w:val="0"/>
                <w:i w:val="0"/>
                <w:color w:val="212121"/>
                <w:sz w:val="19"/>
              </w:rPr>
              <w:t>Older men with BPH / bladder outlet obstruction</w:t>
            </w:r>
          </w:p>
        </w:tc>
        <w:tc>
          <w:tcPr>
            <w:tcW w:type="dxa" w:w="4276"/>
            <w:vAlign w:val="top"/>
          </w:tcPr>
          <w:p>
            <w:pPr>
              <w:spacing w:after="60" w:line="259" w:lineRule="auto"/>
            </w:pPr>
            <w:r>
              <w:rPr>
                <w:rFonts w:ascii="Calibri" w:hAnsi="Calibri"/>
                <w:b w:val="0"/>
                <w:i w:val="0"/>
                <w:color w:val="212121"/>
                <w:sz w:val="19"/>
              </w:rPr>
              <w:t>Prostatic enlargement causes outlet obstruction, high-pressure voiding and incomplete emptying that favour intraprostatic urinary reflux and infection; BPH and prostatitis frequently coexist and their lower-urinary-tract symptoms overlap.</w:t>
            </w:r>
          </w:p>
          <w:p>
            <w:pPr>
              <w:spacing w:after="40" w:before="60" w:line="259" w:lineRule="auto"/>
            </w:pPr>
            <w:r>
              <w:rPr>
                <w:rFonts w:ascii="Calibri" w:hAnsi="Calibri"/>
                <w:b w:val="0"/>
                <w:i w:val="0"/>
                <w:color w:val="212121"/>
                <w:sz w:val="19"/>
              </w:rPr>
              <w:t>In an Indian cohort of men with BPH/prostatitis and lower urinary tract symptoms, E. coli was the commonest isolate (21/66; 31.81%).</w:t>
            </w:r>
          </w:p>
          <w:p>
            <w:pPr>
              <w:spacing w:after="40" w:line="252" w:lineRule="auto"/>
            </w:pPr>
            <w:hyperlink r:id="rId13">
              <w:r>
                <w:rPr>
                  <w:rFonts w:ascii="Calibri" w:hAnsi="Calibri" w:cs="Calibri"/>
                  <w:sz w:val="18"/>
                  <w:color w:val="1155CC"/>
                  <w:u w:val="single"/>
                </w:rPr>
                <w:t xml:space="preserve">pubmed 27891339 — bacterial isolates in Indian BPH/prostatitis (E. coli 31.8%)</w:t>
              </w:r>
            </w:hyperlink>
          </w:p>
          <w:p>
            <w:pPr>
              <w:spacing w:before="60" w:after="40"/>
            </w:pPr>
            <w:r>
              <w:rPr>
                <w:rFonts w:ascii="Calibri" w:hAnsi="Calibri"/>
                <w:b w:val="0"/>
                <w:i w:val="0"/>
                <w:color w:val="5A5A5A"/>
                <w:sz w:val="18"/>
              </w:rPr>
              <w:t>#BPH  #outletobstruction  #reflux  #Ecoli  #LUTS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urinary tract infection</w:t>
            </w:r>
          </w:p>
        </w:tc>
        <w:tc>
          <w:tcPr>
            <w:tcW w:type="dxa" w:w="2160"/>
            <w:vAlign w:val="top"/>
          </w:tcPr>
          <w:p>
            <w:pPr>
              <w:spacing w:after="40" w:before="0" w:line="259" w:lineRule="auto"/>
            </w:pPr>
            <w:r>
              <w:rPr>
                <w:rFonts w:ascii="Calibri" w:hAnsi="Calibri"/>
                <w:b w:val="0"/>
                <w:i w:val="0"/>
                <w:color w:val="212121"/>
                <w:sz w:val="19"/>
              </w:rPr>
              <w:t>Men with recurrent or relapsing UTI</w:t>
            </w:r>
          </w:p>
        </w:tc>
        <w:tc>
          <w:tcPr>
            <w:tcW w:type="dxa" w:w="4276"/>
            <w:vAlign w:val="top"/>
          </w:tcPr>
          <w:p>
            <w:pPr>
              <w:spacing w:after="60" w:line="259" w:lineRule="auto"/>
            </w:pPr>
            <w:r>
              <w:rPr>
                <w:rFonts w:ascii="Calibri" w:hAnsi="Calibri"/>
                <w:b w:val="0"/>
                <w:i w:val="0"/>
                <w:color w:val="212121"/>
                <w:sz w:val="19"/>
              </w:rPr>
              <w:t>Chronic bacterial prostatitis characteristically presents as relapsing UTIs with the same organism, because the prostate acts as a protected bacterial reservoir that reseeds the urinary tract between courses of antibiotics.</w:t>
            </w:r>
          </w:p>
          <w:p>
            <w:pPr>
              <w:spacing w:after="40" w:before="60" w:line="259" w:lineRule="auto"/>
            </w:pPr>
            <w:r>
              <w:rPr>
                <w:rFonts w:ascii="Calibri" w:hAnsi="Calibri"/>
                <w:b w:val="0"/>
                <w:i w:val="0"/>
                <w:color w:val="212121"/>
                <w:sz w:val="19"/>
              </w:rPr>
              <w:t>Chronic bacterial prostatitis (category II) typically manifests as recurrent UTIs caused by the same uropathogen.</w:t>
            </w:r>
          </w:p>
          <w:p>
            <w:pPr>
              <w:spacing w:after="40" w:line="252" w:lineRule="auto"/>
            </w:pPr>
            <w:hyperlink r:id="rId14">
              <w:r>
                <w:rPr>
                  <w:rFonts w:ascii="Calibri" w:hAnsi="Calibri" w:cs="Calibri"/>
                  <w:sz w:val="18"/>
                  <w:color w:val="1155CC"/>
                  <w:u w:val="single"/>
                </w:rPr>
                <w:t xml:space="preserve">doi 10.1001/jama.282.3.236 — NIH classification of prostatitis</w:t>
              </w:r>
            </w:hyperlink>
          </w:p>
          <w:p>
            <w:pPr>
              <w:spacing w:before="60" w:after="40"/>
            </w:pPr>
            <w:r>
              <w:rPr>
                <w:rFonts w:ascii="Calibri" w:hAnsi="Calibri"/>
                <w:b w:val="0"/>
                <w:i w:val="0"/>
                <w:color w:val="5A5A5A"/>
                <w:sz w:val="18"/>
              </w:rPr>
              <w:t>#recurrentUTI  #relapsinginfection  #Ecoli  #bacterialreservoir  #categoryII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diabetes</w:t>
            </w:r>
          </w:p>
        </w:tc>
        <w:tc>
          <w:tcPr>
            <w:tcW w:type="dxa" w:w="4276"/>
            <w:vAlign w:val="top"/>
          </w:tcPr>
          <w:p>
            <w:pPr>
              <w:spacing w:after="60" w:line="259" w:lineRule="auto"/>
            </w:pPr>
            <w:r>
              <w:rPr>
                <w:rFonts w:ascii="Calibri" w:hAnsi="Calibri"/>
                <w:b w:val="0"/>
                <w:i w:val="0"/>
                <w:color w:val="212121"/>
                <w:sz w:val="19"/>
              </w:rPr>
              <w:t>Diabetes impairs immunity, bladder emptying (diabetic cystopathy) and microcirculation, increasing susceptibility to bacterial prostatitis, prostatic abscess and more severe, harder-to-treat infection.</w:t>
            </w:r>
          </w:p>
          <w:p>
            <w:pPr>
              <w:spacing w:after="40" w:before="60" w:line="259" w:lineRule="auto"/>
            </w:pPr>
            <w:r>
              <w:rPr>
                <w:rFonts w:ascii="Calibri" w:hAnsi="Calibri"/>
                <w:b w:val="0"/>
                <w:i w:val="0"/>
                <w:color w:val="212121"/>
                <w:sz w:val="19"/>
              </w:rPr>
              <w:t>Diabetes predisposes to bacterial prostatitis and is a recognised risk factor for prostatic abscess.</w:t>
            </w:r>
          </w:p>
          <w:p>
            <w:pPr>
              <w:spacing w:after="40" w:line="252" w:lineRule="auto"/>
            </w:pPr>
            <w:hyperlink r:id="rId12">
              <w:r>
                <w:rPr>
                  <w:rFonts w:ascii="Calibri" w:hAnsi="Calibri" w:cs="Calibri"/>
                  <w:sz w:val="18"/>
                  <w:color w:val="1155CC"/>
                  <w:u w:val="single"/>
                </w:rPr>
                <w:t xml:space="preserve">en.wikipedia.org — acute prostatitis risk factors/abscess</w:t>
              </w:r>
            </w:hyperlink>
          </w:p>
          <w:p>
            <w:pPr>
              <w:spacing w:before="60" w:after="40"/>
            </w:pPr>
            <w:r>
              <w:rPr>
                <w:rFonts w:ascii="Calibri" w:hAnsi="Calibri"/>
                <w:b w:val="0"/>
                <w:i w:val="0"/>
                <w:color w:val="5A5A5A"/>
                <w:sz w:val="18"/>
              </w:rPr>
              <w:t>#diabetes  #immunosuppression  #prostaticabscess  #cystopathy  #severeinfection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Men with psychological distress</w:t>
            </w:r>
          </w:p>
        </w:tc>
        <w:tc>
          <w:tcPr>
            <w:tcW w:type="dxa" w:w="4276"/>
            <w:vAlign w:val="top"/>
          </w:tcPr>
          <w:p>
            <w:pPr>
              <w:spacing w:after="60" w:line="259" w:lineRule="auto"/>
            </w:pPr>
            <w:r>
              <w:rPr>
                <w:rFonts w:ascii="Calibri" w:hAnsi="Calibri"/>
                <w:b w:val="0"/>
                <w:i w:val="0"/>
                <w:color w:val="212121"/>
                <w:sz w:val="19"/>
              </w:rPr>
              <w:t>Anxiety, depression and stress are strongly and bidirectionally linked to CP/CPPS through the brain–pelvis axis: distress amplifies pelvic pain and catastrophising, while chronic pain and sexual dysfunction worsen mood, together driving symptom severity and poor quality of life.</w:t>
            </w:r>
          </w:p>
          <w:p>
            <w:pPr>
              <w:spacing w:after="40" w:before="60" w:line="259" w:lineRule="auto"/>
            </w:pPr>
            <w:r>
              <w:rPr>
                <w:rFonts w:ascii="Calibri" w:hAnsi="Calibri"/>
                <w:b w:val="0"/>
                <w:i w:val="0"/>
                <w:color w:val="212121"/>
                <w:sz w:val="19"/>
              </w:rPr>
              <w:t>Psychological distress and psychiatric comorbidity are consistently associated with CP/CPPS and correlate with symptom severity.</w:t>
            </w:r>
          </w:p>
          <w:p>
            <w:pPr>
              <w:spacing w:after="40" w:line="252" w:lineRule="auto"/>
            </w:pPr>
            <w:hyperlink r:id="rId15">
              <w:r>
                <w:rPr>
                  <w:rFonts w:ascii="Calibri" w:hAnsi="Calibri" w:cs="Calibri"/>
                  <w:sz w:val="18"/>
                  <w:color w:val="1155CC"/>
                  <w:u w:val="single"/>
                </w:rPr>
                <w:t xml:space="preserve">pubmed 25300538 — psychological factors &amp; psychiatric comorbidity in CP/CPPS</w:t>
              </w:r>
            </w:hyperlink>
          </w:p>
          <w:p>
            <w:pPr>
              <w:spacing w:before="60" w:after="40"/>
            </w:pPr>
            <w:r>
              <w:rPr>
                <w:rFonts w:ascii="Calibri" w:hAnsi="Calibri"/>
                <w:b w:val="0"/>
                <w:i w:val="0"/>
                <w:color w:val="5A5A5A"/>
                <w:sz w:val="18"/>
              </w:rPr>
              <w:t>#depression  #anxiety  #stress  #catastrophising  #brainpelvisaxis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Instrumentation / catheterization</w:t>
            </w:r>
          </w:p>
        </w:tc>
        <w:tc>
          <w:tcPr>
            <w:tcW w:type="dxa" w:w="2160"/>
            <w:vAlign w:val="top"/>
          </w:tcPr>
          <w:p>
            <w:pPr>
              <w:spacing w:after="40" w:before="0" w:line="259" w:lineRule="auto"/>
            </w:pPr>
            <w:r>
              <w:rPr>
                <w:rFonts w:ascii="Calibri" w:hAnsi="Calibri"/>
                <w:b w:val="0"/>
                <w:i w:val="0"/>
                <w:color w:val="212121"/>
                <w:sz w:val="19"/>
              </w:rPr>
              <w:t>Men after urethral catheter, cystoscopy or prostate biopsy</w:t>
            </w:r>
          </w:p>
        </w:tc>
        <w:tc>
          <w:tcPr>
            <w:tcW w:type="dxa" w:w="4276"/>
            <w:vAlign w:val="top"/>
          </w:tcPr>
          <w:p>
            <w:pPr>
              <w:spacing w:after="60" w:line="259" w:lineRule="auto"/>
            </w:pPr>
            <w:r>
              <w:rPr>
                <w:rFonts w:ascii="Calibri" w:hAnsi="Calibri"/>
                <w:b w:val="0"/>
                <w:i w:val="0"/>
                <w:color w:val="212121"/>
                <w:sz w:val="19"/>
              </w:rPr>
              <w:t>Urethral instrumentation and indwelling catheters breach mucosal defences and introduce uropathogens directly, making them major precipitants of acute and chronic bacterial prostatitis, particularly in hospitalised or obstructed men.</w:t>
            </w:r>
          </w:p>
          <w:p>
            <w:pPr>
              <w:spacing w:after="40" w:before="60" w:line="259" w:lineRule="auto"/>
            </w:pPr>
            <w:r>
              <w:rPr>
                <w:rFonts w:ascii="Calibri" w:hAnsi="Calibri"/>
                <w:b w:val="0"/>
                <w:i w:val="0"/>
                <w:color w:val="212121"/>
                <w:sz w:val="19"/>
              </w:rPr>
              <w:t>Catheterization and urethral instrumentation are established precipitants of bacterial prostatitis.</w:t>
            </w:r>
          </w:p>
          <w:p>
            <w:pPr>
              <w:spacing w:after="40" w:line="252" w:lineRule="auto"/>
            </w:pPr>
            <w:hyperlink r:id="rId12">
              <w:r>
                <w:rPr>
                  <w:rFonts w:ascii="Calibri" w:hAnsi="Calibri" w:cs="Calibri"/>
                  <w:sz w:val="18"/>
                  <w:color w:val="1155CC"/>
                  <w:u w:val="single"/>
                </w:rPr>
                <w:t xml:space="preserve">en.wikipedia.org — acute prostatitis (instrumentation risk)</w:t>
              </w:r>
            </w:hyperlink>
          </w:p>
          <w:p>
            <w:pPr>
              <w:spacing w:before="60" w:after="40"/>
            </w:pPr>
            <w:r>
              <w:rPr>
                <w:rFonts w:ascii="Calibri" w:hAnsi="Calibri"/>
                <w:b w:val="0"/>
                <w:i w:val="0"/>
                <w:color w:val="5A5A5A"/>
                <w:sz w:val="18"/>
              </w:rPr>
              <w:t>#catheter  #cystoscopy  #biopsy  #nosocomial  #bacterialprostatitis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exercise reduces pelvic-floor tension and improves circulation and mood, easing CP/CPPS pain; conversely a sedentary lifestyle, prolonged sitting and prolonged cycling raise perineal pressure and consistently aggravate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Spicy foods (chilli), acidic foods and other dietary irritants are among the most frequently reported triggers of CP/CPPS flares; a balanced anti-inflammatory diet and avoidance of identified triggers reduce symptom severity.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pelvic pain and nocturia fragment sleep, and poor sleep in turn lowers pain thresholds and worsens mood — a bidirectional loop that intensifies CP/CPPS symptom burden.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pelvic microcirculation, promotes inflammation and worsens sexual function and pain perception; it is associated with more severe lower-urinary-tract and pelvic-pain symptoms.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acts as a bladder/prostate irritant and diuretic; heavy or binge intake aggravates irritative voiding, urgency and pelvic pain and can precipitate acute urinary retention.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stress and pain-catastrophising are strongly and bidirectionally linked to CP/CPPS, correlate with symptom severity and quality of life, and are central targets of effective multimodal therapy.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dilutes urine and encourages regular voiding, reducing urinary stasis, reflux and UTI risk; both dehydration and excessive evening fluids can worsen irritative symptoms and nocturia.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(coffee, tea, cola) is a diuretic and bladder/prostate irritant that increases urgency, frequency and pelvic discomfort; reduction is a standard first-line behavioural measure in CP/CPPS.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Good genito-urinary and sexual hygiene and safe sexual practices reduce ascending urethral infection and sexually transmitted urethritis, key routes to bacterial prostatitis; aseptic technique limits catheter- and instrumentation-related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Characteristic precipitants trigger or flare symptoms — prolonged sitting or driving, cycling, ejaculatory abstinence or excess, spicy food, caffeine and alcohol, cold exposure, dehydration, psychological stress, and urethral instrumentation or catheterization.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sitting, poor pelvic posture and constant perineal pressure (office work, long-distance driving, cycling) increase pelvic-floor tension and perineal micro-trauma; posture correction, cushions and movement breaks help relieve CP/CPPS pain.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NIH-CPSI total score (0–43)</w:t>
            </w:r>
          </w:p>
        </w:tc>
        <w:tc>
          <w:tcPr>
            <w:tcW w:type="dxa" w:w="1655"/>
            <w:vAlign w:val="top"/>
          </w:tcPr>
          <w:p>
            <w:pPr>
              <w:spacing w:after="40" w:before="0" w:line="259" w:lineRule="auto"/>
            </w:pPr>
            <w:r>
              <w:rPr>
                <w:rFonts w:ascii="Calibri" w:hAnsi="Calibri"/>
                <w:b w:val="0"/>
                <w:i w:val="0"/>
                <w:color w:val="212121"/>
                <w:sz w:val="19"/>
              </w:rPr>
              <w:t>Men with chronic prostatitis / CPPS</w:t>
            </w:r>
          </w:p>
        </w:tc>
        <w:tc>
          <w:tcPr>
            <w:tcW w:type="dxa" w:w="1512"/>
            <w:vAlign w:val="top"/>
          </w:tcPr>
          <w:p>
            <w:pPr>
              <w:spacing w:after="40" w:before="0" w:line="259" w:lineRule="auto"/>
            </w:pPr>
            <w:r>
              <w:rPr>
                <w:rFonts w:ascii="Calibri" w:hAnsi="Calibri"/>
                <w:b w:val="0"/>
                <w:i w:val="0"/>
                <w:color w:val="212121"/>
                <w:sz w:val="19"/>
              </w:rPr>
              <w:t>Low / minimal symptoms</w:t>
            </w:r>
          </w:p>
        </w:tc>
        <w:tc>
          <w:tcPr>
            <w:tcW w:type="dxa" w:w="1512"/>
            <w:vAlign w:val="top"/>
          </w:tcPr>
          <w:p>
            <w:pPr>
              <w:spacing w:after="40" w:before="0" w:line="259" w:lineRule="auto"/>
            </w:pPr>
            <w:r>
              <w:rPr>
                <w:rFonts w:ascii="Calibri" w:hAnsi="Calibri"/>
                <w:b w:val="0"/>
                <w:i w:val="0"/>
                <w:color w:val="212121"/>
                <w:sz w:val="19"/>
              </w:rPr>
              <w:t>Moderate–severe symptom &amp; QoL burden</w:t>
            </w:r>
          </w:p>
        </w:tc>
        <w:tc>
          <w:tcPr>
            <w:tcW w:type="dxa" w:w="1468"/>
            <w:vAlign w:val="top"/>
          </w:tcPr>
          <w:p>
            <w:pPr>
              <w:spacing w:after="40" w:before="0" w:line="259" w:lineRule="auto"/>
            </w:pPr>
            <w:r>
              <w:rPr>
                <w:rFonts w:ascii="Calibri" w:hAnsi="Calibri"/>
                <w:b w:val="0"/>
                <w:i w:val="0"/>
                <w:color w:val="212121"/>
                <w:sz w:val="19"/>
              </w:rPr>
              <w:t>Standard index of pain, urinary symptoms and quality of life; used for diagnosis severity and to track response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18.5–22.9 kg/m² (Asian-Indian)</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worsens systemic inflammation, sexual dysfunction and pelvic-pain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physical activity</w:t>
            </w:r>
          </w:p>
        </w:tc>
        <w:tc>
          <w:tcPr>
            <w:tcW w:type="dxa" w:w="1655"/>
            <w:vAlign w:val="top"/>
          </w:tcPr>
          <w:p>
            <w:pPr>
              <w:spacing w:after="40" w:before="0" w:line="259" w:lineRule="auto"/>
            </w:pPr>
            <w:r>
              <w:rPr>
                <w:rFonts w:ascii="Calibri" w:hAnsi="Calibri"/>
                <w:b w:val="0"/>
                <w:i w:val="0"/>
                <w:color w:val="212121"/>
                <w:sz w:val="19"/>
              </w:rPr>
              <w:t>Sedentary 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Exercise reduces pelvic-floor tension and improves pain and mood</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sitting / driving time</w:t>
            </w:r>
          </w:p>
        </w:tc>
        <w:tc>
          <w:tcPr>
            <w:tcW w:type="dxa" w:w="1655"/>
            <w:vAlign w:val="top"/>
          </w:tcPr>
          <w:p>
            <w:pPr>
              <w:spacing w:after="40" w:before="0" w:line="259" w:lineRule="auto"/>
            </w:pPr>
            <w:r>
              <w:rPr>
                <w:rFonts w:ascii="Calibri" w:hAnsi="Calibri"/>
                <w:b w:val="0"/>
                <w:i w:val="0"/>
                <w:color w:val="212121"/>
                <w:sz w:val="19"/>
              </w:rPr>
              <w:t>Desk workers, drivers, cyclists</w:t>
            </w:r>
          </w:p>
        </w:tc>
        <w:tc>
          <w:tcPr>
            <w:tcW w:type="dxa" w:w="1512"/>
            <w:vAlign w:val="top"/>
          </w:tcPr>
          <w:p>
            <w:pPr>
              <w:spacing w:after="40" w:before="0" w:line="259" w:lineRule="auto"/>
            </w:pPr>
            <w:r>
              <w:rPr>
                <w:rFonts w:ascii="Calibri" w:hAnsi="Calibri"/>
                <w:b w:val="0"/>
                <w:i w:val="0"/>
                <w:color w:val="212121"/>
                <w:sz w:val="19"/>
              </w:rPr>
              <w:t>Break every 30–60 min</w:t>
            </w:r>
          </w:p>
        </w:tc>
        <w:tc>
          <w:tcPr>
            <w:tcW w:type="dxa" w:w="1512"/>
            <w:vAlign w:val="top"/>
          </w:tcPr>
          <w:p>
            <w:pPr>
              <w:spacing w:after="40" w:before="0" w:line="259" w:lineRule="auto"/>
            </w:pPr>
            <w:r>
              <w:rPr>
                <w:rFonts w:ascii="Calibri" w:hAnsi="Calibri"/>
                <w:b w:val="0"/>
                <w:i w:val="0"/>
                <w:color w:val="212121"/>
                <w:sz w:val="19"/>
              </w:rPr>
              <w:t>Prolonged uninterrupted sitting (&gt; 2–3 h) / long-distance driving</w:t>
            </w:r>
          </w:p>
        </w:tc>
        <w:tc>
          <w:tcPr>
            <w:tcW w:type="dxa" w:w="1468"/>
            <w:vAlign w:val="top"/>
          </w:tcPr>
          <w:p>
            <w:pPr>
              <w:spacing w:after="40" w:before="0" w:line="259" w:lineRule="auto"/>
            </w:pPr>
            <w:r>
              <w:rPr>
                <w:rFonts w:ascii="Calibri" w:hAnsi="Calibri"/>
                <w:b w:val="0"/>
                <w:i w:val="0"/>
                <w:color w:val="212121"/>
                <w:sz w:val="19"/>
              </w:rPr>
              <w:t>Perineal pressure and pelvic congestion aggravate CP/CPPS; use breaks and cushions</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 2.0–2.5 L/day, evenly spread</w:t>
            </w:r>
          </w:p>
        </w:tc>
        <w:tc>
          <w:tcPr>
            <w:tcW w:type="dxa" w:w="1512"/>
            <w:vAlign w:val="top"/>
          </w:tcPr>
          <w:p>
            <w:pPr>
              <w:spacing w:after="40" w:before="0" w:line="259" w:lineRule="auto"/>
            </w:pPr>
            <w:r>
              <w:rPr>
                <w:rFonts w:ascii="Calibri" w:hAnsi="Calibri"/>
                <w:b w:val="0"/>
                <w:i w:val="0"/>
                <w:color w:val="212121"/>
                <w:sz w:val="19"/>
              </w:rPr>
              <w:t>&lt; 1.5 L/day (concentrated urine) or heavy evening intake</w:t>
            </w:r>
          </w:p>
        </w:tc>
        <w:tc>
          <w:tcPr>
            <w:tcW w:type="dxa" w:w="1468"/>
            <w:vAlign w:val="top"/>
          </w:tcPr>
          <w:p>
            <w:pPr>
              <w:spacing w:after="40" w:before="0" w:line="259" w:lineRule="auto"/>
            </w:pPr>
            <w:r>
              <w:rPr>
                <w:rFonts w:ascii="Calibri" w:hAnsi="Calibri"/>
                <w:b w:val="0"/>
                <w:i w:val="0"/>
                <w:color w:val="212121"/>
                <w:sz w:val="19"/>
              </w:rPr>
              <w:t>Dehydration promotes stasis/UTI; late fluids worsen nocturia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Post-void residual urine (PVR)</w:t>
            </w:r>
          </w:p>
        </w:tc>
        <w:tc>
          <w:tcPr>
            <w:tcW w:type="dxa" w:w="1655"/>
            <w:vAlign w:val="top"/>
          </w:tcPr>
          <w:p>
            <w:pPr>
              <w:spacing w:after="40" w:before="0" w:line="259" w:lineRule="auto"/>
            </w:pPr>
            <w:r>
              <w:rPr>
                <w:rFonts w:ascii="Calibri" w:hAnsi="Calibri"/>
                <w:b w:val="0"/>
                <w:i w:val="0"/>
                <w:color w:val="212121"/>
                <w:sz w:val="19"/>
              </w:rPr>
              <w:t>Men with obstruction / retention risk</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100–150 mL</w:t>
            </w:r>
          </w:p>
        </w:tc>
        <w:tc>
          <w:tcPr>
            <w:tcW w:type="dxa" w:w="1468"/>
            <w:vAlign w:val="top"/>
          </w:tcPr>
          <w:p>
            <w:pPr>
              <w:spacing w:after="40" w:before="0" w:line="259" w:lineRule="auto"/>
            </w:pPr>
            <w:r>
              <w:rPr>
                <w:rFonts w:ascii="Calibri" w:hAnsi="Calibri"/>
                <w:b w:val="0"/>
                <w:i w:val="0"/>
                <w:color w:val="212121"/>
                <w:sz w:val="19"/>
              </w:rPr>
              <w:t>Detects incomplete emptying/obstruction that promotes reflux and infection</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Coffee/tea/cola consumers</w:t>
            </w:r>
          </w:p>
        </w:tc>
        <w:tc>
          <w:tcPr>
            <w:tcW w:type="dxa" w:w="1512"/>
            <w:vAlign w:val="top"/>
          </w:tcPr>
          <w:p>
            <w:pPr>
              <w:spacing w:after="40" w:before="0" w:line="259" w:lineRule="auto"/>
            </w:pPr>
            <w:r>
              <w:rPr>
                <w:rFonts w:ascii="Calibri" w:hAnsi="Calibri"/>
                <w:b w:val="0"/>
                <w:i w:val="0"/>
                <w:color w:val="212121"/>
                <w:sz w:val="19"/>
              </w:rPr>
              <w:t>&lt; 200–300 mg/day</w:t>
            </w:r>
          </w:p>
        </w:tc>
        <w:tc>
          <w:tcPr>
            <w:tcW w:type="dxa" w:w="1512"/>
            <w:vAlign w:val="top"/>
          </w:tcPr>
          <w:p>
            <w:pPr>
              <w:spacing w:after="40" w:before="0" w:line="259" w:lineRule="auto"/>
            </w:pPr>
            <w:r>
              <w:rPr>
                <w:rFonts w:ascii="Calibri" w:hAnsi="Calibri"/>
                <w:b w:val="0"/>
                <w:i w:val="0"/>
                <w:color w:val="212121"/>
                <w:sz w:val="19"/>
              </w:rPr>
              <w:t>High intake with irritative symptoms</w:t>
            </w:r>
          </w:p>
        </w:tc>
        <w:tc>
          <w:tcPr>
            <w:tcW w:type="dxa" w:w="1468"/>
            <w:vAlign w:val="top"/>
          </w:tcPr>
          <w:p>
            <w:pPr>
              <w:spacing w:after="40" w:before="0" w:line="259" w:lineRule="auto"/>
            </w:pPr>
            <w:r>
              <w:rPr>
                <w:rFonts w:ascii="Calibri" w:hAnsi="Calibri"/>
                <w:b w:val="0"/>
                <w:i w:val="0"/>
                <w:color w:val="212121"/>
                <w:sz w:val="19"/>
              </w:rPr>
              <w:t>Diuretic and bladder/prostate irritant; reduction eases urgency and pain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None to low / moderate</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40" w:before="0" w:line="259" w:lineRule="auto"/>
            </w:pPr>
            <w:r>
              <w:rPr>
                <w:rFonts w:ascii="Calibri" w:hAnsi="Calibri"/>
                <w:b w:val="0"/>
                <w:i w:val="0"/>
                <w:color w:val="212121"/>
                <w:sz w:val="19"/>
              </w:rPr>
              <w:t>Irritant and diuretic; aggravates voiding symptoms and can precipitate retention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pelvic microcirculation; worsens pain and sexual function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Men with chronic pelvic pain</w:t>
            </w:r>
          </w:p>
        </w:tc>
        <w:tc>
          <w:tcPr>
            <w:tcW w:type="dxa" w:w="1512"/>
            <w:vAlign w:val="top"/>
          </w:tcPr>
          <w:p>
            <w:pPr>
              <w:spacing w:after="40" w:before="0" w:line="259" w:lineRule="auto"/>
            </w:pPr>
            <w:r>
              <w:rPr>
                <w:rFonts w:ascii="Calibri" w:hAnsi="Calibri"/>
                <w:b w:val="0"/>
                <w:i w:val="0"/>
                <w:color w:val="212121"/>
                <w:sz w:val="19"/>
              </w:rPr>
              <w:t>7–9 h, restorative</w:t>
            </w:r>
          </w:p>
        </w:tc>
        <w:tc>
          <w:tcPr>
            <w:tcW w:type="dxa" w:w="1512"/>
            <w:vAlign w:val="top"/>
          </w:tcPr>
          <w:p>
            <w:pPr>
              <w:spacing w:after="40" w:before="0" w:line="259" w:lineRule="auto"/>
            </w:pPr>
            <w:r>
              <w:rPr>
                <w:rFonts w:ascii="Calibri" w:hAnsi="Calibri"/>
                <w:b w:val="0"/>
                <w:i w:val="0"/>
                <w:color w:val="212121"/>
                <w:sz w:val="19"/>
              </w:rPr>
              <w:t>&lt; 6 h or pain/nocturia-disrupted sleep</w:t>
            </w:r>
          </w:p>
        </w:tc>
        <w:tc>
          <w:tcPr>
            <w:tcW w:type="dxa" w:w="1468"/>
            <w:vAlign w:val="top"/>
          </w:tcPr>
          <w:p>
            <w:pPr>
              <w:spacing w:after="40" w:before="0" w:line="259" w:lineRule="auto"/>
            </w:pPr>
            <w:r>
              <w:rPr>
                <w:rFonts w:ascii="Calibri" w:hAnsi="Calibri"/>
                <w:b w:val="0"/>
                <w:i w:val="0"/>
                <w:color w:val="212121"/>
                <w:sz w:val="19"/>
              </w:rPr>
              <w:t>Poor sleep lowers pain threshold and worsens mood</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Spicy / irritant food frequency</w:t>
            </w:r>
          </w:p>
        </w:tc>
        <w:tc>
          <w:tcPr>
            <w:tcW w:type="dxa" w:w="1655"/>
            <w:vAlign w:val="top"/>
          </w:tcPr>
          <w:p>
            <w:pPr>
              <w:spacing w:after="40" w:before="0" w:line="259" w:lineRule="auto"/>
            </w:pPr>
            <w:r>
              <w:rPr>
                <w:rFonts w:ascii="Calibri" w:hAnsi="Calibri"/>
                <w:b w:val="0"/>
                <w:i w:val="0"/>
                <w:color w:val="212121"/>
                <w:sz w:val="19"/>
              </w:rPr>
              <w:t>High-chilli / high-caffeine diet</w:t>
            </w:r>
          </w:p>
        </w:tc>
        <w:tc>
          <w:tcPr>
            <w:tcW w:type="dxa" w:w="1512"/>
            <w:vAlign w:val="top"/>
          </w:tcPr>
          <w:p>
            <w:pPr>
              <w:spacing w:after="40" w:before="0" w:line="259" w:lineRule="auto"/>
            </w:pPr>
            <w:r>
              <w:rPr>
                <w:rFonts w:ascii="Calibri" w:hAnsi="Calibri"/>
                <w:b w:val="0"/>
                <w:i w:val="0"/>
                <w:color w:val="212121"/>
                <w:sz w:val="19"/>
              </w:rPr>
              <w:t>Minimal, trigger-guided</w:t>
            </w:r>
          </w:p>
        </w:tc>
        <w:tc>
          <w:tcPr>
            <w:tcW w:type="dxa" w:w="1512"/>
            <w:vAlign w:val="top"/>
          </w:tcPr>
          <w:p>
            <w:pPr>
              <w:spacing w:after="40" w:before="0" w:line="259" w:lineRule="auto"/>
            </w:pPr>
            <w:r>
              <w:rPr>
                <w:rFonts w:ascii="Calibri" w:hAnsi="Calibri"/>
                <w:b w:val="0"/>
                <w:i w:val="0"/>
                <w:color w:val="212121"/>
                <w:sz w:val="19"/>
              </w:rPr>
              <w:t>Frequent chilli, acidic or caffeinated intake</w:t>
            </w:r>
          </w:p>
        </w:tc>
        <w:tc>
          <w:tcPr>
            <w:tcW w:type="dxa" w:w="1468"/>
            <w:vAlign w:val="top"/>
          </w:tcPr>
          <w:p>
            <w:pPr>
              <w:spacing w:after="40" w:before="0" w:line="259" w:lineRule="auto"/>
            </w:pPr>
            <w:r>
              <w:rPr>
                <w:rFonts w:ascii="Calibri" w:hAnsi="Calibri"/>
                <w:b w:val="0"/>
                <w:i w:val="0"/>
                <w:color w:val="212121"/>
                <w:sz w:val="19"/>
              </w:rPr>
              <w:t>Identify and limit personal dietary triggers of flares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Urinalysis (dipstick + microscopy)</w:t>
            </w:r>
          </w:p>
        </w:tc>
        <w:tc>
          <w:tcPr>
            <w:tcW w:type="dxa" w:w="892"/>
            <w:vAlign w:val="top"/>
          </w:tcPr>
          <w:p>
            <w:pPr>
              <w:spacing w:after="40" w:before="0" w:line="259" w:lineRule="auto"/>
            </w:pPr>
            <w:r>
              <w:rPr>
                <w:rFonts w:ascii="Calibri" w:hAnsi="Calibri"/>
                <w:b w:val="0"/>
                <w:i w:val="0"/>
                <w:color w:val="212121"/>
                <w:sz w:val="16"/>
              </w:rPr>
              <w:t>Urine routine &amp; microscopy</w:t>
            </w:r>
          </w:p>
        </w:tc>
        <w:tc>
          <w:tcPr>
            <w:tcW w:type="dxa" w:w="950"/>
            <w:vAlign w:val="top"/>
          </w:tcPr>
          <w:p>
            <w:pPr>
              <w:spacing w:after="40" w:before="0" w:line="259" w:lineRule="auto"/>
            </w:pPr>
            <w:r>
              <w:rPr>
                <w:rFonts w:ascii="Calibri" w:hAnsi="Calibri"/>
                <w:b w:val="0"/>
                <w:i w:val="0"/>
                <w:color w:val="212121"/>
                <w:sz w:val="16"/>
              </w:rPr>
              <w:t>No leukocytes/nitrites/bacteria/blood</w:t>
            </w:r>
          </w:p>
        </w:tc>
        <w:tc>
          <w:tcPr>
            <w:tcW w:type="dxa" w:w="950"/>
            <w:vAlign w:val="top"/>
          </w:tcPr>
          <w:p>
            <w:pPr>
              <w:spacing w:after="40" w:before="0" w:line="259" w:lineRule="auto"/>
            </w:pPr>
            <w:r>
              <w:rPr>
                <w:rFonts w:ascii="Calibri" w:hAnsi="Calibri"/>
                <w:b w:val="0"/>
                <w:i w:val="0"/>
                <w:color w:val="212121"/>
                <w:sz w:val="16"/>
              </w:rPr>
              <w:t>Pyuria, nitrites, bacteriuria ± haematuria</w:t>
            </w:r>
          </w:p>
        </w:tc>
        <w:tc>
          <w:tcPr>
            <w:tcW w:type="dxa" w:w="1036"/>
            <w:vAlign w:val="top"/>
          </w:tcPr>
          <w:p>
            <w:pPr>
              <w:spacing w:after="40" w:before="0" w:line="259" w:lineRule="auto"/>
            </w:pPr>
            <w:r>
              <w:rPr>
                <w:rFonts w:ascii="Calibri" w:hAnsi="Calibri"/>
                <w:b w:val="0"/>
                <w:i w:val="0"/>
                <w:color w:val="212121"/>
                <w:sz w:val="16"/>
              </w:rPr>
              <w:t>Screens for urinary infection/inflammation and haematuria; first-line in all suspected prostatitis</w:t>
            </w:r>
          </w:p>
        </w:tc>
        <w:tc>
          <w:tcPr>
            <w:tcW w:type="dxa" w:w="1036"/>
            <w:vAlign w:val="top"/>
          </w:tcPr>
          <w:p>
            <w:pPr>
              <w:spacing w:after="40" w:before="0" w:line="259" w:lineRule="auto"/>
            </w:pPr>
            <w:r>
              <w:rPr>
                <w:rFonts w:ascii="Calibri" w:hAnsi="Calibri"/>
                <w:b w:val="0"/>
                <w:i w:val="0"/>
                <w:color w:val="212121"/>
                <w:sz w:val="16"/>
              </w:rPr>
              <w:t>All men with pelvic/urinary symptoms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Mandatory first test</w:t>
            </w:r>
          </w:p>
        </w:tc>
        <w:tc>
          <w:tcPr>
            <w:tcW w:type="dxa" w:w="720"/>
            <w:vAlign w:val="top"/>
          </w:tcPr>
          <w:p>
            <w:pPr>
              <w:spacing w:after="40" w:before="0" w:line="259" w:lineRule="auto"/>
            </w:pPr>
            <w:r>
              <w:rPr>
                <w:rFonts w:ascii="Calibri" w:hAnsi="Calibri"/>
                <w:b w:val="0"/>
                <w:i w:val="0"/>
                <w:color w:val="212121"/>
                <w:sz w:val="16"/>
              </w:rPr>
              <w:t>Haematuria warrants further evaluation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Mid-stream urine culture &amp; sensitivity</w:t>
            </w:r>
          </w:p>
        </w:tc>
        <w:tc>
          <w:tcPr>
            <w:tcW w:type="dxa" w:w="892"/>
            <w:vAlign w:val="top"/>
          </w:tcPr>
          <w:p>
            <w:pPr>
              <w:spacing w:after="40" w:before="0" w:line="259" w:lineRule="auto"/>
            </w:pPr>
            <w:r>
              <w:rPr>
                <w:rFonts w:ascii="Calibri" w:hAnsi="Calibri"/>
                <w:b w:val="0"/>
                <w:i w:val="0"/>
                <w:color w:val="212121"/>
                <w:sz w:val="16"/>
              </w:rPr>
              <w:t>Urine culture</w:t>
            </w:r>
          </w:p>
        </w:tc>
        <w:tc>
          <w:tcPr>
            <w:tcW w:type="dxa" w:w="950"/>
            <w:vAlign w:val="top"/>
          </w:tcPr>
          <w:p>
            <w:pPr>
              <w:spacing w:after="40" w:before="0" w:line="259" w:lineRule="auto"/>
            </w:pPr>
            <w:r>
              <w:rPr>
                <w:rFonts w:ascii="Calibri" w:hAnsi="Calibri"/>
                <w:b w:val="0"/>
                <w:i w:val="0"/>
                <w:color w:val="212121"/>
                <w:sz w:val="16"/>
              </w:rPr>
              <w:t>No significant growth (&lt; 10⁵ CFU/mL)</w:t>
            </w:r>
          </w:p>
        </w:tc>
        <w:tc>
          <w:tcPr>
            <w:tcW w:type="dxa" w:w="950"/>
            <w:vAlign w:val="top"/>
          </w:tcPr>
          <w:p>
            <w:pPr>
              <w:spacing w:after="40" w:before="0" w:line="259" w:lineRule="auto"/>
            </w:pPr>
            <w:r>
              <w:rPr>
                <w:rFonts w:ascii="Calibri" w:hAnsi="Calibri"/>
                <w:b w:val="0"/>
                <w:i w:val="0"/>
                <w:color w:val="212121"/>
                <w:sz w:val="16"/>
              </w:rPr>
              <w:t>Significant bacteriuria (commonly E. coli / gram-negatives)</w:t>
            </w:r>
          </w:p>
        </w:tc>
        <w:tc>
          <w:tcPr>
            <w:tcW w:type="dxa" w:w="1036"/>
            <w:vAlign w:val="top"/>
          </w:tcPr>
          <w:p>
            <w:pPr>
              <w:spacing w:after="40" w:before="0" w:line="259" w:lineRule="auto"/>
            </w:pPr>
            <w:r>
              <w:rPr>
                <w:rFonts w:ascii="Calibri" w:hAnsi="Calibri"/>
                <w:b w:val="0"/>
                <w:i w:val="0"/>
                <w:color w:val="212121"/>
                <w:sz w:val="16"/>
              </w:rPr>
              <w:t>Identifies uropathogen and guides antibiotics; recurrent same-organism UTI suggests chronic bacterial prostatitis</w:t>
            </w:r>
          </w:p>
        </w:tc>
        <w:tc>
          <w:tcPr>
            <w:tcW w:type="dxa" w:w="1036"/>
            <w:vAlign w:val="top"/>
          </w:tcPr>
          <w:p>
            <w:pPr>
              <w:spacing w:after="40" w:before="0" w:line="259" w:lineRule="auto"/>
            </w:pPr>
            <w:r>
              <w:rPr>
                <w:rFonts w:ascii="Calibri" w:hAnsi="Calibri"/>
                <w:b w:val="0"/>
                <w:i w:val="0"/>
                <w:color w:val="212121"/>
                <w:sz w:val="16"/>
              </w:rPr>
              <w:t>Suspected bacterial prostatitis, recurrent UTI</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 coli is the commonest isolate, including in Indian cohorts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Localization</w:t>
            </w:r>
          </w:p>
        </w:tc>
        <w:tc>
          <w:tcPr>
            <w:tcW w:type="dxa" w:w="1036"/>
            <w:vAlign w:val="top"/>
          </w:tcPr>
          <w:p>
            <w:pPr>
              <w:spacing w:after="40" w:before="0" w:line="259" w:lineRule="auto"/>
            </w:pPr>
            <w:r>
              <w:rPr>
                <w:rFonts w:ascii="Calibri" w:hAnsi="Calibri"/>
                <w:b w:val="0"/>
                <w:i w:val="0"/>
                <w:color w:val="212121"/>
                <w:sz w:val="16"/>
              </w:rPr>
              <w:t>Meares–Stamey 4-glass or 2-glass test (EPS / post-massage urine)</w:t>
            </w:r>
          </w:p>
        </w:tc>
        <w:tc>
          <w:tcPr>
            <w:tcW w:type="dxa" w:w="892"/>
            <w:vAlign w:val="top"/>
          </w:tcPr>
          <w:p>
            <w:pPr>
              <w:spacing w:after="40" w:before="0" w:line="259" w:lineRule="auto"/>
            </w:pPr>
            <w:r>
              <w:rPr>
                <w:rFonts w:ascii="Calibri" w:hAnsi="Calibri"/>
                <w:b w:val="0"/>
                <w:i w:val="0"/>
                <w:color w:val="212121"/>
                <w:sz w:val="16"/>
              </w:rPr>
              <w:t>Lower-urinary-tract localization</w:t>
            </w:r>
          </w:p>
        </w:tc>
        <w:tc>
          <w:tcPr>
            <w:tcW w:type="dxa" w:w="950"/>
            <w:vAlign w:val="top"/>
          </w:tcPr>
          <w:p>
            <w:pPr>
              <w:spacing w:after="40" w:before="0" w:line="259" w:lineRule="auto"/>
            </w:pPr>
            <w:r>
              <w:rPr>
                <w:rFonts w:ascii="Calibri" w:hAnsi="Calibri"/>
                <w:b w:val="0"/>
                <w:i w:val="0"/>
                <w:color w:val="212121"/>
                <w:sz w:val="16"/>
              </w:rPr>
              <w:t>EPS/VB3 no excess leukocytes, no bacterial localization</w:t>
            </w:r>
          </w:p>
        </w:tc>
        <w:tc>
          <w:tcPr>
            <w:tcW w:type="dxa" w:w="950"/>
            <w:vAlign w:val="top"/>
          </w:tcPr>
          <w:p>
            <w:pPr>
              <w:spacing w:after="40" w:before="0" w:line="259" w:lineRule="auto"/>
            </w:pPr>
            <w:r>
              <w:rPr>
                <w:rFonts w:ascii="Calibri" w:hAnsi="Calibri"/>
                <w:b w:val="0"/>
                <w:i w:val="0"/>
                <w:color w:val="212121"/>
                <w:sz w:val="16"/>
              </w:rPr>
              <w:t>≥ 10–20 leukocytes/hpf and/or bacterial growth localizing to prostate (VB3 &gt; VB1/VB2)</w:t>
            </w:r>
          </w:p>
        </w:tc>
        <w:tc>
          <w:tcPr>
            <w:tcW w:type="dxa" w:w="1036"/>
            <w:vAlign w:val="top"/>
          </w:tcPr>
          <w:p>
            <w:pPr>
              <w:spacing w:after="40" w:before="0" w:line="259" w:lineRule="auto"/>
            </w:pPr>
            <w:r>
              <w:rPr>
                <w:rFonts w:ascii="Calibri" w:hAnsi="Calibri"/>
                <w:b w:val="0"/>
                <w:i w:val="0"/>
                <w:color w:val="212121"/>
                <w:sz w:val="16"/>
              </w:rPr>
              <w:t>Distinguishes category II (bacterial), IIIA (inflammatory) and IIIB (non-inflammatory) CP/CPPS</w:t>
            </w:r>
          </w:p>
        </w:tc>
        <w:tc>
          <w:tcPr>
            <w:tcW w:type="dxa" w:w="1036"/>
            <w:vAlign w:val="top"/>
          </w:tcPr>
          <w:p>
            <w:pPr>
              <w:spacing w:after="40" w:before="0" w:line="259" w:lineRule="auto"/>
            </w:pPr>
            <w:r>
              <w:rPr>
                <w:rFonts w:ascii="Calibri" w:hAnsi="Calibri"/>
                <w:b w:val="0"/>
                <w:i w:val="0"/>
                <w:color w:val="212121"/>
                <w:sz w:val="16"/>
              </w:rPr>
              <w:t>Chronic prostatitis work-up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standard (chronic forms)</w:t>
            </w:r>
          </w:p>
        </w:tc>
        <w:tc>
          <w:tcPr>
            <w:tcW w:type="dxa" w:w="720"/>
            <w:vAlign w:val="top"/>
          </w:tcPr>
          <w:p>
            <w:pPr>
              <w:spacing w:after="40" w:before="0" w:line="259" w:lineRule="auto"/>
            </w:pPr>
            <w:r>
              <w:rPr>
                <w:rFonts w:ascii="Calibri" w:hAnsi="Calibri"/>
                <w:b w:val="0"/>
                <w:i w:val="0"/>
                <w:color w:val="212121"/>
                <w:sz w:val="16"/>
              </w:rPr>
              <w:t>Do NOT perform prostatic massage in suspected acute prostatitis (sepsis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Prostate-Specific Antigen (PSA)</w:t>
            </w:r>
          </w:p>
        </w:tc>
        <w:tc>
          <w:tcPr>
            <w:tcW w:type="dxa" w:w="892"/>
            <w:vAlign w:val="top"/>
          </w:tcPr>
          <w:p>
            <w:pPr>
              <w:spacing w:after="40" w:before="0" w:line="259" w:lineRule="auto"/>
            </w:pPr>
            <w:r>
              <w:rPr>
                <w:rFonts w:ascii="Calibri" w:hAnsi="Calibri"/>
                <w:b w:val="0"/>
                <w:i w:val="0"/>
                <w:color w:val="212121"/>
                <w:sz w:val="16"/>
              </w:rPr>
              <w:t>Blood PSA test</w:t>
            </w:r>
          </w:p>
        </w:tc>
        <w:tc>
          <w:tcPr>
            <w:tcW w:type="dxa" w:w="950"/>
            <w:vAlign w:val="top"/>
          </w:tcPr>
          <w:p>
            <w:pPr>
              <w:spacing w:after="40" w:before="0" w:line="259" w:lineRule="auto"/>
            </w:pPr>
            <w:r>
              <w:rPr>
                <w:rFonts w:ascii="Calibri" w:hAnsi="Calibri"/>
                <w:b w:val="0"/>
                <w:i w:val="0"/>
                <w:color w:val="212121"/>
                <w:sz w:val="16"/>
              </w:rPr>
              <w:t>Age-appropriate (often &lt; 4 ng/mL)</w:t>
            </w:r>
          </w:p>
        </w:tc>
        <w:tc>
          <w:tcPr>
            <w:tcW w:type="dxa" w:w="950"/>
            <w:vAlign w:val="top"/>
          </w:tcPr>
          <w:p>
            <w:pPr>
              <w:spacing w:after="40" w:before="0" w:line="259" w:lineRule="auto"/>
            </w:pPr>
            <w:r>
              <w:rPr>
                <w:rFonts w:ascii="Calibri" w:hAnsi="Calibri"/>
                <w:b w:val="0"/>
                <w:i w:val="0"/>
                <w:color w:val="212121"/>
                <w:sz w:val="16"/>
              </w:rPr>
              <w:t>Transiently elevated with inflammation</w:t>
            </w:r>
          </w:p>
        </w:tc>
        <w:tc>
          <w:tcPr>
            <w:tcW w:type="dxa" w:w="1036"/>
            <w:vAlign w:val="top"/>
          </w:tcPr>
          <w:p>
            <w:pPr>
              <w:spacing w:after="40" w:before="0" w:line="259" w:lineRule="auto"/>
            </w:pPr>
            <w:r>
              <w:rPr>
                <w:rFonts w:ascii="Calibri" w:hAnsi="Calibri"/>
                <w:b w:val="0"/>
                <w:i w:val="0"/>
                <w:color w:val="212121"/>
                <w:sz w:val="16"/>
              </w:rPr>
              <w:t>Prostatitis can raise PSA; repeat after treatment rather than proceeding directly to cancer work-up</w:t>
            </w:r>
          </w:p>
        </w:tc>
        <w:tc>
          <w:tcPr>
            <w:tcW w:type="dxa" w:w="1036"/>
            <w:vAlign w:val="top"/>
          </w:tcPr>
          <w:p>
            <w:pPr>
              <w:spacing w:after="40" w:before="0" w:line="259" w:lineRule="auto"/>
            </w:pPr>
            <w:r>
              <w:rPr>
                <w:rFonts w:ascii="Calibri" w:hAnsi="Calibri"/>
                <w:b w:val="0"/>
                <w:i w:val="0"/>
                <w:color w:val="212121"/>
                <w:sz w:val="16"/>
              </w:rPr>
              <w:t>Older men, raised PSA, category IV</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Interpret with caution</w:t>
            </w:r>
          </w:p>
        </w:tc>
        <w:tc>
          <w:tcPr>
            <w:tcW w:type="dxa" w:w="720"/>
            <w:vAlign w:val="top"/>
          </w:tcPr>
          <w:p>
            <w:pPr>
              <w:spacing w:after="40" w:before="0" w:line="259" w:lineRule="auto"/>
            </w:pPr>
            <w:r>
              <w:rPr>
                <w:rFonts w:ascii="Calibri" w:hAnsi="Calibri"/>
                <w:b w:val="0"/>
                <w:i w:val="0"/>
                <w:color w:val="212121"/>
                <w:sz w:val="16"/>
              </w:rPr>
              <w:t>Avoid over-diagnosis of prostate cancer during active inflammation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Andrology</w:t>
            </w:r>
          </w:p>
        </w:tc>
        <w:tc>
          <w:tcPr>
            <w:tcW w:type="dxa" w:w="1036"/>
            <w:vAlign w:val="top"/>
          </w:tcPr>
          <w:p>
            <w:pPr>
              <w:spacing w:after="40" w:before="0" w:line="259" w:lineRule="auto"/>
            </w:pPr>
            <w:r>
              <w:rPr>
                <w:rFonts w:ascii="Calibri" w:hAnsi="Calibri"/>
                <w:b w:val="0"/>
                <w:i w:val="0"/>
                <w:color w:val="212121"/>
                <w:sz w:val="16"/>
              </w:rPr>
              <w:t>Semen analysis ± culture (leukocytospermia)</w:t>
            </w:r>
          </w:p>
        </w:tc>
        <w:tc>
          <w:tcPr>
            <w:tcW w:type="dxa" w:w="892"/>
            <w:vAlign w:val="top"/>
          </w:tcPr>
          <w:p>
            <w:pPr>
              <w:spacing w:after="40" w:before="0" w:line="259" w:lineRule="auto"/>
            </w:pPr>
            <w:r>
              <w:rPr>
                <w:rFonts w:ascii="Calibri" w:hAnsi="Calibri"/>
                <w:b w:val="0"/>
                <w:i w:val="0"/>
                <w:color w:val="212121"/>
                <w:sz w:val="16"/>
              </w:rPr>
              <w:t>Seminal fluid analysis</w:t>
            </w:r>
          </w:p>
        </w:tc>
        <w:tc>
          <w:tcPr>
            <w:tcW w:type="dxa" w:w="950"/>
            <w:vAlign w:val="top"/>
          </w:tcPr>
          <w:p>
            <w:pPr>
              <w:spacing w:after="40" w:before="0" w:line="259" w:lineRule="auto"/>
            </w:pPr>
            <w:r>
              <w:rPr>
                <w:rFonts w:ascii="Calibri" w:hAnsi="Calibri"/>
                <w:b w:val="0"/>
                <w:i w:val="0"/>
                <w:color w:val="212121"/>
                <w:sz w:val="16"/>
              </w:rPr>
              <w:t>&lt; 1 × 10⁶ leukocytes/mL, no significant growth</w:t>
            </w:r>
          </w:p>
        </w:tc>
        <w:tc>
          <w:tcPr>
            <w:tcW w:type="dxa" w:w="950"/>
            <w:vAlign w:val="top"/>
          </w:tcPr>
          <w:p>
            <w:pPr>
              <w:spacing w:after="40" w:before="0" w:line="259" w:lineRule="auto"/>
            </w:pPr>
            <w:r>
              <w:rPr>
                <w:rFonts w:ascii="Calibri" w:hAnsi="Calibri"/>
                <w:b w:val="0"/>
                <w:i w:val="0"/>
                <w:color w:val="212121"/>
                <w:sz w:val="16"/>
              </w:rPr>
              <w:t>Leukocytospermia ± positive culture</w:t>
            </w:r>
          </w:p>
        </w:tc>
        <w:tc>
          <w:tcPr>
            <w:tcW w:type="dxa" w:w="1036"/>
            <w:vAlign w:val="top"/>
          </w:tcPr>
          <w:p>
            <w:pPr>
              <w:spacing w:after="40" w:before="0" w:line="259" w:lineRule="auto"/>
            </w:pPr>
            <w:r>
              <w:rPr>
                <w:rFonts w:ascii="Calibri" w:hAnsi="Calibri"/>
                <w:b w:val="0"/>
                <w:i w:val="0"/>
                <w:color w:val="212121"/>
                <w:sz w:val="16"/>
              </w:rPr>
              <w:t>Detects inflammatory (IIIA / category IV) prostatitis and its impact on fertility</w:t>
            </w:r>
          </w:p>
        </w:tc>
        <w:tc>
          <w:tcPr>
            <w:tcW w:type="dxa" w:w="1036"/>
            <w:vAlign w:val="top"/>
          </w:tcPr>
          <w:p>
            <w:pPr>
              <w:spacing w:after="40" w:before="0" w:line="259" w:lineRule="auto"/>
            </w:pPr>
            <w:r>
              <w:rPr>
                <w:rFonts w:ascii="Calibri" w:hAnsi="Calibri"/>
                <w:b w:val="0"/>
                <w:i w:val="0"/>
                <w:color w:val="212121"/>
                <w:sz w:val="16"/>
              </w:rPr>
              <w:t>Men in infertility work-up, category IV</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Links prostatitis to sub-fertility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Uroflow / Imaging</w:t>
            </w:r>
          </w:p>
        </w:tc>
        <w:tc>
          <w:tcPr>
            <w:tcW w:type="dxa" w:w="1036"/>
            <w:vAlign w:val="top"/>
          </w:tcPr>
          <w:p>
            <w:pPr>
              <w:spacing w:after="40" w:before="0" w:line="259" w:lineRule="auto"/>
            </w:pPr>
            <w:r>
              <w:rPr>
                <w:rFonts w:ascii="Calibri" w:hAnsi="Calibri"/>
                <w:b w:val="0"/>
                <w:i w:val="0"/>
                <w:color w:val="212121"/>
                <w:sz w:val="16"/>
              </w:rPr>
              <w:t>Uroflowmetry + post-void residual</w:t>
            </w:r>
          </w:p>
        </w:tc>
        <w:tc>
          <w:tcPr>
            <w:tcW w:type="dxa" w:w="892"/>
            <w:vAlign w:val="top"/>
          </w:tcPr>
          <w:p>
            <w:pPr>
              <w:spacing w:after="40" w:before="0" w:line="259" w:lineRule="auto"/>
            </w:pPr>
            <w:r>
              <w:rPr>
                <w:rFonts w:ascii="Calibri" w:hAnsi="Calibri"/>
                <w:b w:val="0"/>
                <w:i w:val="0"/>
                <w:color w:val="212121"/>
                <w:sz w:val="16"/>
              </w:rPr>
              <w:t>Uroflowmetry &amp; bladder scan</w:t>
            </w:r>
          </w:p>
        </w:tc>
        <w:tc>
          <w:tcPr>
            <w:tcW w:type="dxa" w:w="950"/>
            <w:vAlign w:val="top"/>
          </w:tcPr>
          <w:p>
            <w:pPr>
              <w:spacing w:after="40" w:before="0" w:line="259" w:lineRule="auto"/>
            </w:pPr>
            <w:r>
              <w:rPr>
                <w:rFonts w:ascii="Calibri" w:hAnsi="Calibri"/>
                <w:b w:val="0"/>
                <w:i w:val="0"/>
                <w:color w:val="212121"/>
                <w:sz w:val="16"/>
              </w:rPr>
              <w:t>Normal flow; PVR &lt; 50 mL</w:t>
            </w:r>
          </w:p>
        </w:tc>
        <w:tc>
          <w:tcPr>
            <w:tcW w:type="dxa" w:w="950"/>
            <w:vAlign w:val="top"/>
          </w:tcPr>
          <w:p>
            <w:pPr>
              <w:spacing w:after="40" w:before="0" w:line="259" w:lineRule="auto"/>
            </w:pPr>
            <w:r>
              <w:rPr>
                <w:rFonts w:ascii="Calibri" w:hAnsi="Calibri"/>
                <w:b w:val="0"/>
                <w:i w:val="0"/>
                <w:color w:val="212121"/>
                <w:sz w:val="16"/>
              </w:rPr>
              <w:t>Low/obstructed flow; elevated PVR</w:t>
            </w:r>
          </w:p>
        </w:tc>
        <w:tc>
          <w:tcPr>
            <w:tcW w:type="dxa" w:w="1036"/>
            <w:vAlign w:val="top"/>
          </w:tcPr>
          <w:p>
            <w:pPr>
              <w:spacing w:after="40" w:before="0" w:line="259" w:lineRule="auto"/>
            </w:pPr>
            <w:r>
              <w:rPr>
                <w:rFonts w:ascii="Calibri" w:hAnsi="Calibri"/>
                <w:b w:val="0"/>
                <w:i w:val="0"/>
                <w:color w:val="212121"/>
                <w:sz w:val="16"/>
              </w:rPr>
              <w:t>Assesses outlet obstruction, dysfunctional voiding and retention that drive reflux and symptoms</w:t>
            </w:r>
          </w:p>
        </w:tc>
        <w:tc>
          <w:tcPr>
            <w:tcW w:type="dxa" w:w="1036"/>
            <w:vAlign w:val="top"/>
          </w:tcPr>
          <w:p>
            <w:pPr>
              <w:spacing w:after="40" w:before="0" w:line="259" w:lineRule="auto"/>
            </w:pPr>
            <w:r>
              <w:rPr>
                <w:rFonts w:ascii="Calibri" w:hAnsi="Calibri"/>
                <w:b w:val="0"/>
                <w:i w:val="0"/>
                <w:color w:val="212121"/>
                <w:sz w:val="16"/>
              </w:rPr>
              <w:t>Men with obstructive symptoms, BPH overlap</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Non-invasive functional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Microbiology</w:t>
            </w:r>
          </w:p>
        </w:tc>
        <w:tc>
          <w:tcPr>
            <w:tcW w:type="dxa" w:w="1036"/>
            <w:vAlign w:val="top"/>
          </w:tcPr>
          <w:p>
            <w:pPr>
              <w:spacing w:after="40" w:before="0" w:line="259" w:lineRule="auto"/>
            </w:pPr>
            <w:r>
              <w:rPr>
                <w:rFonts w:ascii="Calibri" w:hAnsi="Calibri"/>
                <w:b w:val="0"/>
                <w:i w:val="0"/>
                <w:color w:val="212121"/>
                <w:sz w:val="16"/>
              </w:rPr>
              <w:t>CBC, CRP ± blood culture (acute)</w:t>
            </w:r>
          </w:p>
        </w:tc>
        <w:tc>
          <w:tcPr>
            <w:tcW w:type="dxa" w:w="892"/>
            <w:vAlign w:val="top"/>
          </w:tcPr>
          <w:p>
            <w:pPr>
              <w:spacing w:after="40" w:before="0" w:line="259" w:lineRule="auto"/>
            </w:pPr>
            <w:r>
              <w:rPr>
                <w:rFonts w:ascii="Calibri" w:hAnsi="Calibri"/>
                <w:b w:val="0"/>
                <w:i w:val="0"/>
                <w:color w:val="212121"/>
                <w:sz w:val="16"/>
              </w:rPr>
              <w:t>Blood tests &amp; culture</w:t>
            </w:r>
          </w:p>
        </w:tc>
        <w:tc>
          <w:tcPr>
            <w:tcW w:type="dxa" w:w="950"/>
            <w:vAlign w:val="top"/>
          </w:tcPr>
          <w:p>
            <w:pPr>
              <w:spacing w:after="40" w:before="0" w:line="259" w:lineRule="auto"/>
            </w:pPr>
            <w:r>
              <w:rPr>
                <w:rFonts w:ascii="Calibri" w:hAnsi="Calibri"/>
                <w:b w:val="0"/>
                <w:i w:val="0"/>
                <w:color w:val="212121"/>
                <w:sz w:val="16"/>
              </w:rPr>
              <w:t>Normal WBC/CRP; sterile blood</w:t>
            </w:r>
          </w:p>
        </w:tc>
        <w:tc>
          <w:tcPr>
            <w:tcW w:type="dxa" w:w="950"/>
            <w:vAlign w:val="top"/>
          </w:tcPr>
          <w:p>
            <w:pPr>
              <w:spacing w:after="40" w:before="0" w:line="259" w:lineRule="auto"/>
            </w:pPr>
            <w:r>
              <w:rPr>
                <w:rFonts w:ascii="Calibri" w:hAnsi="Calibri"/>
                <w:b w:val="0"/>
                <w:i w:val="0"/>
                <w:color w:val="212121"/>
                <w:sz w:val="16"/>
              </w:rPr>
              <w:t>Leukocytosis, raised CRP, positive blood culture</w:t>
            </w:r>
          </w:p>
        </w:tc>
        <w:tc>
          <w:tcPr>
            <w:tcW w:type="dxa" w:w="1036"/>
            <w:vAlign w:val="top"/>
          </w:tcPr>
          <w:p>
            <w:pPr>
              <w:spacing w:after="40" w:before="0" w:line="259" w:lineRule="auto"/>
            </w:pPr>
            <w:r>
              <w:rPr>
                <w:rFonts w:ascii="Calibri" w:hAnsi="Calibri"/>
                <w:b w:val="0"/>
                <w:i w:val="0"/>
                <w:color w:val="212121"/>
                <w:sz w:val="16"/>
              </w:rPr>
              <w:t>Grades severity of acute bacterial prostatitis and detects bacteraemia/urosepsis</w:t>
            </w:r>
          </w:p>
        </w:tc>
        <w:tc>
          <w:tcPr>
            <w:tcW w:type="dxa" w:w="1036"/>
            <w:vAlign w:val="top"/>
          </w:tcPr>
          <w:p>
            <w:pPr>
              <w:spacing w:after="40" w:before="0" w:line="259" w:lineRule="auto"/>
            </w:pPr>
            <w:r>
              <w:rPr>
                <w:rFonts w:ascii="Calibri" w:hAnsi="Calibri"/>
                <w:b w:val="0"/>
                <w:i w:val="0"/>
                <w:color w:val="212121"/>
                <w:sz w:val="16"/>
              </w:rPr>
              <w:t>Acutely unwell / febrile men (category I)</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 (acute)</w:t>
            </w:r>
          </w:p>
        </w:tc>
        <w:tc>
          <w:tcPr>
            <w:tcW w:type="dxa" w:w="720"/>
            <w:vAlign w:val="top"/>
          </w:tcPr>
          <w:p>
            <w:pPr>
              <w:spacing w:after="40" w:before="0" w:line="259" w:lineRule="auto"/>
            </w:pPr>
            <w:r>
              <w:rPr>
                <w:rFonts w:ascii="Calibri" w:hAnsi="Calibri"/>
                <w:b w:val="0"/>
                <w:i w:val="0"/>
                <w:color w:val="212121"/>
                <w:sz w:val="16"/>
              </w:rPr>
              <w:t>Guides admission and IV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Transrectal ultrasound / pelvic MRI</w:t>
            </w:r>
          </w:p>
        </w:tc>
        <w:tc>
          <w:tcPr>
            <w:tcW w:type="dxa" w:w="892"/>
            <w:vAlign w:val="top"/>
          </w:tcPr>
          <w:p>
            <w:pPr>
              <w:spacing w:after="40" w:before="0" w:line="259" w:lineRule="auto"/>
            </w:pPr>
            <w:r>
              <w:rPr>
                <w:rFonts w:ascii="Calibri" w:hAnsi="Calibri"/>
                <w:b w:val="0"/>
                <w:i w:val="0"/>
                <w:color w:val="212121"/>
                <w:sz w:val="16"/>
              </w:rPr>
              <w:t>TRUS / MRI</w:t>
            </w:r>
          </w:p>
        </w:tc>
        <w:tc>
          <w:tcPr>
            <w:tcW w:type="dxa" w:w="950"/>
            <w:vAlign w:val="top"/>
          </w:tcPr>
          <w:p>
            <w:pPr>
              <w:spacing w:after="40" w:before="0" w:line="259" w:lineRule="auto"/>
            </w:pPr>
            <w:r>
              <w:rPr>
                <w:rFonts w:ascii="Calibri" w:hAnsi="Calibri"/>
                <w:b w:val="0"/>
                <w:i w:val="0"/>
                <w:color w:val="212121"/>
                <w:sz w:val="16"/>
              </w:rPr>
              <w:t>No collection or structural lesion</w:t>
            </w:r>
          </w:p>
        </w:tc>
        <w:tc>
          <w:tcPr>
            <w:tcW w:type="dxa" w:w="950"/>
            <w:vAlign w:val="top"/>
          </w:tcPr>
          <w:p>
            <w:pPr>
              <w:spacing w:after="40" w:before="0" w:line="259" w:lineRule="auto"/>
            </w:pPr>
            <w:r>
              <w:rPr>
                <w:rFonts w:ascii="Calibri" w:hAnsi="Calibri"/>
                <w:b w:val="0"/>
                <w:i w:val="0"/>
                <w:color w:val="212121"/>
                <w:sz w:val="16"/>
              </w:rPr>
              <w:t>Prostatic abscess, calcification or structural lesion</w:t>
            </w:r>
          </w:p>
        </w:tc>
        <w:tc>
          <w:tcPr>
            <w:tcW w:type="dxa" w:w="1036"/>
            <w:vAlign w:val="top"/>
          </w:tcPr>
          <w:p>
            <w:pPr>
              <w:spacing w:after="40" w:before="0" w:line="259" w:lineRule="auto"/>
            </w:pPr>
            <w:r>
              <w:rPr>
                <w:rFonts w:ascii="Calibri" w:hAnsi="Calibri"/>
                <w:b w:val="0"/>
                <w:i w:val="0"/>
                <w:color w:val="212121"/>
                <w:sz w:val="16"/>
              </w:rPr>
              <w:t>Detects prostatic abscess (when antibiotics fail) and excludes structural/neoplastic disease</w:t>
            </w:r>
          </w:p>
        </w:tc>
        <w:tc>
          <w:tcPr>
            <w:tcW w:type="dxa" w:w="1036"/>
            <w:vAlign w:val="top"/>
          </w:tcPr>
          <w:p>
            <w:pPr>
              <w:spacing w:after="40" w:before="0" w:line="259" w:lineRule="auto"/>
            </w:pPr>
            <w:r>
              <w:rPr>
                <w:rFonts w:ascii="Calibri" w:hAnsi="Calibri"/>
                <w:b w:val="0"/>
                <w:i w:val="0"/>
                <w:color w:val="212121"/>
                <w:sz w:val="16"/>
              </w:rPr>
              <w:t>Non-responding acute prostatitis, suspected abscess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Abscess may need drainage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Perineal/pelvic/genital pain, LUTS, ejaculatory pain (≥ 3 months for chronic)</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pelvic pain with voiding and/or ejaculatory symptoms</w:t>
            </w:r>
          </w:p>
        </w:tc>
        <w:tc>
          <w:tcPr>
            <w:tcW w:type="dxa" w:w="1036"/>
            <w:vAlign w:val="top"/>
          </w:tcPr>
          <w:p>
            <w:pPr>
              <w:spacing w:after="40" w:before="0" w:line="259" w:lineRule="auto"/>
            </w:pPr>
            <w:r>
              <w:rPr>
                <w:rFonts w:ascii="Calibri" w:hAnsi="Calibri"/>
                <w:b w:val="0"/>
                <w:i w:val="0"/>
                <w:color w:val="212121"/>
                <w:sz w:val="16"/>
              </w:rPr>
              <w:t>Defines the prostatitis syndrome and its chronicity (category III if ≥ 3 months without infection)</w:t>
            </w:r>
          </w:p>
        </w:tc>
        <w:tc>
          <w:tcPr>
            <w:tcW w:type="dxa" w:w="1036"/>
            <w:vAlign w:val="top"/>
          </w:tcPr>
          <w:p>
            <w:pPr>
              <w:spacing w:after="40" w:before="0" w:line="259" w:lineRule="auto"/>
            </w:pPr>
            <w:r>
              <w:rPr>
                <w:rFonts w:ascii="Calibri" w:hAnsi="Calibri"/>
                <w:b w:val="0"/>
                <w:i w:val="0"/>
                <w:color w:val="212121"/>
                <w:sz w:val="16"/>
              </w:rPr>
              <w:t>Adult men with pelvic pain/LUTS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 / screening</w:t>
            </w:r>
          </w:p>
        </w:tc>
        <w:tc>
          <w:tcPr>
            <w:tcW w:type="dxa" w:w="720"/>
            <w:vAlign w:val="top"/>
          </w:tcPr>
          <w:p>
            <w:pPr>
              <w:spacing w:after="40" w:before="0" w:line="259" w:lineRule="auto"/>
            </w:pPr>
            <w:r>
              <w:rPr>
                <w:rFonts w:ascii="Calibri" w:hAnsi="Calibri"/>
                <w:b w:val="0"/>
                <w:i w:val="0"/>
                <w:color w:val="212121"/>
                <w:sz w:val="16"/>
              </w:rPr>
              <w:t>Pain is typically perineal, suprapubic, penile or testicular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NIH-CPSI questionnaire</w:t>
            </w:r>
          </w:p>
        </w:tc>
        <w:tc>
          <w:tcPr>
            <w:tcW w:type="dxa" w:w="979"/>
            <w:vAlign w:val="top"/>
          </w:tcPr>
          <w:p>
            <w:pPr>
              <w:spacing w:after="40" w:before="0" w:line="259" w:lineRule="auto"/>
            </w:pPr>
            <w:r>
              <w:rPr>
                <w:rFonts w:ascii="Calibri" w:hAnsi="Calibri"/>
                <w:b w:val="0"/>
                <w:i w:val="0"/>
                <w:color w:val="212121"/>
                <w:sz w:val="16"/>
              </w:rPr>
              <w:t>Pain, urinary and quality-of-life domains</w:t>
            </w:r>
          </w:p>
        </w:tc>
        <w:tc>
          <w:tcPr>
            <w:tcW w:type="dxa" w:w="950"/>
            <w:vAlign w:val="top"/>
          </w:tcPr>
          <w:p>
            <w:pPr>
              <w:spacing w:after="40" w:before="0" w:line="259" w:lineRule="auto"/>
            </w:pPr>
            <w:r>
              <w:rPr>
                <w:rFonts w:ascii="Calibri" w:hAnsi="Calibri"/>
                <w:b w:val="0"/>
                <w:i w:val="0"/>
                <w:color w:val="212121"/>
                <w:sz w:val="16"/>
              </w:rPr>
              <w:t>Low total score</w:t>
            </w:r>
          </w:p>
        </w:tc>
        <w:tc>
          <w:tcPr>
            <w:tcW w:type="dxa" w:w="950"/>
            <w:vAlign w:val="top"/>
          </w:tcPr>
          <w:p>
            <w:pPr>
              <w:spacing w:after="40" w:before="0" w:line="259" w:lineRule="auto"/>
            </w:pPr>
            <w:r>
              <w:rPr>
                <w:rFonts w:ascii="Calibri" w:hAnsi="Calibri"/>
                <w:b w:val="0"/>
                <w:i w:val="0"/>
                <w:color w:val="212121"/>
                <w:sz w:val="16"/>
              </w:rPr>
              <w:t>Elevated pain/urinary/QoL scores</w:t>
            </w:r>
          </w:p>
        </w:tc>
        <w:tc>
          <w:tcPr>
            <w:tcW w:type="dxa" w:w="1036"/>
            <w:vAlign w:val="top"/>
          </w:tcPr>
          <w:p>
            <w:pPr>
              <w:spacing w:after="40" w:before="0" w:line="259" w:lineRule="auto"/>
            </w:pPr>
            <w:r>
              <w:rPr>
                <w:rFonts w:ascii="Calibri" w:hAnsi="Calibri"/>
                <w:b w:val="0"/>
                <w:i w:val="0"/>
                <w:color w:val="212121"/>
                <w:sz w:val="16"/>
              </w:rPr>
              <w:t>Standardises symptom severity and monitors treatment response</w:t>
            </w:r>
          </w:p>
        </w:tc>
        <w:tc>
          <w:tcPr>
            <w:tcW w:type="dxa" w:w="1036"/>
            <w:vAlign w:val="top"/>
          </w:tcPr>
          <w:p>
            <w:pPr>
              <w:spacing w:after="40" w:before="0" w:line="259" w:lineRule="auto"/>
            </w:pPr>
            <w:r>
              <w:rPr>
                <w:rFonts w:ascii="Calibri" w:hAnsi="Calibri"/>
                <w:b w:val="0"/>
                <w:i w:val="0"/>
                <w:color w:val="212121"/>
                <w:sz w:val="16"/>
              </w:rPr>
              <w:t>All chronic prostatitis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Validated index for CP/CPPS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STI, catheter &amp; drug history</w:t>
            </w:r>
          </w:p>
        </w:tc>
        <w:tc>
          <w:tcPr>
            <w:tcW w:type="dxa" w:w="979"/>
            <w:vAlign w:val="top"/>
          </w:tcPr>
          <w:p>
            <w:pPr>
              <w:spacing w:after="40" w:before="0" w:line="259" w:lineRule="auto"/>
            </w:pPr>
            <w:r>
              <w:rPr>
                <w:rFonts w:ascii="Calibri" w:hAnsi="Calibri"/>
                <w:b w:val="0"/>
                <w:i w:val="0"/>
                <w:color w:val="212121"/>
                <w:sz w:val="16"/>
              </w:rPr>
              <w:t>Sexual exposure, urethritis, instrumentation, medications</w:t>
            </w:r>
          </w:p>
        </w:tc>
        <w:tc>
          <w:tcPr>
            <w:tcW w:type="dxa" w:w="950"/>
            <w:vAlign w:val="top"/>
          </w:tcPr>
          <w:p>
            <w:pPr>
              <w:spacing w:after="40" w:before="0" w:line="259" w:lineRule="auto"/>
            </w:pPr>
            <w:r>
              <w:rPr>
                <w:rFonts w:ascii="Calibri" w:hAnsi="Calibri"/>
                <w:b w:val="0"/>
                <w:i w:val="0"/>
                <w:color w:val="212121"/>
                <w:sz w:val="16"/>
              </w:rPr>
              <w:t>No risk exposure</w:t>
            </w:r>
          </w:p>
        </w:tc>
        <w:tc>
          <w:tcPr>
            <w:tcW w:type="dxa" w:w="950"/>
            <w:vAlign w:val="top"/>
          </w:tcPr>
          <w:p>
            <w:pPr>
              <w:spacing w:after="40" w:before="0" w:line="259" w:lineRule="auto"/>
            </w:pPr>
            <w:r>
              <w:rPr>
                <w:rFonts w:ascii="Calibri" w:hAnsi="Calibri"/>
                <w:b w:val="0"/>
                <w:i w:val="0"/>
                <w:color w:val="212121"/>
                <w:sz w:val="16"/>
              </w:rPr>
              <w:t>Unprotected exposure, prior urethritis, recent catheter/biopsy</w:t>
            </w:r>
          </w:p>
        </w:tc>
        <w:tc>
          <w:tcPr>
            <w:tcW w:type="dxa" w:w="1036"/>
            <w:vAlign w:val="top"/>
          </w:tcPr>
          <w:p>
            <w:pPr>
              <w:spacing w:after="40" w:before="0" w:line="259" w:lineRule="auto"/>
            </w:pPr>
            <w:r>
              <w:rPr>
                <w:rFonts w:ascii="Calibri" w:hAnsi="Calibri"/>
                <w:b w:val="0"/>
                <w:i w:val="0"/>
                <w:color w:val="212121"/>
                <w:sz w:val="16"/>
              </w:rPr>
              <w:t>Identifies infective route and precipitants of bacterial prostatitis</w:t>
            </w:r>
          </w:p>
        </w:tc>
        <w:tc>
          <w:tcPr>
            <w:tcW w:type="dxa" w:w="1036"/>
            <w:vAlign w:val="top"/>
          </w:tcPr>
          <w:p>
            <w:pPr>
              <w:spacing w:after="40" w:before="0" w:line="259" w:lineRule="auto"/>
            </w:pPr>
            <w:r>
              <w:rPr>
                <w:rFonts w:ascii="Calibri" w:hAnsi="Calibri"/>
                <w:b w:val="0"/>
                <w:i w:val="0"/>
                <w:color w:val="212121"/>
                <w:sz w:val="16"/>
              </w:rPr>
              <w:t>Sexually active men, catheterised/instrumented 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Directs STI screen and antibiotic choice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Digital rectal examination (DRE)</w:t>
            </w:r>
          </w:p>
        </w:tc>
        <w:tc>
          <w:tcPr>
            <w:tcW w:type="dxa" w:w="979"/>
            <w:vAlign w:val="top"/>
          </w:tcPr>
          <w:p>
            <w:pPr>
              <w:spacing w:after="40" w:before="0" w:line="259" w:lineRule="auto"/>
            </w:pPr>
            <w:r>
              <w:rPr>
                <w:rFonts w:ascii="Calibri" w:hAnsi="Calibri"/>
                <w:b w:val="0"/>
                <w:i w:val="0"/>
                <w:color w:val="212121"/>
                <w:sz w:val="16"/>
              </w:rPr>
              <w:t>Prostate size, tenderness, consistency</w:t>
            </w:r>
          </w:p>
        </w:tc>
        <w:tc>
          <w:tcPr>
            <w:tcW w:type="dxa" w:w="950"/>
            <w:vAlign w:val="top"/>
          </w:tcPr>
          <w:p>
            <w:pPr>
              <w:spacing w:after="40" w:before="0" w:line="259" w:lineRule="auto"/>
            </w:pPr>
            <w:r>
              <w:rPr>
                <w:rFonts w:ascii="Calibri" w:hAnsi="Calibri"/>
                <w:b w:val="0"/>
                <w:i w:val="0"/>
                <w:color w:val="212121"/>
                <w:sz w:val="16"/>
              </w:rPr>
              <w:t>Non-tender, normal prostate</w:t>
            </w:r>
          </w:p>
        </w:tc>
        <w:tc>
          <w:tcPr>
            <w:tcW w:type="dxa" w:w="950"/>
            <w:vAlign w:val="top"/>
          </w:tcPr>
          <w:p>
            <w:pPr>
              <w:spacing w:after="40" w:before="0" w:line="259" w:lineRule="auto"/>
            </w:pPr>
            <w:r>
              <w:rPr>
                <w:rFonts w:ascii="Calibri" w:hAnsi="Calibri"/>
                <w:b w:val="0"/>
                <w:i w:val="0"/>
                <w:color w:val="212121"/>
                <w:sz w:val="16"/>
              </w:rPr>
              <w:t>Tender, warm, boggy, swollen gland (acute); often normal in CP/CPPS</w:t>
            </w:r>
          </w:p>
        </w:tc>
        <w:tc>
          <w:tcPr>
            <w:tcW w:type="dxa" w:w="1036"/>
            <w:vAlign w:val="top"/>
          </w:tcPr>
          <w:p>
            <w:pPr>
              <w:spacing w:after="40" w:before="0" w:line="259" w:lineRule="auto"/>
            </w:pPr>
            <w:r>
              <w:rPr>
                <w:rFonts w:ascii="Calibri" w:hAnsi="Calibri"/>
                <w:b w:val="0"/>
                <w:i w:val="0"/>
                <w:color w:val="212121"/>
                <w:sz w:val="16"/>
              </w:rPr>
              <w:t>Assesses the gland and helps separate acute bacterial from CP/CPPS</w:t>
            </w:r>
          </w:p>
        </w:tc>
        <w:tc>
          <w:tcPr>
            <w:tcW w:type="dxa" w:w="1036"/>
            <w:vAlign w:val="top"/>
          </w:tcPr>
          <w:p>
            <w:pPr>
              <w:spacing w:after="40" w:before="0" w:line="259" w:lineRule="auto"/>
            </w:pPr>
            <w:r>
              <w:rPr>
                <w:rFonts w:ascii="Calibri" w:hAnsi="Calibri"/>
                <w:b w:val="0"/>
                <w:i w:val="0"/>
                <w:color w:val="212121"/>
                <w:sz w:val="16"/>
              </w:rPr>
              <w:t>All suspected prostatitis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Avoid vigorous prostatic massage in suspected acute prostatitis (sepsis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Pelvic-floor / perineal examination</w:t>
            </w:r>
          </w:p>
        </w:tc>
        <w:tc>
          <w:tcPr>
            <w:tcW w:type="dxa" w:w="979"/>
            <w:vAlign w:val="top"/>
          </w:tcPr>
          <w:p>
            <w:pPr>
              <w:spacing w:after="40" w:before="0" w:line="259" w:lineRule="auto"/>
            </w:pPr>
            <w:r>
              <w:rPr>
                <w:rFonts w:ascii="Calibri" w:hAnsi="Calibri"/>
                <w:b w:val="0"/>
                <w:i w:val="0"/>
                <w:color w:val="212121"/>
                <w:sz w:val="16"/>
              </w:rPr>
              <w:t>Muscle tenderness and myofascial trigger points</w:t>
            </w:r>
          </w:p>
        </w:tc>
        <w:tc>
          <w:tcPr>
            <w:tcW w:type="dxa" w:w="950"/>
            <w:vAlign w:val="top"/>
          </w:tcPr>
          <w:p>
            <w:pPr>
              <w:spacing w:after="40" w:before="0" w:line="259" w:lineRule="auto"/>
            </w:pPr>
            <w:r>
              <w:rPr>
                <w:rFonts w:ascii="Calibri" w:hAnsi="Calibri"/>
                <w:b w:val="0"/>
                <w:i w:val="0"/>
                <w:color w:val="212121"/>
                <w:sz w:val="16"/>
              </w:rPr>
              <w:t>Relaxed, non-tender pelvic floor</w:t>
            </w:r>
          </w:p>
        </w:tc>
        <w:tc>
          <w:tcPr>
            <w:tcW w:type="dxa" w:w="950"/>
            <w:vAlign w:val="top"/>
          </w:tcPr>
          <w:p>
            <w:pPr>
              <w:spacing w:after="40" w:before="0" w:line="259" w:lineRule="auto"/>
            </w:pPr>
            <w:r>
              <w:rPr>
                <w:rFonts w:ascii="Calibri" w:hAnsi="Calibri"/>
                <w:b w:val="0"/>
                <w:i w:val="0"/>
                <w:color w:val="212121"/>
                <w:sz w:val="16"/>
              </w:rPr>
              <w:t>Pelvic-floor tenderness, spasm, trigger points</w:t>
            </w:r>
          </w:p>
        </w:tc>
        <w:tc>
          <w:tcPr>
            <w:tcW w:type="dxa" w:w="1036"/>
            <w:vAlign w:val="top"/>
          </w:tcPr>
          <w:p>
            <w:pPr>
              <w:spacing w:after="40" w:before="0" w:line="259" w:lineRule="auto"/>
            </w:pPr>
            <w:r>
              <w:rPr>
                <w:rFonts w:ascii="Calibri" w:hAnsi="Calibri"/>
                <w:b w:val="0"/>
                <w:i w:val="0"/>
                <w:color w:val="212121"/>
                <w:sz w:val="16"/>
              </w:rPr>
              <w:t>Identifies the pelvic-floor/myofascial component central to CP/CPPS management</w:t>
            </w:r>
          </w:p>
        </w:tc>
        <w:tc>
          <w:tcPr>
            <w:tcW w:type="dxa" w:w="1036"/>
            <w:vAlign w:val="top"/>
          </w:tcPr>
          <w:p>
            <w:pPr>
              <w:spacing w:after="40" w:before="0" w:line="259" w:lineRule="auto"/>
            </w:pPr>
            <w:r>
              <w:rPr>
                <w:rFonts w:ascii="Calibri" w:hAnsi="Calibri"/>
                <w:b w:val="0"/>
                <w:i w:val="0"/>
                <w:color w:val="212121"/>
                <w:sz w:val="16"/>
              </w:rPr>
              <w:t>CP/CPPS patients</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Guides pelvic-floor physiotherapy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 suprapubic examination</w:t>
            </w:r>
          </w:p>
        </w:tc>
        <w:tc>
          <w:tcPr>
            <w:tcW w:type="dxa" w:w="979"/>
            <w:vAlign w:val="top"/>
          </w:tcPr>
          <w:p>
            <w:pPr>
              <w:spacing w:after="40" w:before="0" w:line="259" w:lineRule="auto"/>
            </w:pPr>
            <w:r>
              <w:rPr>
                <w:rFonts w:ascii="Calibri" w:hAnsi="Calibri"/>
                <w:b w:val="0"/>
                <w:i w:val="0"/>
                <w:color w:val="212121"/>
                <w:sz w:val="16"/>
              </w:rPr>
              <w:t>Bladder distension, suprapubic tenderness</w:t>
            </w:r>
          </w:p>
        </w:tc>
        <w:tc>
          <w:tcPr>
            <w:tcW w:type="dxa" w:w="950"/>
            <w:vAlign w:val="top"/>
          </w:tcPr>
          <w:p>
            <w:pPr>
              <w:spacing w:after="40" w:before="0" w:line="259" w:lineRule="auto"/>
            </w:pPr>
            <w:r>
              <w:rPr>
                <w:rFonts w:ascii="Calibri" w:hAnsi="Calibri"/>
                <w:b w:val="0"/>
                <w:i w:val="0"/>
                <w:color w:val="212121"/>
                <w:sz w:val="16"/>
              </w:rPr>
              <w:t>Soft, non-tender, no palpable bladder</w:t>
            </w:r>
          </w:p>
        </w:tc>
        <w:tc>
          <w:tcPr>
            <w:tcW w:type="dxa" w:w="950"/>
            <w:vAlign w:val="top"/>
          </w:tcPr>
          <w:p>
            <w:pPr>
              <w:spacing w:after="40" w:before="0" w:line="259" w:lineRule="auto"/>
            </w:pPr>
            <w:r>
              <w:rPr>
                <w:rFonts w:ascii="Calibri" w:hAnsi="Calibri"/>
                <w:b w:val="0"/>
                <w:i w:val="0"/>
                <w:color w:val="212121"/>
                <w:sz w:val="16"/>
              </w:rPr>
              <w:t>Palpable distended bladder, suprapubic tenderness</w:t>
            </w:r>
          </w:p>
        </w:tc>
        <w:tc>
          <w:tcPr>
            <w:tcW w:type="dxa" w:w="1036"/>
            <w:vAlign w:val="top"/>
          </w:tcPr>
          <w:p>
            <w:pPr>
              <w:spacing w:after="40" w:before="0" w:line="259" w:lineRule="auto"/>
            </w:pPr>
            <w:r>
              <w:rPr>
                <w:rFonts w:ascii="Calibri" w:hAnsi="Calibri"/>
                <w:b w:val="0"/>
                <w:i w:val="0"/>
                <w:color w:val="212121"/>
                <w:sz w:val="16"/>
              </w:rPr>
              <w:t>Detects acute urinary retention complicating acute prostatitis</w:t>
            </w:r>
          </w:p>
        </w:tc>
        <w:tc>
          <w:tcPr>
            <w:tcW w:type="dxa" w:w="1036"/>
            <w:vAlign w:val="top"/>
          </w:tcPr>
          <w:p>
            <w:pPr>
              <w:spacing w:after="40" w:before="0" w:line="259" w:lineRule="auto"/>
            </w:pPr>
            <w:r>
              <w:rPr>
                <w:rFonts w:ascii="Calibri" w:hAnsi="Calibri"/>
                <w:b w:val="0"/>
                <w:i w:val="0"/>
                <w:color w:val="212121"/>
                <w:sz w:val="16"/>
              </w:rPr>
              <w:t>Men with severe/obstructive symptoms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Retention may need catheter (often suprapubic in acute prostatitis)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Genital &amp; epididymal examination</w:t>
            </w:r>
          </w:p>
        </w:tc>
        <w:tc>
          <w:tcPr>
            <w:tcW w:type="dxa" w:w="979"/>
            <w:vAlign w:val="top"/>
          </w:tcPr>
          <w:p>
            <w:pPr>
              <w:spacing w:after="40" w:before="0" w:line="259" w:lineRule="auto"/>
            </w:pPr>
            <w:r>
              <w:rPr>
                <w:rFonts w:ascii="Calibri" w:hAnsi="Calibri"/>
                <w:b w:val="0"/>
                <w:i w:val="0"/>
                <w:color w:val="212121"/>
                <w:sz w:val="16"/>
              </w:rPr>
              <w:t>Urethral discharge, epididymal/testicular tenderness</w:t>
            </w:r>
          </w:p>
        </w:tc>
        <w:tc>
          <w:tcPr>
            <w:tcW w:type="dxa" w:w="950"/>
            <w:vAlign w:val="top"/>
          </w:tcPr>
          <w:p>
            <w:pPr>
              <w:spacing w:after="40" w:before="0" w:line="259" w:lineRule="auto"/>
            </w:pPr>
            <w:r>
              <w:rPr>
                <w:rFonts w:ascii="Calibri" w:hAnsi="Calibri"/>
                <w:b w:val="0"/>
                <w:i w:val="0"/>
                <w:color w:val="212121"/>
                <w:sz w:val="16"/>
              </w:rPr>
              <w:t>Normal genitalia, no discharge</w:t>
            </w:r>
          </w:p>
        </w:tc>
        <w:tc>
          <w:tcPr>
            <w:tcW w:type="dxa" w:w="950"/>
            <w:vAlign w:val="top"/>
          </w:tcPr>
          <w:p>
            <w:pPr>
              <w:spacing w:after="40" w:before="0" w:line="259" w:lineRule="auto"/>
            </w:pPr>
            <w:r>
              <w:rPr>
                <w:rFonts w:ascii="Calibri" w:hAnsi="Calibri"/>
                <w:b w:val="0"/>
                <w:i w:val="0"/>
                <w:color w:val="212121"/>
                <w:sz w:val="16"/>
              </w:rPr>
              <w:t>Discharge (urethritis) or tender epididymis (epididymo-orchitis)</w:t>
            </w:r>
          </w:p>
        </w:tc>
        <w:tc>
          <w:tcPr>
            <w:tcW w:type="dxa" w:w="1036"/>
            <w:vAlign w:val="top"/>
          </w:tcPr>
          <w:p>
            <w:pPr>
              <w:spacing w:after="40" w:before="0" w:line="259" w:lineRule="auto"/>
            </w:pPr>
            <w:r>
              <w:rPr>
                <w:rFonts w:ascii="Calibri" w:hAnsi="Calibri"/>
                <w:b w:val="0"/>
                <w:i w:val="0"/>
                <w:color w:val="212121"/>
                <w:sz w:val="16"/>
              </w:rPr>
              <w:t>Detects associated infections and complications and excludes mimics</w:t>
            </w:r>
          </w:p>
        </w:tc>
        <w:tc>
          <w:tcPr>
            <w:tcW w:type="dxa" w:w="1036"/>
            <w:vAlign w:val="top"/>
          </w:tcPr>
          <w:p>
            <w:pPr>
              <w:spacing w:after="40" w:before="0" w:line="259" w:lineRule="auto"/>
            </w:pPr>
            <w:r>
              <w:rPr>
                <w:rFonts w:ascii="Calibri" w:hAnsi="Calibri"/>
                <w:b w:val="0"/>
                <w:i w:val="0"/>
                <w:color w:val="212121"/>
                <w:sz w:val="16"/>
              </w:rPr>
              <w:t>Sexually active men, febrile 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Medium</w:t>
            </w:r>
          </w:p>
        </w:tc>
        <w:tc>
          <w:tcPr>
            <w:tcW w:type="dxa" w:w="720"/>
            <w:vAlign w:val="top"/>
          </w:tcPr>
          <w:p>
            <w:pPr>
              <w:spacing w:after="40" w:before="0" w:line="259" w:lineRule="auto"/>
            </w:pPr>
            <w:r>
              <w:rPr>
                <w:rFonts w:ascii="Calibri" w:hAnsi="Calibri"/>
                <w:b w:val="0"/>
                <w:i w:val="0"/>
                <w:color w:val="212121"/>
                <w:sz w:val="16"/>
              </w:rPr>
              <w:t>Complements STI screen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Perineal / pelvic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pressure in the perineum, suprapubic area or between scrotum and anus — the hallmark of CP/CPPS.</w:t>
            </w:r>
          </w:p>
        </w:tc>
      </w:tr>
      <w:tr>
        <w:trPr>
          <w:cantSplit/>
        </w:trPr>
        <w:tc>
          <w:tcPr>
            <w:tcW w:type="dxa" w:w="2304"/>
            <w:vAlign w:val="top"/>
          </w:tcPr>
          <w:p>
            <w:pPr>
              <w:spacing w:after="40" w:before="0" w:line="259" w:lineRule="auto"/>
            </w:pPr>
            <w:r>
              <w:rPr>
                <w:rFonts w:ascii="Calibri" w:hAnsi="Calibri"/>
                <w:b/>
                <w:i w:val="0"/>
                <w:color w:val="212121"/>
                <w:sz w:val="19"/>
              </w:rPr>
              <w:t>Dysuria (painful/burning urination)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Burning or stinging on voiding from prostatic and urethral inflammation.</w:t>
            </w:r>
          </w:p>
        </w:tc>
      </w:tr>
      <w:tr>
        <w:trPr>
          <w:cantSplit/>
        </w:trPr>
        <w:tc>
          <w:tcPr>
            <w:tcW w:type="dxa" w:w="2304"/>
            <w:vAlign w:val="top"/>
          </w:tcPr>
          <w:p>
            <w:pPr>
              <w:spacing w:after="40" w:before="0" w:line="259" w:lineRule="auto"/>
            </w:pPr>
            <w:r>
              <w:rPr>
                <w:rFonts w:ascii="Calibri" w:hAnsi="Calibri"/>
                <w:b/>
                <w:i w:val="0"/>
                <w:color w:val="212121"/>
                <w:sz w:val="19"/>
              </w:rPr>
              <w:t>Urinary frequency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Passing urine more often than usual, an irritative lower-urinary-tract symptom.</w:t>
            </w:r>
          </w:p>
        </w:tc>
      </w:tr>
      <w:tr>
        <w:trPr>
          <w:cantSplit/>
        </w:trPr>
        <w:tc>
          <w:tcPr>
            <w:tcW w:type="dxa" w:w="2304"/>
            <w:vAlign w:val="top"/>
          </w:tcPr>
          <w:p>
            <w:pPr>
              <w:spacing w:after="40" w:before="0" w:line="259" w:lineRule="auto"/>
            </w:pPr>
            <w:r>
              <w:rPr>
                <w:rFonts w:ascii="Calibri" w:hAnsi="Calibri"/>
                <w:b/>
                <w:i w:val="0"/>
                <w:color w:val="212121"/>
                <w:sz w:val="19"/>
              </w:rPr>
              <w:t>Urinary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hard-to-defer need to void due to bladder/prostate irritation.</w:t>
            </w:r>
          </w:p>
        </w:tc>
      </w:tr>
      <w:tr>
        <w:trPr>
          <w:cantSplit/>
        </w:trPr>
        <w:tc>
          <w:tcPr>
            <w:tcW w:type="dxa" w:w="2304"/>
            <w:vAlign w:val="top"/>
          </w:tcPr>
          <w:p>
            <w:pPr>
              <w:spacing w:after="40" w:before="0" w:line="259" w:lineRule="auto"/>
            </w:pPr>
            <w:r>
              <w:rPr>
                <w:rFonts w:ascii="Calibri" w:hAnsi="Calibri"/>
                <w:b/>
                <w:i w:val="0"/>
                <w:color w:val="212121"/>
                <w:sz w:val="19"/>
              </w:rPr>
              <w:t>Nocturia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Waking at night to pass urine, fragmenting sleep.</w:t>
            </w:r>
          </w:p>
        </w:tc>
      </w:tr>
      <w:tr>
        <w:trPr>
          <w:cantSplit/>
        </w:trPr>
        <w:tc>
          <w:tcPr>
            <w:tcW w:type="dxa" w:w="2304"/>
            <w:vAlign w:val="top"/>
          </w:tcPr>
          <w:p>
            <w:pPr>
              <w:spacing w:after="40" w:before="0" w:line="259" w:lineRule="auto"/>
            </w:pPr>
            <w:r>
              <w:rPr>
                <w:rFonts w:ascii="Calibri" w:hAnsi="Calibri"/>
                <w:b/>
                <w:i w:val="0"/>
                <w:color w:val="212121"/>
                <w:sz w:val="19"/>
              </w:rPr>
              <w:t>Weak or hesitant urinary stream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flow, hesitancy or incomplete emptying from prostatic swelling/dysfunctional voiding.</w:t>
            </w:r>
          </w:p>
        </w:tc>
      </w:tr>
      <w:tr>
        <w:trPr>
          <w:cantSplit/>
        </w:trPr>
        <w:tc>
          <w:tcPr>
            <w:tcW w:type="dxa" w:w="2304"/>
            <w:vAlign w:val="top"/>
          </w:tcPr>
          <w:p>
            <w:pPr>
              <w:spacing w:after="40" w:before="0" w:line="259" w:lineRule="auto"/>
            </w:pPr>
            <w:r>
              <w:rPr>
                <w:rFonts w:ascii="Calibri" w:hAnsi="Calibri"/>
                <w:b/>
                <w:i w:val="0"/>
                <w:color w:val="212121"/>
                <w:sz w:val="19"/>
              </w:rPr>
              <w:t>Painful ejaculation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during or after ejaculation — a characteristic and distressing feature of chronic prostatitis.</w:t>
            </w:r>
          </w:p>
        </w:tc>
      </w:tr>
      <w:tr>
        <w:trPr>
          <w:cantSplit/>
        </w:trPr>
        <w:tc>
          <w:tcPr>
            <w:tcW w:type="dxa" w:w="2304"/>
            <w:vAlign w:val="top"/>
          </w:tcPr>
          <w:p>
            <w:pPr>
              <w:spacing w:after="40" w:before="0" w:line="259" w:lineRule="auto"/>
            </w:pPr>
            <w:r>
              <w:rPr>
                <w:rFonts w:ascii="Calibri" w:hAnsi="Calibri"/>
                <w:b/>
                <w:i w:val="0"/>
                <w:color w:val="212121"/>
                <w:sz w:val="19"/>
              </w:rPr>
              <w:t>Low back, penile or testicular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Referred pain to the lower back, penile tip, testes or groin.</w:t>
            </w:r>
          </w:p>
        </w:tc>
      </w:tr>
      <w:tr>
        <w:trPr>
          <w:cantSplit/>
        </w:trPr>
        <w:tc>
          <w:tcPr>
            <w:tcW w:type="dxa" w:w="2304"/>
            <w:vAlign w:val="top"/>
          </w:tcPr>
          <w:p>
            <w:pPr>
              <w:spacing w:after="40" w:before="0" w:line="259" w:lineRule="auto"/>
            </w:pPr>
            <w:r>
              <w:rPr>
                <w:rFonts w:ascii="Calibri" w:hAnsi="Calibri"/>
                <w:b/>
                <w:i w:val="0"/>
                <w:color w:val="212121"/>
                <w:sz w:val="19"/>
              </w:rPr>
              <w:t>Erectile dysfunction / reduced libido</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Sexual dysfunction is frequent in CP/CPPS — pooled prevalence of any sexual dysfunction ~62% and erectile dysfunction ~29%.</w:t>
            </w:r>
          </w:p>
        </w:tc>
      </w:tr>
      <w:tr>
        <w:trPr>
          <w:cantSplit/>
        </w:trPr>
        <w:tc>
          <w:tcPr>
            <w:tcW w:type="dxa" w:w="2304"/>
            <w:vAlign w:val="top"/>
          </w:tcPr>
          <w:p>
            <w:pPr>
              <w:spacing w:after="40" w:before="0" w:line="259" w:lineRule="auto"/>
            </w:pPr>
            <w:r>
              <w:rPr>
                <w:rFonts w:ascii="Calibri" w:hAnsi="Calibri"/>
                <w:b/>
                <w:i w:val="0"/>
                <w:color w:val="212121"/>
                <w:sz w:val="19"/>
              </w:rPr>
              <w:t>Fever, chills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features of acute bacterial prostatitis (category I); a medical urgency.</w:t>
            </w:r>
          </w:p>
        </w:tc>
      </w:tr>
      <w:tr>
        <w:trPr>
          <w:cantSplit/>
        </w:trPr>
        <w:tc>
          <w:tcPr>
            <w:tcW w:type="dxa" w:w="2304"/>
            <w:vAlign w:val="top"/>
          </w:tcPr>
          <w:p>
            <w:pPr>
              <w:spacing w:after="40" w:before="0" w:line="259" w:lineRule="auto"/>
            </w:pPr>
            <w:r>
              <w:rPr>
                <w:rFonts w:ascii="Calibri" w:hAnsi="Calibri"/>
                <w:b/>
                <w:i w:val="0"/>
                <w:color w:val="212121"/>
                <w:sz w:val="19"/>
              </w:rPr>
              <w:t>Haematospermia (blood in semen)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Blood-stained ejaculate from prostatic inflammation; usually benign but alarming to patients.</w:t>
            </w:r>
          </w:p>
        </w:tc>
      </w:tr>
      <w:tr>
        <w:trPr>
          <w:cantSplit/>
        </w:trPr>
        <w:tc>
          <w:tcPr>
            <w:tcW w:type="dxa" w:w="2304"/>
            <w:vAlign w:val="top"/>
          </w:tcPr>
          <w:p>
            <w:pPr>
              <w:spacing w:after="40" w:before="0" w:line="259" w:lineRule="auto"/>
            </w:pPr>
            <w:r>
              <w:rPr>
                <w:rFonts w:ascii="Calibri" w:hAnsi="Calibri"/>
                <w:b/>
                <w:i w:val="0"/>
                <w:color w:val="212121"/>
                <w:sz w:val="19"/>
              </w:rPr>
              <w:t>Acute urinary retention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Sudden inability to pass urine from acute prostatic swelling — needs urgent (often suprapubic) drainage.</w:t>
            </w:r>
          </w:p>
        </w:tc>
      </w:tr>
      <w:tr>
        <w:trPr>
          <w:cantSplit/>
        </w:trPr>
        <w:tc>
          <w:tcPr>
            <w:tcW w:type="dxa" w:w="2304"/>
            <w:vAlign w:val="top"/>
          </w:tcPr>
          <w:p>
            <w:pPr>
              <w:spacing w:after="40" w:before="0" w:line="259" w:lineRule="auto"/>
            </w:pPr>
            <w:r>
              <w:rPr>
                <w:rFonts w:ascii="Calibri" w:hAnsi="Calibri"/>
                <w:b/>
                <w:i w:val="0"/>
                <w:color w:val="212121"/>
                <w:sz w:val="19"/>
              </w:rPr>
              <w:t>Haematuria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Visible or microscopic blood in urine; warrants exclusion of other pathology.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Tender, warm, boggy, enlarged prostate on DRE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finding of acute bacterial prostatitis; vigorous massage must be avoided (sepsis risk).</w:t>
            </w:r>
          </w:p>
        </w:tc>
      </w:tr>
      <w:tr>
        <w:trPr>
          <w:cantSplit/>
        </w:trPr>
        <w:tc>
          <w:tcPr>
            <w:tcW w:type="dxa" w:w="3456"/>
            <w:vAlign w:val="top"/>
          </w:tcPr>
          <w:p>
            <w:pPr>
              <w:spacing w:after="40" w:before="0" w:line="259" w:lineRule="auto"/>
            </w:pPr>
            <w:r>
              <w:rPr>
                <w:rFonts w:ascii="Calibri" w:hAnsi="Calibri"/>
                <w:b/>
                <w:i w:val="0"/>
                <w:color w:val="212121"/>
                <w:sz w:val="19"/>
              </w:rPr>
              <w:t>Normal prostate with tender pelvic floor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CP/CPPS the gland is often normal while pelvic-floor muscles are tender with trigger points.</w:t>
            </w:r>
          </w:p>
        </w:tc>
      </w:tr>
      <w:tr>
        <w:trPr>
          <w:cantSplit/>
        </w:trPr>
        <w:tc>
          <w:tcPr>
            <w:tcW w:type="dxa" w:w="3456"/>
            <w:vAlign w:val="top"/>
          </w:tcPr>
          <w:p>
            <w:pPr>
              <w:spacing w:after="40" w:before="0" w:line="259" w:lineRule="auto"/>
            </w:pPr>
            <w:r>
              <w:rPr>
                <w:rFonts w:ascii="Calibri" w:hAnsi="Calibri"/>
                <w:b/>
                <w:i w:val="0"/>
                <w:color w:val="212121"/>
                <w:sz w:val="19"/>
              </w:rPr>
              <w:t>Fever and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signs of acute bacterial prostatitis / early sepsis.</w:t>
            </w:r>
          </w:p>
        </w:tc>
      </w:tr>
      <w:tr>
        <w:trPr>
          <w:cantSplit/>
        </w:trPr>
        <w:tc>
          <w:tcPr>
            <w:tcW w:type="dxa" w:w="3456"/>
            <w:vAlign w:val="top"/>
          </w:tcPr>
          <w:p>
            <w:pPr>
              <w:spacing w:after="40" w:before="0" w:line="259" w:lineRule="auto"/>
            </w:pPr>
            <w:r>
              <w:rPr>
                <w:rFonts w:ascii="Calibri" w:hAnsi="Calibri"/>
                <w:b/>
                <w:i w:val="0"/>
                <w:color w:val="212121"/>
                <w:sz w:val="19"/>
              </w:rPr>
              <w:t>Suprapubic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Bladder/lower-urinary-tract irritation or early retention.</w:t>
            </w:r>
          </w:p>
        </w:tc>
      </w:tr>
      <w:tr>
        <w:trPr>
          <w:cantSplit/>
        </w:trPr>
        <w:tc>
          <w:tcPr>
            <w:tcW w:type="dxa" w:w="3456"/>
            <w:vAlign w:val="top"/>
          </w:tcPr>
          <w:p>
            <w:pPr>
              <w:spacing w:after="40" w:before="0" w:line="259" w:lineRule="auto"/>
            </w:pPr>
            <w:r>
              <w:rPr>
                <w:rFonts w:ascii="Calibri" w:hAnsi="Calibri"/>
                <w:b/>
                <w:i w:val="0"/>
                <w:color w:val="212121"/>
                <w:sz w:val="19"/>
              </w:rPr>
              <w:t>Leukocytes in expressed prostatic secretion / post-massage urine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sign of prostatic inflammation localising disease to the prostate (categories II and IIIA).</w:t>
            </w:r>
          </w:p>
        </w:tc>
      </w:tr>
      <w:tr>
        <w:trPr>
          <w:cantSplit/>
        </w:trPr>
        <w:tc>
          <w:tcPr>
            <w:tcW w:type="dxa" w:w="3456"/>
            <w:vAlign w:val="top"/>
          </w:tcPr>
          <w:p>
            <w:pPr>
              <w:spacing w:after="40" w:before="0" w:line="259" w:lineRule="auto"/>
            </w:pPr>
            <w:r>
              <w:rPr>
                <w:rFonts w:ascii="Calibri" w:hAnsi="Calibri"/>
                <w:b/>
                <w:i w:val="0"/>
                <w:color w:val="212121"/>
                <w:sz w:val="19"/>
              </w:rPr>
              <w:t>Urethral discharge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coexisting urethritis / sexually transmitted infection as the source.</w:t>
            </w:r>
          </w:p>
        </w:tc>
      </w:tr>
      <w:tr>
        <w:trPr>
          <w:cantSplit/>
        </w:trPr>
        <w:tc>
          <w:tcPr>
            <w:tcW w:type="dxa" w:w="3456"/>
            <w:vAlign w:val="top"/>
          </w:tcPr>
          <w:p>
            <w:pPr>
              <w:spacing w:after="40" w:before="0" w:line="259" w:lineRule="auto"/>
            </w:pPr>
            <w:r>
              <w:rPr>
                <w:rFonts w:ascii="Calibri" w:hAnsi="Calibri"/>
                <w:b/>
                <w:i w:val="0"/>
                <w:color w:val="212121"/>
                <w:sz w:val="19"/>
              </w:rPr>
              <w:t>Transiently elevated serum PSA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Inflammation raises PSA; recheck after treatment to avoid unnecessary cancer work-up.</w:t>
            </w:r>
          </w:p>
        </w:tc>
      </w:tr>
      <w:tr>
        <w:trPr>
          <w:cantSplit/>
        </w:trPr>
        <w:tc>
          <w:tcPr>
            <w:tcW w:type="dxa" w:w="3456"/>
            <w:vAlign w:val="top"/>
          </w:tcPr>
          <w:p>
            <w:pPr>
              <w:spacing w:after="40" w:before="0" w:line="259" w:lineRule="auto"/>
            </w:pPr>
            <w:r>
              <w:rPr>
                <w:rFonts w:ascii="Calibri" w:hAnsi="Calibri"/>
                <w:b/>
                <w:i w:val="0"/>
                <w:color w:val="212121"/>
                <w:sz w:val="19"/>
              </w:rPr>
              <w:t>Palpably distended bladder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acute urinary retention complicating acute prostatitis.</w:t>
            </w:r>
          </w:p>
        </w:tc>
      </w:tr>
      <w:tr>
        <w:trPr>
          <w:cantSplit/>
        </w:trPr>
        <w:tc>
          <w:tcPr>
            <w:tcW w:type="dxa" w:w="3456"/>
            <w:vAlign w:val="top"/>
          </w:tcPr>
          <w:p>
            <w:pPr>
              <w:spacing w:after="40" w:before="0" w:line="259" w:lineRule="auto"/>
            </w:pPr>
            <w:r>
              <w:rPr>
                <w:rFonts w:ascii="Calibri" w:hAnsi="Calibri"/>
                <w:b/>
                <w:i w:val="0"/>
                <w:color w:val="212121"/>
                <w:sz w:val="19"/>
              </w:rPr>
              <w:t>Tender, swollen epididymis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epididymo-orchitis from contiguous/ascending infection.</w:t>
            </w:r>
          </w:p>
        </w:tc>
      </w:tr>
      <w:tr>
        <w:trPr>
          <w:cantSplit/>
        </w:trPr>
        <w:tc>
          <w:tcPr>
            <w:tcW w:type="dxa" w:w="3456"/>
            <w:vAlign w:val="top"/>
          </w:tcPr>
          <w:p>
            <w:pPr>
              <w:spacing w:after="40" w:before="0" w:line="259" w:lineRule="auto"/>
            </w:pPr>
            <w:r>
              <w:rPr>
                <w:rFonts w:ascii="Calibri" w:hAnsi="Calibri"/>
                <w:b/>
                <w:i w:val="0"/>
                <w:color w:val="212121"/>
                <w:sz w:val="19"/>
              </w:rPr>
              <w:t>Fluctuant prostate / non-response to antibiotics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prostatic abscess; confirm with transrectal ultrasound or MRI and consider drainage.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urinary retention from prostatic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Prostatic abscess (especially in diabetics/immunocompromised)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urosepsis from acute bacterial prostatitis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disabling acute perineal/pelvic pain</w:t>
            </w:r>
          </w:p>
        </w:tc>
        <w:tc>
          <w:tcPr>
            <w:tcW w:type="dxa" w:w="2980"/>
            <w:vAlign w:val="top"/>
          </w:tcPr>
          <w:p>
            <w:pPr>
              <w:spacing w:after="40" w:before="0" w:line="259" w:lineRule="auto"/>
            </w:pPr>
            <w:r>
              <w:rPr>
                <w:rFonts w:ascii="Calibri" w:hAnsi="Calibri"/>
                <w:b w:val="0"/>
                <w:i w:val="0"/>
                <w:color w:val="212121"/>
                <w:sz w:val="19"/>
              </w:rPr>
              <w:t>Direct acute consequences of prostatic infection and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chronic bacterial prostatitis with relapsing urinary 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Epididymo-orchitis and recurrent UTIs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 erectile dysfunction, premature ejaculation and painful ejaculation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Haematospermia and leukocytospermia with impaired semen quality /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chronic pelvic pain (CP/CPPS) with sleep disturbance and fatigue</w:t>
            </w:r>
          </w:p>
        </w:tc>
        <w:tc>
          <w:tcPr>
            <w:tcW w:type="dxa" w:w="2980"/>
            <w:vAlign w:val="top"/>
          </w:tcPr>
          <w:p>
            <w:pPr>
              <w:spacing w:after="40" w:before="0" w:line="259" w:lineRule="auto"/>
            </w:pPr>
            <w:r>
              <w:rPr>
                <w:rFonts w:ascii="Calibri" w:hAnsi="Calibri"/>
                <w:b w:val="0"/>
                <w:i w:val="0"/>
                <w:color w:val="212121"/>
                <w:sz w:val="19"/>
              </w:rPr>
              <w:t>Result from persistent or recurrent infection/inflammation and its spread and functional impact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refractory pelvic pain syndrome with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markedly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Lost productivity, sexual-relationship and psychosocial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chronic sequelae — prostatic calcification, fistula or chronic sepsis in neglected disease</w:t>
            </w:r>
          </w:p>
        </w:tc>
        <w:tc>
          <w:tcPr>
            <w:tcW w:type="dxa" w:w="2980"/>
            <w:vAlign w:val="top"/>
          </w:tcPr>
          <w:p>
            <w:pPr>
              <w:spacing w:after="40" w:before="0" w:line="259" w:lineRule="auto"/>
            </w:pPr>
            <w:r>
              <w:rPr>
                <w:rFonts w:ascii="Calibri" w:hAnsi="Calibri"/>
                <w:b w:val="0"/>
                <w:i w:val="0"/>
                <w:color w:val="212121"/>
                <w:sz w:val="19"/>
              </w:rPr>
              <w:t>Irreversible, disabling and psychosocial outcomes of longstanding or refractory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(BPH)</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Outlet obstruction, high-pressure voiding and incomplete emptying promote intraprostatic reflux and infection; BPH and prostatitis coexist and share overlapping lower-urinary-tract symptoms.</w:t>
            </w:r>
          </w:p>
        </w:tc>
      </w:tr>
      <w:tr>
        <w:trPr>
          <w:cantSplit/>
        </w:trPr>
        <w:tc>
          <w:tcPr>
            <w:tcW w:type="dxa" w:w="2232"/>
            <w:vAlign w:val="top"/>
          </w:tcPr>
          <w:p>
            <w:pPr>
              <w:spacing w:after="40" w:before="0" w:line="259" w:lineRule="auto"/>
            </w:pPr>
            <w:r>
              <w:rPr>
                <w:rFonts w:ascii="Calibri" w:hAnsi="Calibri"/>
                <w:b/>
                <w:i w:val="0"/>
                <w:color w:val="212121"/>
                <w:sz w:val="19"/>
              </w:rPr>
              <w:t>Sexual dysfunction (erectile dysfunction, premature &amp; painful ejaculation)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in CP/CPPS through pain, pelvic-floor dysfunction and psychological distress; treating one influences the other.</w:t>
            </w:r>
          </w:p>
          <w:p>
            <w:pPr>
              <w:spacing w:after="40" w:before="0" w:line="259" w:lineRule="auto"/>
            </w:pPr>
            <w:r>
              <w:rPr>
                <w:rFonts w:ascii="Calibri" w:hAnsi="Calibri"/>
                <w:b/>
                <w:i w:val="0"/>
                <w:color w:val="212121"/>
                <w:sz w:val="19"/>
              </w:rPr>
              <w:t>~62% any SD; ED ~29%; PE ~40%</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Strongly and bidirectionally linked to CP/CPPS via the brain–pelvis axis; psychiatric comorbidity correlates with symptom severity and is a core treatment target.</w:t>
            </w:r>
          </w:p>
        </w:tc>
      </w:tr>
      <w:tr>
        <w:trPr>
          <w:cantSplit/>
        </w:trPr>
        <w:tc>
          <w:tcPr>
            <w:tcW w:type="dxa" w:w="2232"/>
            <w:vAlign w:val="top"/>
          </w:tcPr>
          <w:p>
            <w:pPr>
              <w:spacing w:after="40" w:before="0" w:line="259" w:lineRule="auto"/>
            </w:pPr>
            <w:r>
              <w:rPr>
                <w:rFonts w:ascii="Calibri" w:hAnsi="Calibri"/>
                <w:b/>
                <w:i w:val="0"/>
                <w:color w:val="212121"/>
                <w:sz w:val="19"/>
              </w:rPr>
              <w:t>Recurrent urinary tract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bacterial prostatitis acts as a protected bacterial reservoir causing relapsing same-organism UTIs; active UTI must be treated and excluded when diagnosing CP/CPPS.</w:t>
            </w:r>
          </w:p>
        </w:tc>
      </w:tr>
      <w:tr>
        <w:trPr>
          <w:cantSplit/>
        </w:trPr>
        <w:tc>
          <w:tcPr>
            <w:tcW w:type="dxa" w:w="2232"/>
            <w:vAlign w:val="top"/>
          </w:tcPr>
          <w:p>
            <w:pPr>
              <w:spacing w:after="40" w:before="0" w:line="259" w:lineRule="auto"/>
            </w:pPr>
            <w:r>
              <w:rPr>
                <w:rFonts w:ascii="Calibri" w:hAnsi="Calibri"/>
                <w:b/>
                <w:i w:val="0"/>
                <w:color w:val="212121"/>
                <w:sz w:val="19"/>
              </w:rPr>
              <w:t>Epididymo-orchitis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Contiguous or ascending prostatic infection can spread to the epididymis and testis, producing acute scrotal pain and swelling.</w:t>
            </w:r>
          </w:p>
        </w:tc>
      </w:tr>
      <w:tr>
        <w:trPr>
          <w:cantSplit/>
        </w:trPr>
        <w:tc>
          <w:tcPr>
            <w:tcW w:type="dxa" w:w="2232"/>
            <w:vAlign w:val="top"/>
          </w:tcPr>
          <w:p>
            <w:pPr>
              <w:spacing w:after="40" w:before="0" w:line="259" w:lineRule="auto"/>
            </w:pPr>
            <w:r>
              <w:rPr>
                <w:rFonts w:ascii="Calibri" w:hAnsi="Calibri"/>
                <w:b/>
                <w:i w:val="0"/>
                <w:color w:val="212121"/>
                <w:sz w:val="19"/>
              </w:rPr>
              <w:t>Prostatic abscess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collection that forms when acute bacterial prostatitis fails to respond to antibiotics, especially in diabetics/immunocompromised; needs imaging and often drainage.</w:t>
            </w:r>
          </w:p>
        </w:tc>
      </w:tr>
      <w:tr>
        <w:trPr>
          <w:cantSplit/>
        </w:trPr>
        <w:tc>
          <w:tcPr>
            <w:tcW w:type="dxa" w:w="2232"/>
            <w:vAlign w:val="top"/>
          </w:tcPr>
          <w:p>
            <w:pPr>
              <w:spacing w:after="40" w:before="0" w:line="259" w:lineRule="auto"/>
            </w:pPr>
            <w:r>
              <w:rPr>
                <w:rFonts w:ascii="Calibri" w:hAnsi="Calibri"/>
                <w:b/>
                <w:i w:val="0"/>
                <w:color w:val="212121"/>
                <w:sz w:val="19"/>
              </w:rPr>
              <w:t>Urosepsis / bacteraemia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Acute bacterial prostatitis can seed the bloodstream, and prostatic massage in the acute phase can precipitate sepsis; a medical emergency.</w:t>
            </w:r>
          </w:p>
        </w:tc>
      </w:tr>
      <w:tr>
        <w:trPr>
          <w:cantSplit/>
        </w:trPr>
        <w:tc>
          <w:tcPr>
            <w:tcW w:type="dxa" w:w="2232"/>
            <w:vAlign w:val="top"/>
          </w:tcPr>
          <w:p>
            <w:pPr>
              <w:spacing w:after="40" w:before="0" w:line="259" w:lineRule="auto"/>
            </w:pPr>
            <w:r>
              <w:rPr>
                <w:rFonts w:ascii="Calibri" w:hAnsi="Calibri"/>
                <w:b/>
                <w:i w:val="0"/>
                <w:color w:val="212121"/>
                <w:sz w:val="19"/>
              </w:rPr>
              <w:t>Male infertility / leukocytospermia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Inflammatory and asymptomatic (IIIA / category IV) prostatitis raises seminal leukocytes and reactive oxygen species, impairing sperm quality.</w:t>
            </w:r>
          </w:p>
        </w:tc>
      </w:tr>
      <w:tr>
        <w:trPr>
          <w:cantSplit/>
        </w:trPr>
        <w:tc>
          <w:tcPr>
            <w:tcW w:type="dxa" w:w="2232"/>
            <w:vAlign w:val="top"/>
          </w:tcPr>
          <w:p>
            <w:pPr>
              <w:spacing w:after="40" w:before="0" w:line="259" w:lineRule="auto"/>
            </w:pPr>
            <w:r>
              <w:rPr>
                <w:rFonts w:ascii="Calibri" w:hAnsi="Calibri"/>
                <w:b/>
                <w:i w:val="0"/>
                <w:color w:val="212121"/>
                <w:sz w:val="19"/>
              </w:rPr>
              <w:t>Elevated PSA / prostate-cancer differential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Prostatic inflammation transiently raises PSA and must be distinguished from malignancy; repeat PSA after treatment to avoid unnecessary biopsy.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bladder emptying and microcirculation increase the risk and severity of bacterial prostatitis and prostatic abscess; glycaemic control affects outcome.</w:t>
            </w:r>
          </w:p>
        </w:tc>
      </w:tr>
      <w:tr>
        <w:trPr>
          <w:cantSplit/>
        </w:trPr>
        <w:tc>
          <w:tcPr>
            <w:tcW w:type="dxa" w:w="2232"/>
            <w:vAlign w:val="top"/>
          </w:tcPr>
          <w:p>
            <w:pPr>
              <w:spacing w:after="40" w:before="0" w:line="259" w:lineRule="auto"/>
            </w:pPr>
            <w:r>
              <w:rPr>
                <w:rFonts w:ascii="Calibri" w:hAnsi="Calibri"/>
                <w:b/>
                <w:i w:val="0"/>
                <w:color w:val="212121"/>
                <w:sz w:val="19"/>
              </w:rPr>
              <w:t>Irritable bowel syndrome / chronic fatigue (functional pain syndromes)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CP/CPPS clusters with other central-sensitisation disorders, reflecting shared pain-processing and neuro-immune mechanisms.</w:t>
            </w:r>
          </w:p>
        </w:tc>
      </w:tr>
      <w:tr>
        <w:trPr>
          <w:cantSplit/>
        </w:trPr>
        <w:tc>
          <w:tcPr>
            <w:tcW w:type="dxa" w:w="2232"/>
            <w:vAlign w:val="top"/>
          </w:tcPr>
          <w:p>
            <w:pPr>
              <w:spacing w:after="40" w:before="0" w:line="259" w:lineRule="auto"/>
            </w:pPr>
            <w:r>
              <w:rPr>
                <w:rFonts w:ascii="Calibri" w:hAnsi="Calibri"/>
                <w:b/>
                <w:i w:val="0"/>
                <w:color w:val="212121"/>
                <w:sz w:val="19"/>
              </w:rPr>
              <w:t>Periodontitis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 Indian study of chronic-prostatitis patients reported an association with periodontitis, consistent with a shared chronic-inflammatory burden.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prostatitis is chronic pelvic pain syndrome (CP/CPPS), not cancer and not always an infection — it is common, non-contagious and treatable, so seek care early instead of enduring symptoms in silence.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of the acute bacterial form (high fever, chills, severe perineal pain, inability to pass urine) as a medical emergency needing urgent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difference between the four NIH categories, as bacterial forms need antibiotics whereas CP/CPPS needs multimodal (pain, pelvic-floor and psychological)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triggers — prolonged sitting and driving, cycling, spicy food, excess caffeine and alcohol, dehydration and cold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genito-urinary and sexual hygiene, practise safe sex, and ensure aseptic technique for any catheter or urological procedure to prevent bacterial prostatitis.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prescribed antibiotics for bacterial prostatitis to prevent relapse and progression to chronic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for CP/CPPS: symptoms often fluctuate and respond best to a combined, phenotype-directed approach over 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Young/working-age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recurrent UTI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Catheterised or instrumented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pelvic-floor physiotherapy with relaxation/'down-training', biofeedback and myofascial trigger-point release — a cornerstone of CP/CPPS management.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aerobic activity (brisk walking, swimming) to improve pelvic circulation, reduce pain and lift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and driving with frequent standing/movement breaks, and use a cushion or split-nose saddle to offload the perineum.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modify prolonged cycling and other high perineal-pressure activities during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stretching and core/hip mobility work to relieve pelvic-floor and myofascial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as obesity worsens pain and sexual dysfunction.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CP/CPPS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desk workers and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personal dietary triggers — commonly spicy/chilli-heavy foods, very acidic foods, caffeine and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anti-inflammatory diet rich in vegetables, fruit, whole grains/millets, pulses and healthy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(about 2–2.5 L/day) to dilute urine and encourage regular voiding, tapering fluids before bed to limit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(coffee, tea, cola) and carbonated/artificially sweetened drinks that irritate the bladder and prostate.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fibre and treat constipation, which raises pelvic pressure and can aggravate pelvic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CP/CPPS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High-chilli/high-caffeine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irritative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pain adequately in the evening and taper fluids/caffeine before bed to reduce nocturia and pain-related waking.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 schedule and a calming pre-sleep routine to break the pain–poor-sleep–worse-pain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warm baths (sitz baths) before bed to relax the pelvic floor and ease perineal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just before sleep as part of a fixed bedtime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anxiety/depression that fragment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nocturia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anxiety/depression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impairs pelvic microcirculation and worsens pain and sexual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quitting also lowers cardiovascular and bladder-cancer risk relevant to men's urological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severe pelvic pain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its diuretic and irritant effects worsen urgency, frequency and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which acutely aggravates voiding symptoms and can precipitate acute urinary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in the evening to reduce nocturia.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irritative urinary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retention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anxiety, depression and stress, which are strongly and bidirectionally linked to CP/CPPS and worsen symptom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and pain-coping/catastrophising-reduction strategies as part of multimodal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stress-reduction techniques — mindfulness, paced breathing and relaxation — which also relax the pelvic floor.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destigmatise the condition, especially the sexual symptoms, to improve adherence and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partners and consider counselling for sexual dysfunction and relationship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psychiatric support when depression or anxiety is significant.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CP/CPPS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anxiety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Distressed or socially withdrawn men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clevelandclinic.org/health/diseases/15319-prostatitis" TargetMode="External"/><Relationship Id="rId10" Type="http://schemas.openxmlformats.org/officeDocument/2006/relationships/hyperlink" Target="https://pubmed.ncbi.nlm.nih.gov/16409145/" TargetMode="External"/><Relationship Id="rId11" Type="http://schemas.openxmlformats.org/officeDocument/2006/relationships/hyperlink" Target="https://en.wikipedia.org/wiki/Chronic_prostatitis/chronic_pelvic_pain_syndrome" TargetMode="External"/><Relationship Id="rId12" Type="http://schemas.openxmlformats.org/officeDocument/2006/relationships/hyperlink" Target="https://en.wikipedia.org/wiki/Acute_prostatitis" TargetMode="External"/><Relationship Id="rId13" Type="http://schemas.openxmlformats.org/officeDocument/2006/relationships/hyperlink" Target="https://pubmed.ncbi.nlm.nih.gov/27891339/" TargetMode="External"/><Relationship Id="rId14" Type="http://schemas.openxmlformats.org/officeDocument/2006/relationships/hyperlink" Target="https://doi.org/10.1001/jama.282.3.236" TargetMode="External"/><Relationship Id="rId15" Type="http://schemas.openxmlformats.org/officeDocument/2006/relationships/hyperlink" Target="https://pubmed.ncbi.nlm.nih.gov/25300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