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Erectile Dysfunction</w:t>
      </w:r>
    </w:p>
    <w:p>
      <w:pPr>
        <w:spacing w:before="0" w:after="160"/>
      </w:pPr>
      <w:r>
        <w:rPr>
          <w:rFonts w:ascii="Calibri" w:hAnsi="Calibri"/>
          <w:b/>
          <w:i w:val="0"/>
          <w:color w:val="212121"/>
          <w:sz w:val="22"/>
        </w:rPr>
        <w:t xml:space="preserve">AKA </w:t>
      </w:r>
      <w:r>
        <w:rPr>
          <w:rFonts w:ascii="Calibri" w:hAnsi="Calibri"/>
          <w:b w:val="0"/>
          <w:i w:val="0"/>
          <w:color w:val="212121"/>
          <w:sz w:val="22"/>
        </w:rPr>
        <w:t>i.e., Impotence, Sexual impotence, Male erectile disorder, ED, Napunsakta (lay term)</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Erectile dysfunction (ED) is the persistent or recurrent inability to achieve and maintain a penile erection of sufficient rigidity and duration for satisfactory sexual intercourse, present for at least three to six months. It is predominantly a vascular disorder of the penile cavernosal tissue driven by impaired nitric-oxide-mediated smooth-muscle relaxation, and because the cavernosal arteries are small it is frequently the earliest clinical manifestation of systemic endothelial dysfunction and atherosclerotic cardiovascular disease. ED may be organic (vasculogenic, neurogenic, hormonal, or drug-induced), psychogenic, or, most commonly in older men, mixed.</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Erectile dysfunction is common and heavily under-reported in India, where a large burden of diabetes, hypertension and tobacco use drives vasculogenic disease. Among Indian men with type 2 diabetes the pooled prevalence of ED is about 60.6% (roughly 3–4 times the risk of non-diabetic men), and community surveys report sexual dysfunction in a majority of adult men. Prevalence rises steeply with age — affecting roughly 40% of men by age 40 and up to about 70% by age 70 — and because penile arterial disease typically appears 3–5 years before coronary symptoms, ED is an important early marker of vascular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ED is a clinical diagnosis based on a consistent inability to attain or maintain an erection adequate for satisfactory intercourse for at least 3 months, supported by a validated questionnaire and a targeted search for organic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persistent or recurrent inability to attain and/or maintain a penile erection sufficient for satisfactory sexual performance for ≥ 3 months (with distress);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International Index of Erectile Function (IIEF-5 / SHIM) score ≤ 21 supports the diagnosis and grades severity (22–25 normal; 17–21 mild; 12–16 mild-to-moderate; 8–11 moderate; 5–7 severe);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of nocturnal and early-morning erections — preserved erections suggest a psychogenic component, while their absence points to an organic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morning total testosterone (repeated if low, with LH/FSH and prolactin) to detect hypogonadism; plus fasting glucose/HbA1c, lipid profile, TSH and renal function to identify vasculogenic and endocrine contributors;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penile duplex Doppler ultrasound in selected cases (peak systolic velocity &lt; 25 cm/s indicates arterial insufficiency; resistive index &lt; 0.75 suggests veno-occlusive/venous-leak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nocturnal penile tumescence testing when organic-versus-psychogenic distinction remains unclear.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Erectile dysfunction is classified by the predominant underlying mechanism, which guides investigation and treatment:</w:t>
      </w:r>
    </w:p>
    <w:p>
      <w:pPr>
        <w:spacing w:before="0" w:after="80"/>
      </w:pPr>
      <w:r>
        <w:rPr>
          <w:rFonts w:ascii="Calibri" w:hAnsi="Calibri"/>
          <w:b w:val="0"/>
          <w:i w:val="0"/>
          <w:color w:val="212121"/>
          <w:sz w:val="21"/>
        </w:rPr>
        <w:t>(1) Organic ED, the largest group, subdivided into vasculogenic (arteriogenic inflow failure or veno-occlusive leak — the commonest single mechanism), neurogenic (diabetic autonomic neuropathy, spinal-cord injury, pelvic/prostate surgery), hormonal/endocrine (hypogonadism, hyperprolactinaemia, thyroid disease) and drug-induced; onset is typically gradual with loss of nocturnal erections;</w:t>
      </w:r>
    </w:p>
    <w:p>
      <w:pPr>
        <w:spacing w:before="0" w:after="80"/>
      </w:pPr>
      <w:r>
        <w:rPr>
          <w:rFonts w:ascii="Calibri" w:hAnsi="Calibri"/>
          <w:b w:val="0"/>
          <w:i w:val="0"/>
          <w:color w:val="212121"/>
          <w:sz w:val="21"/>
        </w:rPr>
        <w:t>(2) Psychogenic ED, characterised by sudden onset, situational pattern, preserved nocturnal and morning erections, and links to performance anxiety, depression, stress or relationship difficulties — relatively more common in younger men;</w:t>
      </w:r>
    </w:p>
    <w:p>
      <w:pPr>
        <w:spacing w:before="0" w:after="80"/>
      </w:pPr>
      <w:r>
        <w:rPr>
          <w:rFonts w:ascii="Calibri" w:hAnsi="Calibri"/>
          <w:b w:val="0"/>
          <w:i w:val="0"/>
          <w:color w:val="212121"/>
          <w:sz w:val="21"/>
        </w:rPr>
        <w:t>(3) Mixed ED, a combination of organic and psychogenic factors, which is the most frequent presentation in middle-aged and older men (an organic deficit compounded by secondary performance anxiety);</w:t>
      </w:r>
    </w:p>
    <w:p>
      <w:pPr>
        <w:spacing w:before="0" w:after="80"/>
      </w:pPr>
      <w:r>
        <w:rPr>
          <w:rFonts w:ascii="Calibri" w:hAnsi="Calibri"/>
          <w:b w:val="0"/>
          <w:i w:val="0"/>
          <w:color w:val="212121"/>
          <w:sz w:val="21"/>
        </w:rPr>
        <w:t>(4) Severity grading by IIEF-5 into mild, mild-to-moderate, moderate and severe categories, used to track response to therapy.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Vasculogenic (endothelial) disease: Atherosclerosis and endothelial dysfunction reduce nitric-oxide-mediated cavernosal inflow; this is the commonest organic cause and is shared with diabetes, hypertension, dyslipidaemia and smoking.</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Neurogenic causes: Diabetic autonomic neuropathy, spinal-cord injury, multiple sclerosis and pelvic surgery (especially radical prostatectomy) interrupt the neural pathways that initiate erection.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Hormonal/endocrine causes: Hypogonadism (low testosterone), hyperprolactinaemia and thyroid dysfunction reduce libido and erectile capacity.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Psychogenic factors: Depression, anxiety, performance anxiety, stress and relationship conflict impair central arousal and are a leading cause in younger men.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Drug-induced: Antihypertensives (thiazides, beta-blockers), SSRIs, antiandrogens, 5-alpha reductase inhibitors (finasteride) and antipsychotics account for roughly a quarter of cases.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Modifiable lifestyle factors: Smoking, central obesity, physical inactivity and heavy alcohol use accelerate endothelial and hormonal dysfunction that culminates in ED.</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 years)</w:t>
            </w:r>
          </w:p>
        </w:tc>
        <w:tc>
          <w:tcPr>
            <w:tcW w:type="dxa" w:w="4276"/>
            <w:vAlign w:val="top"/>
          </w:tcPr>
          <w:p>
            <w:pPr>
              <w:spacing w:after="60" w:line="259" w:lineRule="auto"/>
            </w:pPr>
            <w:r>
              <w:rPr>
                <w:rFonts w:ascii="Calibri" w:hAnsi="Calibri"/>
                <w:b w:val="0"/>
                <w:i w:val="0"/>
                <w:color w:val="212121"/>
                <w:sz w:val="19"/>
              </w:rPr>
              <w:t>Cumulative vascular, metabolic and hormonal decline lowers nitric-oxide bioavailability and cavernosal smooth-muscle relaxation, so erectile difficulty becomes progressively more common from the fourth decade onward.</w:t>
            </w:r>
          </w:p>
          <w:p>
            <w:pPr>
              <w:spacing w:after="40" w:before="60" w:line="259" w:lineRule="auto"/>
            </w:pPr>
            <w:r>
              <w:rPr>
                <w:rFonts w:ascii="Calibri" w:hAnsi="Calibri"/>
                <w:b w:val="0"/>
                <w:i w:val="0"/>
                <w:color w:val="212121"/>
                <w:sz w:val="19"/>
              </w:rPr>
              <w:t>About 52% of men aged 40–70 report some degree of ED, rising with each decade.</w:t>
            </w:r>
          </w:p>
          <w:p>
            <w:pPr>
              <w:spacing w:after="40" w:line="252" w:lineRule="auto"/>
            </w:pPr>
            <w:hyperlink r:id="rId9">
              <w:r>
                <w:rPr>
                  <w:rFonts w:ascii="Calibri" w:hAnsi="Calibri" w:cs="Calibri"/>
                  <w:sz w:val="18"/>
                  <w:color w:val="1155CC"/>
                  <w:u w:val="single"/>
                </w:rPr>
                <w:t xml:space="preserve">ncbi.nlm.nih.gov — StatPearls, Erectile Dysfunction</w:t>
              </w:r>
            </w:hyperlink>
          </w:p>
          <w:p>
            <w:pPr>
              <w:spacing w:before="60" w:after="40"/>
            </w:pPr>
            <w:r>
              <w:rPr>
                <w:rFonts w:ascii="Calibri" w:hAnsi="Calibri"/>
                <w:b w:val="0"/>
                <w:i w:val="0"/>
                <w:color w:val="5A5A5A"/>
                <w:sz w:val="18"/>
              </w:rPr>
              <w:t>#ageing  #vasculardecline  #endothelial  #lowtestosterone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(70+ years)</w:t>
            </w:r>
          </w:p>
        </w:tc>
        <w:tc>
          <w:tcPr>
            <w:tcW w:type="dxa" w:w="4276"/>
            <w:vAlign w:val="top"/>
          </w:tcPr>
          <w:p>
            <w:pPr>
              <w:spacing w:after="60" w:line="259" w:lineRule="auto"/>
            </w:pPr>
            <w:r>
              <w:rPr>
                <w:rFonts w:ascii="Calibri" w:hAnsi="Calibri"/>
                <w:b w:val="0"/>
                <w:i w:val="0"/>
                <w:color w:val="212121"/>
                <w:sz w:val="19"/>
              </w:rPr>
              <w:t>High risk. Longstanding atherosclerosis, autonomic neuropathy, polypharmacy and declining testosterone converge, and ED here often signals established systemic vascular disease.</w:t>
            </w:r>
          </w:p>
          <w:p>
            <w:pPr>
              <w:spacing w:after="40" w:before="60" w:line="259" w:lineRule="auto"/>
            </w:pPr>
            <w:r>
              <w:rPr>
                <w:rFonts w:ascii="Calibri" w:hAnsi="Calibri"/>
                <w:b w:val="0"/>
                <w:i w:val="0"/>
                <w:color w:val="212121"/>
                <w:sz w:val="19"/>
              </w:rPr>
              <w:t>Up to about 70% of men have ED by age 70.</w:t>
            </w:r>
          </w:p>
          <w:p>
            <w:pPr>
              <w:spacing w:after="40" w:line="252" w:lineRule="auto"/>
            </w:pPr>
            <w:hyperlink r:id="rId10">
              <w:r>
                <w:rPr>
                  <w:rFonts w:ascii="Calibri" w:hAnsi="Calibri" w:cs="Calibri"/>
                  <w:sz w:val="18"/>
                  <w:color w:val="1155CC"/>
                  <w:u w:val="single"/>
                </w:rPr>
                <w:t xml:space="preserve">niddk.nih.gov — ED definition &amp; facts</w:t>
              </w:r>
            </w:hyperlink>
          </w:p>
          <w:p>
            <w:pPr>
              <w:spacing w:before="60" w:after="40"/>
            </w:pPr>
            <w:r>
              <w:rPr>
                <w:rFonts w:ascii="Calibri" w:hAnsi="Calibri"/>
                <w:b w:val="0"/>
                <w:i w:val="0"/>
                <w:color w:val="5A5A5A"/>
                <w:sz w:val="18"/>
              </w:rPr>
              <w:t>#elderly  #polypharmacy  #atherosclerosis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Adult and older men (male-specific)</w:t>
            </w:r>
          </w:p>
        </w:tc>
        <w:tc>
          <w:tcPr>
            <w:tcW w:type="dxa" w:w="4276"/>
            <w:vAlign w:val="top"/>
          </w:tcPr>
          <w:p>
            <w:pPr>
              <w:spacing w:after="60" w:line="259" w:lineRule="auto"/>
            </w:pPr>
            <w:r>
              <w:rPr>
                <w:rFonts w:ascii="Calibri" w:hAnsi="Calibri"/>
                <w:b w:val="0"/>
                <w:i w:val="0"/>
                <w:color w:val="212121"/>
                <w:sz w:val="19"/>
              </w:rPr>
              <w:t>ED is an exclusively male condition; the penile erectile apparatus makes men the only affected sex, with risk concentrated where cardiometabolic disease clusters.</w:t>
            </w:r>
          </w:p>
          <w:p>
            <w:pPr>
              <w:spacing w:after="40" w:before="60" w:line="259" w:lineRule="auto"/>
            </w:pPr>
            <w:r>
              <w:rPr>
                <w:rFonts w:ascii="Calibri" w:hAnsi="Calibri"/>
                <w:b w:val="0"/>
                <w:i w:val="0"/>
                <w:color w:val="212121"/>
                <w:sz w:val="19"/>
              </w:rPr>
              <w:t>Erectile dysfunction affects men only and is one of the most common male sexual disorders worldwide.</w:t>
            </w:r>
          </w:p>
          <w:p>
            <w:pPr>
              <w:spacing w:after="40" w:line="252" w:lineRule="auto"/>
            </w:pPr>
            <w:hyperlink r:id="rId11">
              <w:r>
                <w:rPr>
                  <w:rFonts w:ascii="Calibri" w:hAnsi="Calibri" w:cs="Calibri"/>
                  <w:sz w:val="18"/>
                  <w:color w:val="1155CC"/>
                  <w:u w:val="single"/>
                </w:rPr>
                <w:t xml:space="preserve">pubmed.ncbi.nlm.nih.gov/33187038 — ED review, India</w:t>
              </w:r>
            </w:hyperlink>
          </w:p>
          <w:p>
            <w:pPr>
              <w:spacing w:before="60" w:after="40"/>
            </w:pPr>
            <w:r>
              <w:rPr>
                <w:rFonts w:ascii="Calibri" w:hAnsi="Calibri"/>
                <w:b w:val="0"/>
                <w:i w:val="0"/>
                <w:color w:val="5A5A5A"/>
                <w:sz w:val="18"/>
              </w:rPr>
              <w:t>#malehealth  #sexualhealth  #underreported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men, manual labourers, low health literacy</w:t>
            </w:r>
          </w:p>
        </w:tc>
        <w:tc>
          <w:tcPr>
            <w:tcW w:type="dxa" w:w="4276"/>
            <w:vAlign w:val="top"/>
          </w:tcPr>
          <w:p>
            <w:pPr>
              <w:spacing w:after="60" w:line="259" w:lineRule="auto"/>
            </w:pPr>
            <w:r>
              <w:rPr>
                <w:rFonts w:ascii="Calibri" w:hAnsi="Calibri"/>
                <w:b w:val="0"/>
                <w:i w:val="0"/>
                <w:color w:val="212121"/>
                <w:sz w:val="19"/>
              </w:rPr>
              <w:t>Stigma, shame and poor access to andrology services delay presentation, while a higher prevalence of tobacco and alcohol use in some low-income groups adds vascular and hormonal insult.</w:t>
            </w:r>
          </w:p>
          <w:p>
            <w:pPr>
              <w:spacing w:after="40" w:before="60" w:line="259" w:lineRule="auto"/>
            </w:pPr>
            <w:r>
              <w:rPr>
                <w:rFonts w:ascii="Calibri" w:hAnsi="Calibri"/>
                <w:b w:val="0"/>
                <w:i w:val="0"/>
                <w:color w:val="212121"/>
                <w:sz w:val="19"/>
              </w:rPr>
              <w:t>ED is markedly under-reported in India owing to social stigma and low help-seeking, delaying detection of the underlying vascular disease.</w:t>
            </w:r>
          </w:p>
          <w:p>
            <w:pPr>
              <w:spacing w:after="40" w:line="252" w:lineRule="auto"/>
            </w:pPr>
            <w:hyperlink r:id="rId11">
              <w:r>
                <w:rPr>
                  <w:rFonts w:ascii="Calibri" w:hAnsi="Calibri" w:cs="Calibri"/>
                  <w:sz w:val="18"/>
                  <w:color w:val="1155CC"/>
                  <w:u w:val="single"/>
                </w:rPr>
                <w:t xml:space="preserve">pubmed.ncbi.nlm.nih.gov/33187038 — ED review, India</w:t>
              </w:r>
            </w:hyperlink>
          </w:p>
          <w:p>
            <w:pPr>
              <w:spacing w:before="60" w:after="40"/>
            </w:pPr>
            <w:r>
              <w:rPr>
                <w:rFonts w:ascii="Calibri" w:hAnsi="Calibri"/>
                <w:b w:val="0"/>
                <w:i w:val="0"/>
                <w:color w:val="5A5A5A"/>
                <w:sz w:val="18"/>
              </w:rPr>
              <w:t>#stigma  #accesstocare  #underreported  #helpseeking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Asian (Indian) men with high cardiometabolic burden</w:t>
            </w:r>
          </w:p>
        </w:tc>
        <w:tc>
          <w:tcPr>
            <w:tcW w:type="dxa" w:w="4276"/>
            <w:vAlign w:val="top"/>
          </w:tcPr>
          <w:p>
            <w:pPr>
              <w:spacing w:after="60" w:line="259" w:lineRule="auto"/>
            </w:pPr>
            <w:r>
              <w:rPr>
                <w:rFonts w:ascii="Calibri" w:hAnsi="Calibri"/>
                <w:b w:val="0"/>
                <w:i w:val="0"/>
                <w:color w:val="212121"/>
                <w:sz w:val="19"/>
              </w:rPr>
              <w:t>South Asians develop diabetes, central adiposity and premature coronary disease at younger ages and lower BMI, so the vasculogenic substrate for ED is unusually prevalent in Indian men.</w:t>
            </w:r>
          </w:p>
          <w:p>
            <w:pPr>
              <w:spacing w:after="40" w:before="60" w:line="259" w:lineRule="auto"/>
            </w:pPr>
            <w:r>
              <w:rPr>
                <w:rFonts w:ascii="Calibri" w:hAnsi="Calibri"/>
                <w:b w:val="0"/>
                <w:i w:val="0"/>
                <w:color w:val="212121"/>
                <w:sz w:val="19"/>
              </w:rPr>
              <w:t>Among Indian men with type 2 diabetes the pooled prevalence of ED is about 60.6% (95% CI 48.8–72.3%), 3–4 times the risk of non-diabetic men.</w:t>
            </w:r>
          </w:p>
          <w:p>
            <w:pPr>
              <w:spacing w:after="40" w:line="252" w:lineRule="auto"/>
            </w:pPr>
            <w:hyperlink r:id="rId12">
              <w:r>
                <w:rPr>
                  <w:rFonts w:ascii="Calibri" w:hAnsi="Calibri" w:cs="Calibri"/>
                  <w:sz w:val="18"/>
                  <w:color w:val="1155CC"/>
                  <w:u w:val="single"/>
                </w:rPr>
                <w:t xml:space="preserve">pubmed.ncbi.nlm.nih.gov/39998916 — ED in T2DM, India (meta-analysis)</w:t>
              </w:r>
            </w:hyperlink>
          </w:p>
          <w:p>
            <w:pPr>
              <w:spacing w:before="60" w:after="40"/>
            </w:pPr>
            <w:r>
              <w:rPr>
                <w:rFonts w:ascii="Calibri" w:hAnsi="Calibri"/>
                <w:b w:val="0"/>
                <w:i w:val="0"/>
                <w:color w:val="5A5A5A"/>
                <w:sz w:val="18"/>
              </w:rPr>
              <w:t>#southasian  #diabetes  #centralobesity  #prematureCAD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(rural India)</w:t>
            </w:r>
          </w:p>
        </w:tc>
        <w:tc>
          <w:tcPr>
            <w:tcW w:type="dxa" w:w="2160"/>
            <w:vAlign w:val="top"/>
          </w:tcPr>
          <w:p>
            <w:pPr>
              <w:spacing w:after="40" w:before="0" w:line="259" w:lineRule="auto"/>
            </w:pPr>
            <w:r>
              <w:rPr>
                <w:rFonts w:ascii="Calibri" w:hAnsi="Calibri"/>
                <w:b w:val="0"/>
                <w:i w:val="0"/>
                <w:color w:val="212121"/>
                <w:sz w:val="19"/>
              </w:rPr>
              <w:t>Rural North Indian adult men</w:t>
            </w:r>
          </w:p>
        </w:tc>
        <w:tc>
          <w:tcPr>
            <w:tcW w:type="dxa" w:w="4276"/>
            <w:vAlign w:val="top"/>
          </w:tcPr>
          <w:p>
            <w:pPr>
              <w:spacing w:after="60" w:line="259" w:lineRule="auto"/>
            </w:pPr>
            <w:r>
              <w:rPr>
                <w:rFonts w:ascii="Calibri" w:hAnsi="Calibri"/>
                <w:b w:val="0"/>
                <w:i w:val="0"/>
                <w:color w:val="212121"/>
                <w:sz w:val="19"/>
              </w:rPr>
              <w:t>Widespread tobacco/alcohol use, untreated hypertension and diabetes, and limited andrology access combine with high psychological stress to produce a heavy but hidden burden of sexual dysfunction.</w:t>
            </w:r>
          </w:p>
          <w:p>
            <w:pPr>
              <w:spacing w:after="40" w:before="60" w:line="259" w:lineRule="auto"/>
            </w:pPr>
            <w:r>
              <w:rPr>
                <w:rFonts w:ascii="Calibri" w:hAnsi="Calibri"/>
                <w:b w:val="0"/>
                <w:i w:val="0"/>
                <w:color w:val="212121"/>
                <w:sz w:val="19"/>
              </w:rPr>
              <w:t>In a community study of rural North India, 81% of adult men reported at least one sexual health disorder.</w:t>
            </w:r>
          </w:p>
          <w:p>
            <w:pPr>
              <w:spacing w:after="40" w:line="252" w:lineRule="auto"/>
            </w:pPr>
            <w:hyperlink r:id="rId13">
              <w:r>
                <w:rPr>
                  <w:rFonts w:ascii="Calibri" w:hAnsi="Calibri" w:cs="Calibri"/>
                  <w:sz w:val="18"/>
                  <w:color w:val="1155CC"/>
                  <w:u w:val="single"/>
                </w:rPr>
                <w:t xml:space="preserve">pubmed.ncbi.nlm.nih.gov/30112300 — rural North India sexual disorders</w:t>
              </w:r>
            </w:hyperlink>
          </w:p>
          <w:p>
            <w:pPr>
              <w:spacing w:before="60" w:after="40"/>
            </w:pPr>
            <w:r>
              <w:rPr>
                <w:rFonts w:ascii="Calibri" w:hAnsi="Calibri"/>
                <w:b w:val="0"/>
                <w:i w:val="0"/>
                <w:color w:val="5A5A5A"/>
                <w:sz w:val="18"/>
              </w:rPr>
              <w:t>#ruralhealth  #tobacco  #unmetneed  #screening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drivers, homemakers, sedentary elderly</w:t>
            </w:r>
          </w:p>
        </w:tc>
        <w:tc>
          <w:tcPr>
            <w:tcW w:type="dxa" w:w="4276"/>
            <w:vAlign w:val="top"/>
          </w:tcPr>
          <w:p>
            <w:pPr>
              <w:spacing w:after="60" w:line="259" w:lineRule="auto"/>
            </w:pPr>
            <w:r>
              <w:rPr>
                <w:rFonts w:ascii="Calibri" w:hAnsi="Calibri"/>
                <w:b w:val="0"/>
                <w:i w:val="0"/>
                <w:color w:val="212121"/>
                <w:sz w:val="19"/>
              </w:rPr>
              <w:t>Physical inactivity worsens endothelial function, insulin resistance and central adiposity, reducing penile blood flow; regular activity is independently protective.</w:t>
            </w:r>
          </w:p>
          <w:p>
            <w:pPr>
              <w:spacing w:after="40" w:before="60" w:line="259" w:lineRule="auto"/>
            </w:pPr>
            <w:r>
              <w:rPr>
                <w:rFonts w:ascii="Calibri" w:hAnsi="Calibri"/>
                <w:b w:val="0"/>
                <w:i w:val="0"/>
                <w:color w:val="212121"/>
                <w:sz w:val="19"/>
              </w:rPr>
              <w:t>Physical-activity status is significantly associated with ED (P = 0.01), with sedentary men at the highest risk.</w:t>
            </w:r>
          </w:p>
          <w:p>
            <w:pPr>
              <w:spacing w:after="40" w:line="252" w:lineRule="auto"/>
            </w:pPr>
            <w:hyperlink r:id="rId14">
              <w:r>
                <w:rPr>
                  <w:rFonts w:ascii="Calibri" w:hAnsi="Calibri" w:cs="Calibri"/>
                  <w:sz w:val="18"/>
                  <w:color w:val="1155CC"/>
                  <w:u w:val="single"/>
                </w:rPr>
                <w:t xml:space="preserve">pubmed.ncbi.nlm.nih.gov/10925098 — modifiable risk factors &amp; ED</w:t>
              </w:r>
            </w:hyperlink>
          </w:p>
          <w:p>
            <w:pPr>
              <w:spacing w:before="60" w:after="40"/>
            </w:pPr>
            <w:r>
              <w:rPr>
                <w:rFonts w:ascii="Calibri" w:hAnsi="Calibri"/>
                <w:b w:val="0"/>
                <w:i w:val="0"/>
                <w:color w:val="5A5A5A"/>
                <w:sz w:val="18"/>
              </w:rPr>
              <w:t>#sedentary  #endothelial  #insulinresistance  #inactivity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bidi/cigarette and smokeless tobacco users</w:t>
            </w:r>
          </w:p>
        </w:tc>
        <w:tc>
          <w:tcPr>
            <w:tcW w:type="dxa" w:w="4276"/>
            <w:vAlign w:val="top"/>
          </w:tcPr>
          <w:p>
            <w:pPr>
              <w:spacing w:after="60" w:line="259" w:lineRule="auto"/>
            </w:pPr>
            <w:r>
              <w:rPr>
                <w:rFonts w:ascii="Calibri" w:hAnsi="Calibri"/>
                <w:b w:val="0"/>
                <w:i w:val="0"/>
                <w:color w:val="212121"/>
                <w:sz w:val="19"/>
              </w:rPr>
              <w:t>Tobacco causes endothelial injury, oxidative stress and cavernosal vasoconstriction, impairing nitric-oxide signalling; the effect is dose-dependent on quantity and duration.</w:t>
            </w:r>
          </w:p>
          <w:p>
            <w:pPr>
              <w:spacing w:after="40" w:before="60" w:line="259" w:lineRule="auto"/>
            </w:pPr>
            <w:r>
              <w:rPr>
                <w:rFonts w:ascii="Calibri" w:hAnsi="Calibri"/>
                <w:b w:val="0"/>
                <w:i w:val="0"/>
                <w:color w:val="212121"/>
                <w:sz w:val="19"/>
              </w:rPr>
              <w:t>A dose-response meta-analysis links greater quantity and duration of smoking to progressively higher ED risk.</w:t>
            </w:r>
          </w:p>
          <w:p>
            <w:pPr>
              <w:spacing w:after="40" w:line="252" w:lineRule="auto"/>
            </w:pPr>
            <w:hyperlink r:id="rId15">
              <w:r>
                <w:rPr>
                  <w:rFonts w:ascii="Calibri" w:hAnsi="Calibri" w:cs="Calibri"/>
                  <w:sz w:val="18"/>
                  <w:color w:val="1155CC"/>
                  <w:u w:val="single"/>
                </w:rPr>
                <w:t xml:space="preserve">pubmed.ncbi.nlm.nih.gov/25052869 — smoking &amp; ED dose-response meta-analysis</w:t>
              </w:r>
            </w:hyperlink>
          </w:p>
          <w:p>
            <w:pPr>
              <w:spacing w:before="60" w:after="40"/>
            </w:pPr>
            <w:r>
              <w:rPr>
                <w:rFonts w:ascii="Calibri" w:hAnsi="Calibri"/>
                <w:b w:val="0"/>
                <w:i w:val="0"/>
                <w:color w:val="5A5A5A"/>
                <w:sz w:val="18"/>
              </w:rPr>
              <w:t>#smoking  #tobacco  #vasoconstriction  #doseresponse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heavy alcohol use suppresses testosterone, causes peripheral and autonomic neuropathy and damages the endothelium, while acute intoxication acutely impairs erection.</w:t>
            </w:r>
          </w:p>
          <w:p>
            <w:pPr>
              <w:spacing w:after="40" w:before="60" w:line="259" w:lineRule="auto"/>
            </w:pPr>
            <w:r>
              <w:rPr>
                <w:rFonts w:ascii="Calibri" w:hAnsi="Calibri"/>
                <w:b w:val="0"/>
                <w:i w:val="0"/>
                <w:color w:val="212121"/>
                <w:sz w:val="19"/>
              </w:rPr>
              <w:t>Heavy, sustained alcohol intake contributes to ED through hypogonadism and alcoholic neuropathy; light intake shows no consistent benefit.</w:t>
            </w:r>
          </w:p>
          <w:p>
            <w:pPr>
              <w:spacing w:before="60" w:after="40"/>
            </w:pPr>
            <w:r>
              <w:rPr>
                <w:rFonts w:ascii="Calibri" w:hAnsi="Calibri"/>
                <w:b w:val="0"/>
                <w:i w:val="0"/>
                <w:color w:val="5A5A5A"/>
                <w:sz w:val="18"/>
              </w:rPr>
              <w:t>#alcohol  #hypogonadism  #neuropathy  #liver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men (Asian-Indian BMI ≥ 23)</w:t>
            </w:r>
          </w:p>
        </w:tc>
        <w:tc>
          <w:tcPr>
            <w:tcW w:type="dxa" w:w="4276"/>
            <w:vAlign w:val="top"/>
          </w:tcPr>
          <w:p>
            <w:pPr>
              <w:spacing w:after="60" w:line="259" w:lineRule="auto"/>
            </w:pPr>
            <w:r>
              <w:rPr>
                <w:rFonts w:ascii="Calibri" w:hAnsi="Calibri"/>
                <w:b w:val="0"/>
                <w:i w:val="0"/>
                <w:color w:val="212121"/>
                <w:sz w:val="19"/>
              </w:rPr>
              <w:t>Excess adiposity lowers testosterone, raises inflammatory cytokines and worsens endothelial function, all of which reduce erectile capacity.</w:t>
            </w:r>
          </w:p>
          <w:p>
            <w:pPr>
              <w:spacing w:after="40" w:before="60" w:line="259" w:lineRule="auto"/>
            </w:pPr>
            <w:r>
              <w:rPr>
                <w:rFonts w:ascii="Calibri" w:hAnsi="Calibri"/>
                <w:b w:val="0"/>
                <w:i w:val="0"/>
                <w:color w:val="212121"/>
                <w:sz w:val="19"/>
              </w:rPr>
              <w:t>Obesity is associated with roughly a 50% higher risk of ED compared with normal weight.</w:t>
            </w:r>
          </w:p>
          <w:p>
            <w:pPr>
              <w:spacing w:after="40" w:line="252" w:lineRule="auto"/>
            </w:pPr>
            <w:hyperlink r:id="rId9">
              <w:r>
                <w:rPr>
                  <w:rFonts w:ascii="Calibri" w:hAnsi="Calibri" w:cs="Calibri"/>
                  <w:sz w:val="18"/>
                  <w:color w:val="1155CC"/>
                  <w:u w:val="single"/>
                </w:rPr>
                <w:t xml:space="preserve">ncbi.nlm.nih.gov — StatPearls, Erectile Dysfunction</w:t>
              </w:r>
            </w:hyperlink>
          </w:p>
          <w:p>
            <w:pPr>
              <w:spacing w:before="60" w:after="40"/>
            </w:pPr>
            <w:r>
              <w:rPr>
                <w:rFonts w:ascii="Calibri" w:hAnsi="Calibri"/>
                <w:b w:val="0"/>
                <w:i w:val="0"/>
                <w:color w:val="5A5A5A"/>
                <w:sz w:val="18"/>
              </w:rPr>
              <w:t>#overweight  #lowtestosterone  #inflammation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Men with central obesity / metabolic syndrome</w:t>
            </w:r>
          </w:p>
        </w:tc>
        <w:tc>
          <w:tcPr>
            <w:tcW w:type="dxa" w:w="4276"/>
            <w:vAlign w:val="top"/>
          </w:tcPr>
          <w:p>
            <w:pPr>
              <w:spacing w:after="60" w:line="259" w:lineRule="auto"/>
            </w:pPr>
            <w:r>
              <w:rPr>
                <w:rFonts w:ascii="Calibri" w:hAnsi="Calibri"/>
                <w:b w:val="0"/>
                <w:i w:val="0"/>
                <w:color w:val="212121"/>
                <w:sz w:val="19"/>
              </w:rPr>
              <w:t>Visceral obesity clusters with insulin resistance, dyslipidaemia and hypertension (metabolic syndrome), producing the vasculogenic and hormonal milieu that drives ED.</w:t>
            </w:r>
          </w:p>
          <w:p>
            <w:pPr>
              <w:spacing w:after="40" w:before="60" w:line="259" w:lineRule="auto"/>
            </w:pPr>
            <w:r>
              <w:rPr>
                <w:rFonts w:ascii="Calibri" w:hAnsi="Calibri"/>
                <w:b w:val="0"/>
                <w:i w:val="0"/>
                <w:color w:val="212121"/>
                <w:sz w:val="19"/>
              </w:rPr>
              <w:t>Prospective data show obesity and smoking are positively associated with incident ED, while physical activity is protective.</w:t>
            </w:r>
          </w:p>
          <w:p>
            <w:pPr>
              <w:spacing w:after="40" w:line="252" w:lineRule="auto"/>
            </w:pPr>
            <w:hyperlink r:id="rId16">
              <w:r>
                <w:rPr>
                  <w:rFonts w:ascii="Calibri" w:hAnsi="Calibri" w:cs="Calibri"/>
                  <w:sz w:val="18"/>
                  <w:color w:val="1155CC"/>
                  <w:u w:val="single"/>
                </w:rPr>
                <w:t xml:space="preserve">pubmed.ncbi.nlm.nih.gov/16753404 — prospective risk factors for ED</w:t>
              </w:r>
            </w:hyperlink>
          </w:p>
          <w:p>
            <w:pPr>
              <w:spacing w:before="60" w:after="40"/>
            </w:pPr>
            <w:r>
              <w:rPr>
                <w:rFonts w:ascii="Calibri" w:hAnsi="Calibri"/>
                <w:b w:val="0"/>
                <w:i w:val="0"/>
                <w:color w:val="5A5A5A"/>
                <w:sz w:val="18"/>
              </w:rPr>
              <w:t>#obesity  #metabolicsyndrome  #visceralfat  #insulinresistance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refined-carbohydrate, high-fat, low fruit/vegetable diets</w:t>
            </w:r>
          </w:p>
        </w:tc>
        <w:tc>
          <w:tcPr>
            <w:tcW w:type="dxa" w:w="4276"/>
            <w:vAlign w:val="top"/>
          </w:tcPr>
          <w:p>
            <w:pPr>
              <w:spacing w:after="60" w:line="259" w:lineRule="auto"/>
            </w:pPr>
            <w:r>
              <w:rPr>
                <w:rFonts w:ascii="Calibri" w:hAnsi="Calibri"/>
                <w:b w:val="0"/>
                <w:i w:val="0"/>
                <w:color w:val="212121"/>
                <w:sz w:val="19"/>
              </w:rPr>
              <w:t>Energy-dense, ultra-processed diets promote obesity, dyslipidaemia and endothelial dysfunction; a Mediterranean-style, fibre-rich pattern is associated with better erectile function.</w:t>
            </w:r>
          </w:p>
          <w:p>
            <w:pPr>
              <w:spacing w:after="40" w:before="60" w:line="259" w:lineRule="auto"/>
            </w:pPr>
            <w:r>
              <w:rPr>
                <w:rFonts w:ascii="Calibri" w:hAnsi="Calibri"/>
                <w:b w:val="0"/>
                <w:i w:val="0"/>
                <w:color w:val="212121"/>
                <w:sz w:val="19"/>
              </w:rPr>
              <w:t>Diet-driven metabolic syndrome and endothelial dysfunction are established contributors to vasculogenic ED.</w:t>
            </w:r>
          </w:p>
          <w:p>
            <w:pPr>
              <w:spacing w:after="40" w:line="252" w:lineRule="auto"/>
            </w:pPr>
            <w:hyperlink r:id="rId17">
              <w:r>
                <w:rPr>
                  <w:rFonts w:ascii="Calibri" w:hAnsi="Calibri" w:cs="Calibri"/>
                  <w:sz w:val="18"/>
                  <w:color w:val="1155CC"/>
                  <w:u w:val="single"/>
                </w:rPr>
                <w:t xml:space="preserve">pubmed.ncbi.nlm.nih.gov/24894579 — endothelial dysfunction &amp; ED</w:t>
              </w:r>
            </w:hyperlink>
          </w:p>
          <w:p>
            <w:pPr>
              <w:spacing w:before="60" w:after="40"/>
            </w:pPr>
            <w:r>
              <w:rPr>
                <w:rFonts w:ascii="Calibri" w:hAnsi="Calibri"/>
                <w:b w:val="0"/>
                <w:i w:val="0"/>
                <w:color w:val="5A5A5A"/>
                <w:sz w:val="18"/>
              </w:rPr>
              <w:t>#diet  #ultraprocessed  #mediterranean  #endothelial</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premature CVD, diabetes or ED</w:t>
            </w:r>
          </w:p>
        </w:tc>
        <w:tc>
          <w:tcPr>
            <w:tcW w:type="dxa" w:w="4276"/>
            <w:vAlign w:val="top"/>
          </w:tcPr>
          <w:p>
            <w:pPr>
              <w:spacing w:after="60" w:line="259" w:lineRule="auto"/>
            </w:pPr>
            <w:r>
              <w:rPr>
                <w:rFonts w:ascii="Calibri" w:hAnsi="Calibri"/>
                <w:b w:val="0"/>
                <w:i w:val="0"/>
                <w:color w:val="212121"/>
                <w:sz w:val="19"/>
              </w:rPr>
              <w:t>Inherited susceptibility to atherosclerosis, diabetes and endothelial/nitric-oxide pathway variants raises the likelihood of early vasculogenic ED.</w:t>
            </w:r>
          </w:p>
          <w:p>
            <w:pPr>
              <w:spacing w:after="40" w:before="60" w:line="259" w:lineRule="auto"/>
            </w:pPr>
            <w:r>
              <w:rPr>
                <w:rFonts w:ascii="Calibri" w:hAnsi="Calibri"/>
                <w:b w:val="0"/>
                <w:i w:val="0"/>
                <w:color w:val="212121"/>
                <w:sz w:val="19"/>
              </w:rPr>
              <w:t>Genetic factors influencing nitric-oxide signalling and cardiometabolic risk contribute to ED susceptibility.</w:t>
            </w:r>
          </w:p>
          <w:p>
            <w:pPr>
              <w:spacing w:after="40" w:line="252" w:lineRule="auto"/>
            </w:pPr>
            <w:hyperlink r:id="rId18">
              <w:r>
                <w:rPr>
                  <w:rFonts w:ascii="Calibri" w:hAnsi="Calibri" w:cs="Calibri"/>
                  <w:sz w:val="18"/>
                  <w:color w:val="1155CC"/>
                  <w:u w:val="single"/>
                </w:rPr>
                <w:t xml:space="preserve">pubmed.ncbi.nlm.nih.gov/25987331 — genetic aspects of ED</w:t>
              </w:r>
            </w:hyperlink>
          </w:p>
          <w:p>
            <w:pPr>
              <w:spacing w:before="60" w:after="40"/>
            </w:pPr>
            <w:r>
              <w:rPr>
                <w:rFonts w:ascii="Calibri" w:hAnsi="Calibri"/>
                <w:b w:val="0"/>
                <w:i w:val="0"/>
                <w:color w:val="5A5A5A"/>
                <w:sz w:val="18"/>
              </w:rPr>
              <w:t>#familyhistory  #genetics  #nitricoxide  #cardiometabolic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Men with type 2 diabetes</w:t>
            </w:r>
          </w:p>
        </w:tc>
        <w:tc>
          <w:tcPr>
            <w:tcW w:type="dxa" w:w="4276"/>
            <w:vAlign w:val="top"/>
          </w:tcPr>
          <w:p>
            <w:pPr>
              <w:spacing w:after="60" w:line="259" w:lineRule="auto"/>
            </w:pPr>
            <w:r>
              <w:rPr>
                <w:rFonts w:ascii="Calibri" w:hAnsi="Calibri"/>
                <w:b w:val="0"/>
                <w:i w:val="0"/>
                <w:color w:val="212121"/>
                <w:sz w:val="19"/>
              </w:rPr>
              <w:t>Hyperglycaemia damages endothelium and autonomic nerves and lowers testosterone, so ED is earlier, more severe and less treatment-responsive in diabetics.</w:t>
            </w:r>
          </w:p>
          <w:p>
            <w:pPr>
              <w:spacing w:after="40" w:before="60" w:line="259" w:lineRule="auto"/>
            </w:pPr>
            <w:r>
              <w:rPr>
                <w:rFonts w:ascii="Calibri" w:hAnsi="Calibri"/>
                <w:b w:val="0"/>
                <w:i w:val="0"/>
                <w:color w:val="212121"/>
                <w:sz w:val="19"/>
              </w:rPr>
              <w:t>About 60.6% of Indian men with T2DM have ED; roughly 46% of diabetic men over 50 are affected.</w:t>
            </w:r>
          </w:p>
          <w:p>
            <w:pPr>
              <w:spacing w:after="40" w:line="252" w:lineRule="auto"/>
            </w:pPr>
            <w:hyperlink r:id="rId12">
              <w:r>
                <w:rPr>
                  <w:rFonts w:ascii="Calibri" w:hAnsi="Calibri" w:cs="Calibri"/>
                  <w:sz w:val="18"/>
                  <w:color w:val="1155CC"/>
                  <w:u w:val="single"/>
                </w:rPr>
                <w:t xml:space="preserve">pubmed.ncbi.nlm.nih.gov/39998916 — ED in T2DM, India (meta-analysis)</w:t>
              </w:r>
            </w:hyperlink>
          </w:p>
          <w:p>
            <w:pPr>
              <w:spacing w:before="60" w:after="40"/>
            </w:pPr>
            <w:r>
              <w:rPr>
                <w:rFonts w:ascii="Calibri" w:hAnsi="Calibri"/>
                <w:b w:val="0"/>
                <w:i w:val="0"/>
                <w:color w:val="5A5A5A"/>
                <w:sz w:val="18"/>
              </w:rPr>
              <w:t>#diabetes  #neuropathy  #endothelial  #severeED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Men with hypertension</w:t>
            </w:r>
          </w:p>
        </w:tc>
        <w:tc>
          <w:tcPr>
            <w:tcW w:type="dxa" w:w="4276"/>
            <w:vAlign w:val="top"/>
          </w:tcPr>
          <w:p>
            <w:pPr>
              <w:spacing w:after="60" w:line="259" w:lineRule="auto"/>
            </w:pPr>
            <w:r>
              <w:rPr>
                <w:rFonts w:ascii="Calibri" w:hAnsi="Calibri"/>
                <w:b w:val="0"/>
                <w:i w:val="0"/>
                <w:color w:val="212121"/>
                <w:sz w:val="19"/>
              </w:rPr>
              <w:t>Chronic high pressure stiffens and narrows penile arteries, and several antihypertensives (thiazides, beta-blockers) independently precipitate ED.</w:t>
            </w:r>
          </w:p>
          <w:p>
            <w:pPr>
              <w:spacing w:after="40" w:before="60" w:line="259" w:lineRule="auto"/>
            </w:pPr>
            <w:r>
              <w:rPr>
                <w:rFonts w:ascii="Calibri" w:hAnsi="Calibri"/>
                <w:b w:val="0"/>
                <w:i w:val="0"/>
                <w:color w:val="212121"/>
                <w:sz w:val="19"/>
              </w:rPr>
              <w:t>About 35% of hypertensive men have ED.</w:t>
            </w:r>
          </w:p>
          <w:p>
            <w:pPr>
              <w:spacing w:after="40" w:line="252" w:lineRule="auto"/>
            </w:pPr>
            <w:hyperlink r:id="rId9">
              <w:r>
                <w:rPr>
                  <w:rFonts w:ascii="Calibri" w:hAnsi="Calibri" w:cs="Calibri"/>
                  <w:sz w:val="18"/>
                  <w:color w:val="1155CC"/>
                  <w:u w:val="single"/>
                </w:rPr>
                <w:t xml:space="preserve">ncbi.nlm.nih.gov — StatPearls, Erectile Dysfunction</w:t>
              </w:r>
            </w:hyperlink>
          </w:p>
          <w:p>
            <w:pPr>
              <w:spacing w:before="60" w:after="40"/>
            </w:pPr>
            <w:r>
              <w:rPr>
                <w:rFonts w:ascii="Calibri" w:hAnsi="Calibri"/>
                <w:b w:val="0"/>
                <w:i w:val="0"/>
                <w:color w:val="5A5A5A"/>
                <w:sz w:val="18"/>
              </w:rPr>
              <w:t>#hypertension  #arterialstiffness  #antihypertensives  #vascular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disease</w:t>
            </w:r>
          </w:p>
        </w:tc>
        <w:tc>
          <w:tcPr>
            <w:tcW w:type="dxa" w:w="2160"/>
            <w:vAlign w:val="top"/>
          </w:tcPr>
          <w:p>
            <w:pPr>
              <w:spacing w:after="40" w:before="0" w:line="259" w:lineRule="auto"/>
            </w:pPr>
            <w:r>
              <w:rPr>
                <w:rFonts w:ascii="Calibri" w:hAnsi="Calibri"/>
                <w:b w:val="0"/>
                <w:i w:val="0"/>
                <w:color w:val="212121"/>
                <w:sz w:val="19"/>
              </w:rPr>
              <w:t>Men with coronary artery disease</w:t>
            </w:r>
          </w:p>
        </w:tc>
        <w:tc>
          <w:tcPr>
            <w:tcW w:type="dxa" w:w="4276"/>
            <w:vAlign w:val="top"/>
          </w:tcPr>
          <w:p>
            <w:pPr>
              <w:spacing w:after="60" w:line="259" w:lineRule="auto"/>
            </w:pPr>
            <w:r>
              <w:rPr>
                <w:rFonts w:ascii="Calibri" w:hAnsi="Calibri"/>
                <w:b w:val="0"/>
                <w:i w:val="0"/>
                <w:color w:val="212121"/>
                <w:sz w:val="19"/>
              </w:rPr>
              <w:t>ED and CAD share endothelial dysfunction and atherosclerosis; because cavernosal arteries are smaller, ED usually appears 3–5 years before coronary symptoms.</w:t>
            </w:r>
          </w:p>
          <w:p>
            <w:pPr>
              <w:spacing w:after="40" w:before="60" w:line="259" w:lineRule="auto"/>
            </w:pPr>
            <w:r>
              <w:rPr>
                <w:rFonts w:ascii="Calibri" w:hAnsi="Calibri"/>
                <w:b w:val="0"/>
                <w:i w:val="0"/>
                <w:color w:val="212121"/>
                <w:sz w:val="19"/>
              </w:rPr>
              <w:t>Around 50% of men with coronary artery disease have significant ED; penile atherosclerosis can precede coronary disease by 5–10 years.</w:t>
            </w:r>
          </w:p>
          <w:p>
            <w:pPr>
              <w:spacing w:after="40" w:line="252" w:lineRule="auto"/>
            </w:pPr>
            <w:hyperlink r:id="rId19">
              <w:r>
                <w:rPr>
                  <w:rFonts w:ascii="Calibri" w:hAnsi="Calibri" w:cs="Calibri"/>
                  <w:sz w:val="18"/>
                  <w:color w:val="1155CC"/>
                  <w:u w:val="single"/>
                </w:rPr>
                <w:t xml:space="preserve">pubmed.ncbi.nlm.nih.gov/34065601 — ED is a hallmark of CVD</w:t>
              </w:r>
            </w:hyperlink>
          </w:p>
          <w:p>
            <w:pPr>
              <w:spacing w:before="60" w:after="40"/>
            </w:pPr>
            <w:r>
              <w:rPr>
                <w:rFonts w:ascii="Calibri" w:hAnsi="Calibri"/>
                <w:b w:val="0"/>
                <w:i w:val="0"/>
                <w:color w:val="5A5A5A"/>
                <w:sz w:val="18"/>
              </w:rPr>
              <w:t>#CAD  #earlymarker  #endothelial  #atherosclerosis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Hypogonadism</w:t>
            </w:r>
          </w:p>
        </w:tc>
        <w:tc>
          <w:tcPr>
            <w:tcW w:type="dxa" w:w="2160"/>
            <w:vAlign w:val="top"/>
          </w:tcPr>
          <w:p>
            <w:pPr>
              <w:spacing w:after="40" w:before="0" w:line="259" w:lineRule="auto"/>
            </w:pPr>
            <w:r>
              <w:rPr>
                <w:rFonts w:ascii="Calibri" w:hAnsi="Calibri"/>
                <w:b w:val="0"/>
                <w:i w:val="0"/>
                <w:color w:val="212121"/>
                <w:sz w:val="19"/>
              </w:rPr>
              <w:t>Men with low testosterone</w:t>
            </w:r>
          </w:p>
        </w:tc>
        <w:tc>
          <w:tcPr>
            <w:tcW w:type="dxa" w:w="4276"/>
            <w:vAlign w:val="top"/>
          </w:tcPr>
          <w:p>
            <w:pPr>
              <w:spacing w:after="60" w:line="259" w:lineRule="auto"/>
            </w:pPr>
            <w:r>
              <w:rPr>
                <w:rFonts w:ascii="Calibri" w:hAnsi="Calibri"/>
                <w:b w:val="0"/>
                <w:i w:val="0"/>
                <w:color w:val="212121"/>
                <w:sz w:val="19"/>
              </w:rPr>
              <w:t>Testosterone maintains libido, nocturnal erections and cavernosal nitric-oxide synthase; deficiency reduces desire and erectile response.</w:t>
            </w:r>
          </w:p>
          <w:p>
            <w:pPr>
              <w:spacing w:after="40" w:before="60" w:line="259" w:lineRule="auto"/>
            </w:pPr>
            <w:r>
              <w:rPr>
                <w:rFonts w:ascii="Calibri" w:hAnsi="Calibri"/>
                <w:b w:val="0"/>
                <w:i w:val="0"/>
                <w:color w:val="212121"/>
                <w:sz w:val="19"/>
              </w:rPr>
              <w:t>About 35% of men presenting with ED have hypogonadism.</w:t>
            </w:r>
          </w:p>
          <w:p>
            <w:pPr>
              <w:spacing w:after="40" w:line="252" w:lineRule="auto"/>
            </w:pPr>
            <w:hyperlink r:id="rId9">
              <w:r>
                <w:rPr>
                  <w:rFonts w:ascii="Calibri" w:hAnsi="Calibri" w:cs="Calibri"/>
                  <w:sz w:val="18"/>
                  <w:color w:val="1155CC"/>
                  <w:u w:val="single"/>
                </w:rPr>
                <w:t xml:space="preserve">ncbi.nlm.nih.gov — StatPearls, Erectile Dysfunction</w:t>
              </w:r>
            </w:hyperlink>
          </w:p>
          <w:p>
            <w:pPr>
              <w:spacing w:before="60" w:after="40"/>
            </w:pPr>
            <w:r>
              <w:rPr>
                <w:rFonts w:ascii="Calibri" w:hAnsi="Calibri"/>
                <w:b w:val="0"/>
                <w:i w:val="0"/>
                <w:color w:val="5A5A5A"/>
                <w:sz w:val="18"/>
              </w:rPr>
              <w:t>#hypogonadism  #testosterone  #libido  #endocrine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Men with depression / anxiety</w:t>
            </w:r>
          </w:p>
        </w:tc>
        <w:tc>
          <w:tcPr>
            <w:tcW w:type="dxa" w:w="4276"/>
            <w:vAlign w:val="top"/>
          </w:tcPr>
          <w:p>
            <w:pPr>
              <w:spacing w:after="60" w:line="259" w:lineRule="auto"/>
            </w:pPr>
            <w:r>
              <w:rPr>
                <w:rFonts w:ascii="Calibri" w:hAnsi="Calibri"/>
                <w:b w:val="0"/>
                <w:i w:val="0"/>
                <w:color w:val="212121"/>
                <w:sz w:val="19"/>
              </w:rPr>
              <w:t>Depression reduces central sexual arousal, and antidepressants (especially SSRIs) commonly cause ED, creating a bidirectional, self-reinforcing loop with sexual distress.</w:t>
            </w:r>
          </w:p>
          <w:p>
            <w:pPr>
              <w:spacing w:after="40" w:before="60" w:line="259" w:lineRule="auto"/>
            </w:pPr>
            <w:r>
              <w:rPr>
                <w:rFonts w:ascii="Calibri" w:hAnsi="Calibri"/>
                <w:b w:val="0"/>
                <w:i w:val="0"/>
                <w:color w:val="212121"/>
                <w:sz w:val="19"/>
              </w:rPr>
              <w:t>Men with ED are about 3 times more likely to have depression.</w:t>
            </w:r>
          </w:p>
          <w:p>
            <w:pPr>
              <w:spacing w:after="40" w:line="252" w:lineRule="auto"/>
            </w:pPr>
            <w:hyperlink r:id="rId9">
              <w:r>
                <w:rPr>
                  <w:rFonts w:ascii="Calibri" w:hAnsi="Calibri" w:cs="Calibri"/>
                  <w:sz w:val="18"/>
                  <w:color w:val="1155CC"/>
                  <w:u w:val="single"/>
                </w:rPr>
                <w:t xml:space="preserve">ncbi.nlm.nih.gov — StatPearls, Erectile Dysfunction</w:t>
              </w:r>
            </w:hyperlink>
          </w:p>
          <w:p>
            <w:pPr>
              <w:spacing w:before="60" w:after="40"/>
            </w:pPr>
            <w:r>
              <w:rPr>
                <w:rFonts w:ascii="Calibri" w:hAnsi="Calibri"/>
                <w:b w:val="0"/>
                <w:i w:val="0"/>
                <w:color w:val="5A5A5A"/>
                <w:sz w:val="18"/>
              </w:rPr>
              <w:t>#depression  #anxiety  #SSRI  #psychogenic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impairs endothelial function and promotes central obesity and insulin resistance; regular aerobic activity is independently associated with lower ED risk and improved erectile function (P = 0.01 for activity status).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Energy-dense, ultra-processed diets drive obesity, dyslipidaemia and endothelial dysfunction, whereas a Mediterranean-style, fibre-rich pattern is linked to better erectile function.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and obstructive sleep apnoea lower morning testosterone and cause intermittent hypoxia and endothelial dysfunction, worsening 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causes endothelial injury and cavernosal vasoconstriction; a dose-response meta-analysis links greater quantity and duration of smoking to higher ED risk, with partial improvement after cessation.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drinking suppresses testosterone and causes autonomic/peripheral neuropathy and endothelial damage; acute intoxication transiently impairs erection.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and performance anxiety are leading causes of psychogenic ED, and men with ED are roughly 3 times more likely to be depressed; SSRIs frequently add a drug-induced component.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Severe dehydration can transiently reduce blood volume and erectile quality, but hydration has no established role in chronic 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moderate coffee intake has been weakly associated with lower ED prevalence, but a causal protective effect is unproven.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Poor genital hygiene predisposes to balanitis and phimosis, which can cause pain and situational erectile difficulty, but there is no direct link to vasculogenic 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Situational triggers include performance anxiety, relationship conflict, acute heavy alcohol intake, recreational drug use and starting medications such as SSRIs, thiazides, beta-blockers or finasteride.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cycling with perineal pressure can compress the pudendal artery and nerve and transiently reduce penile blood flow; ergonomic saddles and position changes mitigate this.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Adults, sedentary men</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Inactivity worsens endothelial and erectile function</w:t>
            </w:r>
          </w:p>
          <w:p>
            <w:pPr>
              <w:spacing w:after="40" w:line="252" w:lineRule="auto"/>
            </w:pPr>
            <w:hyperlink r:id="rId14">
              <w:r>
                <w:rPr>
                  <w:rFonts w:ascii="Calibri" w:hAnsi="Calibri" w:cs="Calibri"/>
                  <w:sz w:val="18"/>
                  <w:color w:val="1155CC"/>
                  <w:u w:val="single"/>
                </w:rPr>
                <w:t xml:space="preserve">https://pubmed.ncbi.nlm.nih.gov/10925098/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(Asian-Indian, kg/m²)</w:t>
            </w:r>
          </w:p>
        </w:tc>
        <w:tc>
          <w:tcPr>
            <w:tcW w:type="dxa" w:w="1655"/>
            <w:vAlign w:val="top"/>
          </w:tcPr>
          <w:p>
            <w:pPr>
              <w:spacing w:after="40" w:before="0" w:line="259" w:lineRule="auto"/>
            </w:pPr>
            <w:r>
              <w:rPr>
                <w:rFonts w:ascii="Calibri" w:hAnsi="Calibri"/>
                <w:b w:val="0"/>
                <w:i w:val="0"/>
                <w:color w:val="212121"/>
                <w:sz w:val="19"/>
              </w:rPr>
              <w:t>Adults, overweight/obese men</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27.5 (obese)</w:t>
            </w:r>
          </w:p>
        </w:tc>
        <w:tc>
          <w:tcPr>
            <w:tcW w:type="dxa" w:w="1468"/>
            <w:vAlign w:val="top"/>
          </w:tcPr>
          <w:p>
            <w:pPr>
              <w:spacing w:after="60" w:line="259" w:lineRule="auto"/>
            </w:pPr>
            <w:r>
              <w:rPr>
                <w:rFonts w:ascii="Calibri" w:hAnsi="Calibri"/>
                <w:b w:val="0"/>
                <w:i w:val="0"/>
                <w:color w:val="212121"/>
                <w:sz w:val="19"/>
              </w:rPr>
              <w:t>Higher BMI lowers testosterone and raises ED risk ~50%</w:t>
            </w:r>
          </w:p>
          <w:p>
            <w:pPr>
              <w:spacing w:after="40" w:line="252" w:lineRule="auto"/>
            </w:pPr>
            <w:hyperlink r:id="rId9">
              <w:r>
                <w:rPr>
                  <w:rFonts w:ascii="Calibri" w:hAnsi="Calibri" w:cs="Calibri"/>
                  <w:sz w:val="18"/>
                  <w:color w:val="1155CC"/>
                  <w:u w:val="single"/>
                </w:rPr>
                <w:t xml:space="preserve">https://www.ncbi.nlm.nih.gov/books/NBK562253/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(men)</w:t>
            </w:r>
          </w:p>
        </w:tc>
        <w:tc>
          <w:tcPr>
            <w:tcW w:type="dxa" w:w="1655"/>
            <w:vAlign w:val="top"/>
          </w:tcPr>
          <w:p>
            <w:pPr>
              <w:spacing w:after="40" w:before="0" w:line="259" w:lineRule="auto"/>
            </w:pPr>
            <w:r>
              <w:rPr>
                <w:rFonts w:ascii="Calibri" w:hAnsi="Calibri"/>
                <w:b w:val="0"/>
                <w:i w:val="0"/>
                <w:color w:val="212121"/>
                <w:sz w:val="19"/>
              </w:rPr>
              <w:t>Central obesity, metabolic syndrome</w:t>
            </w:r>
          </w:p>
        </w:tc>
        <w:tc>
          <w:tcPr>
            <w:tcW w:type="dxa" w:w="1512"/>
            <w:vAlign w:val="top"/>
          </w:tcPr>
          <w:p>
            <w:pPr>
              <w:spacing w:after="40" w:before="0" w:line="259" w:lineRule="auto"/>
            </w:pPr>
            <w:r>
              <w:rPr>
                <w:rFonts w:ascii="Calibri" w:hAnsi="Calibri"/>
                <w:b w:val="0"/>
                <w:i w:val="0"/>
                <w:color w:val="212121"/>
                <w:sz w:val="19"/>
              </w:rPr>
              <w:t>&lt; 90 cm</w:t>
            </w:r>
          </w:p>
        </w:tc>
        <w:tc>
          <w:tcPr>
            <w:tcW w:type="dxa" w:w="1512"/>
            <w:vAlign w:val="top"/>
          </w:tcPr>
          <w:p>
            <w:pPr>
              <w:spacing w:after="40" w:before="0" w:line="259" w:lineRule="auto"/>
            </w:pPr>
            <w:r>
              <w:rPr>
                <w:rFonts w:ascii="Calibri" w:hAnsi="Calibri"/>
                <w:b w:val="0"/>
                <w:i w:val="0"/>
                <w:color w:val="212121"/>
                <w:sz w:val="19"/>
              </w:rPr>
              <w:t>≥ 90 cm (South Asian cut-off)</w:t>
            </w:r>
          </w:p>
        </w:tc>
        <w:tc>
          <w:tcPr>
            <w:tcW w:type="dxa" w:w="1468"/>
            <w:vAlign w:val="top"/>
          </w:tcPr>
          <w:p>
            <w:pPr>
              <w:spacing w:after="40" w:before="0" w:line="259" w:lineRule="auto"/>
            </w:pPr>
            <w:r>
              <w:rPr>
                <w:rFonts w:ascii="Calibri" w:hAnsi="Calibri"/>
                <w:b w:val="0"/>
                <w:i w:val="0"/>
                <w:color w:val="212121"/>
                <w:sz w:val="19"/>
              </w:rPr>
              <w:t>Abdominal obesity marks the vasculogenic/hormonal substrate of 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 hypertensive men</w:t>
            </w:r>
          </w:p>
        </w:tc>
        <w:tc>
          <w:tcPr>
            <w:tcW w:type="dxa" w:w="1512"/>
            <w:vAlign w:val="top"/>
          </w:tcPr>
          <w:p>
            <w:pPr>
              <w:spacing w:after="40" w:before="0" w:line="259" w:lineRule="auto"/>
            </w:pPr>
            <w:r>
              <w:rPr>
                <w:rFonts w:ascii="Calibri" w:hAnsi="Calibri"/>
                <w:b w:val="0"/>
                <w:i w:val="0"/>
                <w:color w:val="212121"/>
                <w:sz w:val="19"/>
              </w:rPr>
              <w:t>&lt; 120/80</w:t>
            </w:r>
          </w:p>
        </w:tc>
        <w:tc>
          <w:tcPr>
            <w:tcW w:type="dxa" w:w="1512"/>
            <w:vAlign w:val="top"/>
          </w:tcPr>
          <w:p>
            <w:pPr>
              <w:spacing w:after="40" w:before="0" w:line="259" w:lineRule="auto"/>
            </w:pPr>
            <w:r>
              <w:rPr>
                <w:rFonts w:ascii="Calibri" w:hAnsi="Calibri"/>
                <w:b w:val="0"/>
                <w:i w:val="0"/>
                <w:color w:val="212121"/>
                <w:sz w:val="19"/>
              </w:rPr>
              <w:t>≥ 140/90</w:t>
            </w:r>
          </w:p>
        </w:tc>
        <w:tc>
          <w:tcPr>
            <w:tcW w:type="dxa" w:w="1468"/>
            <w:vAlign w:val="top"/>
          </w:tcPr>
          <w:p>
            <w:pPr>
              <w:spacing w:after="60" w:line="259" w:lineRule="auto"/>
            </w:pPr>
            <w:r>
              <w:rPr>
                <w:rFonts w:ascii="Calibri" w:hAnsi="Calibri"/>
                <w:b w:val="0"/>
                <w:i w:val="0"/>
                <w:color w:val="212121"/>
                <w:sz w:val="19"/>
              </w:rPr>
              <w:t>Chronic hypertension stiffens penile arteries</w:t>
            </w:r>
          </w:p>
          <w:p>
            <w:pPr>
              <w:spacing w:after="40" w:line="252" w:lineRule="auto"/>
            </w:pPr>
            <w:hyperlink r:id="rId9">
              <w:r>
                <w:rPr>
                  <w:rFonts w:ascii="Calibri" w:hAnsi="Calibri" w:cs="Calibri"/>
                  <w:sz w:val="18"/>
                  <w:color w:val="1155CC"/>
                  <w:u w:val="single"/>
                </w:rPr>
                <w:t xml:space="preserve">https://www.ncbi.nlm.nih.gov/books/NBK562253/</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Fruit &amp; vegetable servings/day</w:t>
            </w:r>
          </w:p>
        </w:tc>
        <w:tc>
          <w:tcPr>
            <w:tcW w:type="dxa" w:w="1655"/>
            <w:vAlign w:val="top"/>
          </w:tcPr>
          <w:p>
            <w:pPr>
              <w:spacing w:after="40" w:before="0" w:line="259" w:lineRule="auto"/>
            </w:pPr>
            <w:r>
              <w:rPr>
                <w:rFonts w:ascii="Calibri" w:hAnsi="Calibri"/>
                <w:b w:val="0"/>
                <w:i w:val="0"/>
                <w:color w:val="212121"/>
                <w:sz w:val="19"/>
              </w:rPr>
              <w:t>Adults on refined/processed diets</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40" w:before="0" w:line="259" w:lineRule="auto"/>
            </w:pPr>
            <w:r>
              <w:rPr>
                <w:rFonts w:ascii="Calibri" w:hAnsi="Calibri"/>
                <w:b w:val="0"/>
                <w:i w:val="0"/>
                <w:color w:val="212121"/>
                <w:sz w:val="19"/>
              </w:rPr>
              <w:t>Low intake tracks with metabolic syndrome and ED</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quantity (hours/night)</w:t>
            </w:r>
          </w:p>
        </w:tc>
        <w:tc>
          <w:tcPr>
            <w:tcW w:type="dxa" w:w="1655"/>
            <w:vAlign w:val="top"/>
          </w:tcPr>
          <w:p>
            <w:pPr>
              <w:spacing w:after="40" w:before="0" w:line="259" w:lineRule="auto"/>
            </w:pPr>
            <w:r>
              <w:rPr>
                <w:rFonts w:ascii="Calibri" w:hAnsi="Calibri"/>
                <w:b w:val="0"/>
                <w:i w:val="0"/>
                <w:color w:val="212121"/>
                <w:sz w:val="19"/>
              </w:rPr>
              <w:t>Adults, shift workers, OSA</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h/night or untreated OSA</w:t>
            </w:r>
          </w:p>
        </w:tc>
        <w:tc>
          <w:tcPr>
            <w:tcW w:type="dxa" w:w="1468"/>
            <w:vAlign w:val="top"/>
          </w:tcPr>
          <w:p>
            <w:pPr>
              <w:spacing w:after="40" w:before="0" w:line="259" w:lineRule="auto"/>
            </w:pPr>
            <w:r>
              <w:rPr>
                <w:rFonts w:ascii="Calibri" w:hAnsi="Calibri"/>
                <w:b w:val="0"/>
                <w:i w:val="0"/>
                <w:color w:val="212121"/>
                <w:sz w:val="19"/>
              </w:rPr>
              <w:t>Poor sleep lowers testosterone and worsens ED</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Smokers, tobacco users</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 1/day (dose-dependent)</w:t>
            </w:r>
          </w:p>
        </w:tc>
        <w:tc>
          <w:tcPr>
            <w:tcW w:type="dxa" w:w="1468"/>
            <w:vAlign w:val="top"/>
          </w:tcPr>
          <w:p>
            <w:pPr>
              <w:spacing w:after="60" w:line="259" w:lineRule="auto"/>
            </w:pPr>
            <w:r>
              <w:rPr>
                <w:rFonts w:ascii="Calibri" w:hAnsi="Calibri"/>
                <w:b w:val="0"/>
                <w:i w:val="0"/>
                <w:color w:val="212121"/>
                <w:sz w:val="19"/>
              </w:rPr>
              <w:t>Any tobacco impairs cavernosal nitric-oxide signalling</w:t>
            </w:r>
          </w:p>
          <w:p>
            <w:pPr>
              <w:spacing w:after="40" w:line="252" w:lineRule="auto"/>
            </w:pPr>
            <w:hyperlink r:id="rId15">
              <w:r>
                <w:rPr>
                  <w:rFonts w:ascii="Calibri" w:hAnsi="Calibri" w:cs="Calibri"/>
                  <w:sz w:val="18"/>
                  <w:color w:val="1155CC"/>
                  <w:u w:val="single"/>
                </w:rPr>
                <w:t xml:space="preserve">https://pubmed.ncbi.nlm.nih.gov/25052869/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 14 drinks/week</w:t>
            </w:r>
          </w:p>
        </w:tc>
        <w:tc>
          <w:tcPr>
            <w:tcW w:type="dxa" w:w="1512"/>
            <w:vAlign w:val="top"/>
          </w:tcPr>
          <w:p>
            <w:pPr>
              <w:spacing w:after="40" w:before="0" w:line="259" w:lineRule="auto"/>
            </w:pPr>
            <w:r>
              <w:rPr>
                <w:rFonts w:ascii="Calibri" w:hAnsi="Calibri"/>
                <w:b w:val="0"/>
                <w:i w:val="0"/>
                <w:color w:val="212121"/>
                <w:sz w:val="19"/>
              </w:rPr>
              <w:t>&gt; 14 drinks/week or binge</w:t>
            </w:r>
          </w:p>
        </w:tc>
        <w:tc>
          <w:tcPr>
            <w:tcW w:type="dxa" w:w="1468"/>
            <w:vAlign w:val="top"/>
          </w:tcPr>
          <w:p>
            <w:pPr>
              <w:spacing w:after="40" w:before="0" w:line="259" w:lineRule="auto"/>
            </w:pPr>
            <w:r>
              <w:rPr>
                <w:rFonts w:ascii="Calibri" w:hAnsi="Calibri"/>
                <w:b w:val="0"/>
                <w:i w:val="0"/>
                <w:color w:val="212121"/>
                <w:sz w:val="19"/>
              </w:rPr>
              <w:t>Heavy use causes hypogonadism and neuropathy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IIEF-5 (SHIM) score</w:t>
            </w:r>
          </w:p>
        </w:tc>
        <w:tc>
          <w:tcPr>
            <w:tcW w:type="dxa" w:w="1655"/>
            <w:vAlign w:val="top"/>
          </w:tcPr>
          <w:p>
            <w:pPr>
              <w:spacing w:after="40" w:before="0" w:line="259" w:lineRule="auto"/>
            </w:pPr>
            <w:r>
              <w:rPr>
                <w:rFonts w:ascii="Calibri" w:hAnsi="Calibri"/>
                <w:b w:val="0"/>
                <w:i w:val="0"/>
                <w:color w:val="212121"/>
                <w:sz w:val="19"/>
              </w:rPr>
              <w:t>Men reporting erectile difficulty</w:t>
            </w:r>
          </w:p>
        </w:tc>
        <w:tc>
          <w:tcPr>
            <w:tcW w:type="dxa" w:w="1512"/>
            <w:vAlign w:val="top"/>
          </w:tcPr>
          <w:p>
            <w:pPr>
              <w:spacing w:after="40" w:before="0" w:line="259" w:lineRule="auto"/>
            </w:pPr>
            <w:r>
              <w:rPr>
                <w:rFonts w:ascii="Calibri" w:hAnsi="Calibri"/>
                <w:b w:val="0"/>
                <w:i w:val="0"/>
                <w:color w:val="212121"/>
                <w:sz w:val="19"/>
              </w:rPr>
              <w:t>22–25 (no ED)</w:t>
            </w:r>
          </w:p>
        </w:tc>
        <w:tc>
          <w:tcPr>
            <w:tcW w:type="dxa" w:w="1512"/>
            <w:vAlign w:val="top"/>
          </w:tcPr>
          <w:p>
            <w:pPr>
              <w:spacing w:after="40" w:before="0" w:line="259" w:lineRule="auto"/>
            </w:pPr>
            <w:r>
              <w:rPr>
                <w:rFonts w:ascii="Calibri" w:hAnsi="Calibri"/>
                <w:b w:val="0"/>
                <w:i w:val="0"/>
                <w:color w:val="212121"/>
                <w:sz w:val="19"/>
              </w:rPr>
              <w:t>≤ 21 (ED present)</w:t>
            </w:r>
          </w:p>
        </w:tc>
        <w:tc>
          <w:tcPr>
            <w:tcW w:type="dxa" w:w="1468"/>
            <w:vAlign w:val="top"/>
          </w:tcPr>
          <w:p>
            <w:pPr>
              <w:spacing w:after="60" w:line="259" w:lineRule="auto"/>
            </w:pPr>
            <w:r>
              <w:rPr>
                <w:rFonts w:ascii="Calibri" w:hAnsi="Calibri"/>
                <w:b w:val="0"/>
                <w:i w:val="0"/>
                <w:color w:val="212121"/>
                <w:sz w:val="19"/>
              </w:rPr>
              <w:t>Validated screen; also grades severity 5–7 severe to 17–21 mild</w:t>
            </w:r>
          </w:p>
          <w:p>
            <w:pPr>
              <w:spacing w:after="40" w:line="252" w:lineRule="auto"/>
            </w:pPr>
            <w:hyperlink r:id="rId9">
              <w:r>
                <w:rPr>
                  <w:rFonts w:ascii="Calibri" w:hAnsi="Calibri" w:cs="Calibri"/>
                  <w:sz w:val="18"/>
                  <w:color w:val="1155CC"/>
                  <w:u w:val="single"/>
                </w:rPr>
                <w:t xml:space="preserve">https://www.ncbi.nlm.nih.gov/books/NBK562253/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Morning total testosterone</w:t>
            </w:r>
          </w:p>
        </w:tc>
        <w:tc>
          <w:tcPr>
            <w:tcW w:type="dxa" w:w="892"/>
            <w:vAlign w:val="top"/>
          </w:tcPr>
          <w:p>
            <w:pPr>
              <w:spacing w:after="40" w:before="0" w:line="259" w:lineRule="auto"/>
            </w:pPr>
            <w:r>
              <w:rPr>
                <w:rFonts w:ascii="Calibri" w:hAnsi="Calibri"/>
                <w:b w:val="0"/>
                <w:i w:val="0"/>
                <w:color w:val="212121"/>
                <w:sz w:val="16"/>
              </w:rPr>
              <w:t>Serum testosterone</w:t>
            </w:r>
          </w:p>
        </w:tc>
        <w:tc>
          <w:tcPr>
            <w:tcW w:type="dxa" w:w="950"/>
            <w:vAlign w:val="top"/>
          </w:tcPr>
          <w:p>
            <w:pPr>
              <w:spacing w:after="40" w:before="0" w:line="259" w:lineRule="auto"/>
            </w:pPr>
            <w:r>
              <w:rPr>
                <w:rFonts w:ascii="Calibri" w:hAnsi="Calibri"/>
                <w:b w:val="0"/>
                <w:i w:val="0"/>
                <w:color w:val="212121"/>
                <w:sz w:val="16"/>
              </w:rPr>
              <w:t>≈ 300–1000 ng/dL</w:t>
            </w:r>
          </w:p>
        </w:tc>
        <w:tc>
          <w:tcPr>
            <w:tcW w:type="dxa" w:w="950"/>
            <w:vAlign w:val="top"/>
          </w:tcPr>
          <w:p>
            <w:pPr>
              <w:spacing w:after="40" w:before="0" w:line="259" w:lineRule="auto"/>
            </w:pPr>
            <w:r>
              <w:rPr>
                <w:rFonts w:ascii="Calibri" w:hAnsi="Calibri"/>
                <w:b w:val="0"/>
                <w:i w:val="0"/>
                <w:color w:val="212121"/>
                <w:sz w:val="16"/>
              </w:rPr>
              <w:t>&lt; 300 ng/dL (repeat to confirm)</w:t>
            </w:r>
          </w:p>
        </w:tc>
        <w:tc>
          <w:tcPr>
            <w:tcW w:type="dxa" w:w="1036"/>
            <w:vAlign w:val="top"/>
          </w:tcPr>
          <w:p>
            <w:pPr>
              <w:spacing w:after="40" w:before="0" w:line="259" w:lineRule="auto"/>
            </w:pPr>
            <w:r>
              <w:rPr>
                <w:rFonts w:ascii="Calibri" w:hAnsi="Calibri"/>
                <w:b w:val="0"/>
                <w:i w:val="0"/>
                <w:color w:val="212121"/>
                <w:sz w:val="16"/>
              </w:rPr>
              <w:t>Low value indicates hypogonadism contributing to ED</w:t>
            </w:r>
          </w:p>
        </w:tc>
        <w:tc>
          <w:tcPr>
            <w:tcW w:type="dxa" w:w="1036"/>
            <w:vAlign w:val="top"/>
          </w:tcPr>
          <w:p>
            <w:pPr>
              <w:spacing w:after="40" w:before="0" w:line="259" w:lineRule="auto"/>
            </w:pPr>
            <w:r>
              <w:rPr>
                <w:rFonts w:ascii="Calibri" w:hAnsi="Calibri"/>
                <w:b w:val="0"/>
                <w:i w:val="0"/>
                <w:color w:val="212121"/>
                <w:sz w:val="16"/>
              </w:rPr>
              <w:t>Men with low libido, small testes, fatigue</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Draw before 11 am; confirm low results and add LH/FSH, prolactin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HbA1c ≥ 6.5%</w:t>
            </w:r>
          </w:p>
        </w:tc>
        <w:tc>
          <w:tcPr>
            <w:tcW w:type="dxa" w:w="1036"/>
            <w:vAlign w:val="top"/>
          </w:tcPr>
          <w:p>
            <w:pPr>
              <w:spacing w:after="40" w:before="0" w:line="259" w:lineRule="auto"/>
            </w:pPr>
            <w:r>
              <w:rPr>
                <w:rFonts w:ascii="Calibri" w:hAnsi="Calibri"/>
                <w:b w:val="0"/>
                <w:i w:val="0"/>
                <w:color w:val="212121"/>
                <w:sz w:val="16"/>
              </w:rPr>
              <w:t>Detects diabetes/prediabetes, a major vasculogenic-neurogenic cause</w:t>
            </w:r>
          </w:p>
        </w:tc>
        <w:tc>
          <w:tcPr>
            <w:tcW w:type="dxa" w:w="1036"/>
            <w:vAlign w:val="top"/>
          </w:tcPr>
          <w:p>
            <w:pPr>
              <w:spacing w:after="40" w:before="0" w:line="259" w:lineRule="auto"/>
            </w:pPr>
            <w:r>
              <w:rPr>
                <w:rFonts w:ascii="Calibri" w:hAnsi="Calibri"/>
                <w:b w:val="0"/>
                <w:i w:val="0"/>
                <w:color w:val="212121"/>
                <w:sz w:val="16"/>
              </w:rPr>
              <w:t>Middle-aged men, central obesity, family history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Diabetes markedly raises ED severity and lowers PDE5i response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HDL &gt; 40; TG &lt; 150 mg/dL</w:t>
            </w:r>
          </w:p>
        </w:tc>
        <w:tc>
          <w:tcPr>
            <w:tcW w:type="dxa" w:w="950"/>
            <w:vAlign w:val="top"/>
          </w:tcPr>
          <w:p>
            <w:pPr>
              <w:spacing w:after="40" w:before="0" w:line="259" w:lineRule="auto"/>
            </w:pPr>
            <w:r>
              <w:rPr>
                <w:rFonts w:ascii="Calibri" w:hAnsi="Calibri"/>
                <w:b w:val="0"/>
                <w:i w:val="0"/>
                <w:color w:val="212121"/>
                <w:sz w:val="16"/>
              </w:rPr>
              <w:t>High LDL/TG, low HDL</w:t>
            </w:r>
          </w:p>
        </w:tc>
        <w:tc>
          <w:tcPr>
            <w:tcW w:type="dxa" w:w="1036"/>
            <w:vAlign w:val="top"/>
          </w:tcPr>
          <w:p>
            <w:pPr>
              <w:spacing w:after="40" w:before="0" w:line="259" w:lineRule="auto"/>
            </w:pPr>
            <w:r>
              <w:rPr>
                <w:rFonts w:ascii="Calibri" w:hAnsi="Calibri"/>
                <w:b w:val="0"/>
                <w:i w:val="0"/>
                <w:color w:val="212121"/>
                <w:sz w:val="16"/>
              </w:rPr>
              <w:t>Dyslipidaemia drives cavernosal atherosclerosis</w:t>
            </w:r>
          </w:p>
        </w:tc>
        <w:tc>
          <w:tcPr>
            <w:tcW w:type="dxa" w:w="1036"/>
            <w:vAlign w:val="top"/>
          </w:tcPr>
          <w:p>
            <w:pPr>
              <w:spacing w:after="40" w:before="0" w:line="259" w:lineRule="auto"/>
            </w:pPr>
            <w:r>
              <w:rPr>
                <w:rFonts w:ascii="Calibri" w:hAnsi="Calibri"/>
                <w:b w:val="0"/>
                <w:i w:val="0"/>
                <w:color w:val="212121"/>
                <w:sz w:val="16"/>
              </w:rPr>
              <w:t>Men with CVD risk, obesity</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Present in a large share of ED cases; guides CV risk stratification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Hormonal</w:t>
            </w:r>
          </w:p>
        </w:tc>
        <w:tc>
          <w:tcPr>
            <w:tcW w:type="dxa" w:w="1036"/>
            <w:vAlign w:val="top"/>
          </w:tcPr>
          <w:p>
            <w:pPr>
              <w:spacing w:after="40" w:before="0" w:line="259" w:lineRule="auto"/>
            </w:pPr>
            <w:r>
              <w:rPr>
                <w:rFonts w:ascii="Calibri" w:hAnsi="Calibri"/>
                <w:b w:val="0"/>
                <w:i w:val="0"/>
                <w:color w:val="212121"/>
                <w:sz w:val="16"/>
              </w:rPr>
              <w:t>Serum prolactin / TSH</w:t>
            </w:r>
          </w:p>
        </w:tc>
        <w:tc>
          <w:tcPr>
            <w:tcW w:type="dxa" w:w="892"/>
            <w:vAlign w:val="top"/>
          </w:tcPr>
          <w:p>
            <w:pPr>
              <w:spacing w:after="40" w:before="0" w:line="259" w:lineRule="auto"/>
            </w:pPr>
            <w:r>
              <w:rPr>
                <w:rFonts w:ascii="Calibri" w:hAnsi="Calibri"/>
                <w:b w:val="0"/>
                <w:i w:val="0"/>
                <w:color w:val="212121"/>
                <w:sz w:val="16"/>
              </w:rPr>
              <w:t>Endocrine screen</w:t>
            </w:r>
          </w:p>
        </w:tc>
        <w:tc>
          <w:tcPr>
            <w:tcW w:type="dxa" w:w="950"/>
            <w:vAlign w:val="top"/>
          </w:tcPr>
          <w:p>
            <w:pPr>
              <w:spacing w:after="40" w:before="0" w:line="259" w:lineRule="auto"/>
            </w:pPr>
            <w:r>
              <w:rPr>
                <w:rFonts w:ascii="Calibri" w:hAnsi="Calibri"/>
                <w:b w:val="0"/>
                <w:i w:val="0"/>
                <w:color w:val="212121"/>
                <w:sz w:val="16"/>
              </w:rPr>
              <w:t>Prolactin normal; TSH 0.4–4.0 mIU/L</w:t>
            </w:r>
          </w:p>
        </w:tc>
        <w:tc>
          <w:tcPr>
            <w:tcW w:type="dxa" w:w="950"/>
            <w:vAlign w:val="top"/>
          </w:tcPr>
          <w:p>
            <w:pPr>
              <w:spacing w:after="40" w:before="0" w:line="259" w:lineRule="auto"/>
            </w:pPr>
            <w:r>
              <w:rPr>
                <w:rFonts w:ascii="Calibri" w:hAnsi="Calibri"/>
                <w:b w:val="0"/>
                <w:i w:val="0"/>
                <w:color w:val="212121"/>
                <w:sz w:val="16"/>
              </w:rPr>
              <w:t>High prolactin or abnormal TSH</w:t>
            </w:r>
          </w:p>
        </w:tc>
        <w:tc>
          <w:tcPr>
            <w:tcW w:type="dxa" w:w="1036"/>
            <w:vAlign w:val="top"/>
          </w:tcPr>
          <w:p>
            <w:pPr>
              <w:spacing w:after="40" w:before="0" w:line="259" w:lineRule="auto"/>
            </w:pPr>
            <w:r>
              <w:rPr>
                <w:rFonts w:ascii="Calibri" w:hAnsi="Calibri"/>
                <w:b w:val="0"/>
                <w:i w:val="0"/>
                <w:color w:val="212121"/>
                <w:sz w:val="16"/>
              </w:rPr>
              <w:t>Hyperprolactinaemia or thyroid disease as reversible endocrine causes</w:t>
            </w:r>
          </w:p>
        </w:tc>
        <w:tc>
          <w:tcPr>
            <w:tcW w:type="dxa" w:w="1036"/>
            <w:vAlign w:val="top"/>
          </w:tcPr>
          <w:p>
            <w:pPr>
              <w:spacing w:after="40" w:before="0" w:line="259" w:lineRule="auto"/>
            </w:pPr>
            <w:r>
              <w:rPr>
                <w:rFonts w:ascii="Calibri" w:hAnsi="Calibri"/>
                <w:b w:val="0"/>
                <w:i w:val="0"/>
                <w:color w:val="212121"/>
                <w:sz w:val="16"/>
              </w:rPr>
              <w:t>Men with very low testosterone or low libido</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Check when testosterone is low or libido disproportionately reduced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Penile duplex Doppler (peak systolic velocity)</w:t>
            </w:r>
          </w:p>
        </w:tc>
        <w:tc>
          <w:tcPr>
            <w:tcW w:type="dxa" w:w="892"/>
            <w:vAlign w:val="top"/>
          </w:tcPr>
          <w:p>
            <w:pPr>
              <w:spacing w:after="40" w:before="0" w:line="259" w:lineRule="auto"/>
            </w:pPr>
            <w:r>
              <w:rPr>
                <w:rFonts w:ascii="Calibri" w:hAnsi="Calibri"/>
                <w:b w:val="0"/>
                <w:i w:val="0"/>
                <w:color w:val="212121"/>
                <w:sz w:val="16"/>
              </w:rPr>
              <w:t>Penile Doppler USG</w:t>
            </w:r>
          </w:p>
        </w:tc>
        <w:tc>
          <w:tcPr>
            <w:tcW w:type="dxa" w:w="950"/>
            <w:vAlign w:val="top"/>
          </w:tcPr>
          <w:p>
            <w:pPr>
              <w:spacing w:after="40" w:before="0" w:line="259" w:lineRule="auto"/>
            </w:pPr>
            <w:r>
              <w:rPr>
                <w:rFonts w:ascii="Calibri" w:hAnsi="Calibri"/>
                <w:b w:val="0"/>
                <w:i w:val="0"/>
                <w:color w:val="212121"/>
                <w:sz w:val="16"/>
              </w:rPr>
              <w:t>PSV &gt; 35 cm/s</w:t>
            </w:r>
          </w:p>
        </w:tc>
        <w:tc>
          <w:tcPr>
            <w:tcW w:type="dxa" w:w="950"/>
            <w:vAlign w:val="top"/>
          </w:tcPr>
          <w:p>
            <w:pPr>
              <w:spacing w:after="40" w:before="0" w:line="259" w:lineRule="auto"/>
            </w:pPr>
            <w:r>
              <w:rPr>
                <w:rFonts w:ascii="Calibri" w:hAnsi="Calibri"/>
                <w:b w:val="0"/>
                <w:i w:val="0"/>
                <w:color w:val="212121"/>
                <w:sz w:val="16"/>
              </w:rPr>
              <w:t>PSV &lt; 25 cm/s (arterial insufficiency); RI &lt; 0.75 (venous leak)</w:t>
            </w:r>
          </w:p>
        </w:tc>
        <w:tc>
          <w:tcPr>
            <w:tcW w:type="dxa" w:w="1036"/>
            <w:vAlign w:val="top"/>
          </w:tcPr>
          <w:p>
            <w:pPr>
              <w:spacing w:after="40" w:before="0" w:line="259" w:lineRule="auto"/>
            </w:pPr>
            <w:r>
              <w:rPr>
                <w:rFonts w:ascii="Calibri" w:hAnsi="Calibri"/>
                <w:b w:val="0"/>
                <w:i w:val="0"/>
                <w:color w:val="212121"/>
                <w:sz w:val="16"/>
              </w:rPr>
              <w:t>Distinguishes arteriogenic from veno-occlusive vasculogenic ED</w:t>
            </w:r>
          </w:p>
        </w:tc>
        <w:tc>
          <w:tcPr>
            <w:tcW w:type="dxa" w:w="1036"/>
            <w:vAlign w:val="top"/>
          </w:tcPr>
          <w:p>
            <w:pPr>
              <w:spacing w:after="40" w:before="0" w:line="259" w:lineRule="auto"/>
            </w:pPr>
            <w:r>
              <w:rPr>
                <w:rFonts w:ascii="Calibri" w:hAnsi="Calibri"/>
                <w:b w:val="0"/>
                <w:i w:val="0"/>
                <w:color w:val="212121"/>
                <w:sz w:val="16"/>
              </w:rPr>
              <w:t>Younger men, trauma, treatment-resistant 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Performed after intracavernosal vasodilator; ~100% sensitivity for arterial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Nocturnal penile tumescence (NPT)</w:t>
            </w:r>
          </w:p>
        </w:tc>
        <w:tc>
          <w:tcPr>
            <w:tcW w:type="dxa" w:w="892"/>
            <w:vAlign w:val="top"/>
          </w:tcPr>
          <w:p>
            <w:pPr>
              <w:spacing w:after="40" w:before="0" w:line="259" w:lineRule="auto"/>
            </w:pPr>
            <w:r>
              <w:rPr>
                <w:rFonts w:ascii="Calibri" w:hAnsi="Calibri"/>
                <w:b w:val="0"/>
                <w:i w:val="0"/>
                <w:color w:val="212121"/>
                <w:sz w:val="16"/>
              </w:rPr>
              <w:t>NPT / RigiScan</w:t>
            </w:r>
          </w:p>
        </w:tc>
        <w:tc>
          <w:tcPr>
            <w:tcW w:type="dxa" w:w="950"/>
            <w:vAlign w:val="top"/>
          </w:tcPr>
          <w:p>
            <w:pPr>
              <w:spacing w:after="40" w:before="0" w:line="259" w:lineRule="auto"/>
            </w:pPr>
            <w:r>
              <w:rPr>
                <w:rFonts w:ascii="Calibri" w:hAnsi="Calibri"/>
                <w:b w:val="0"/>
                <w:i w:val="0"/>
                <w:color w:val="212121"/>
                <w:sz w:val="16"/>
              </w:rPr>
              <w:t>3–6 rigid erections/night, &gt; 70% rigidity</w:t>
            </w:r>
          </w:p>
        </w:tc>
        <w:tc>
          <w:tcPr>
            <w:tcW w:type="dxa" w:w="950"/>
            <w:vAlign w:val="top"/>
          </w:tcPr>
          <w:p>
            <w:pPr>
              <w:spacing w:after="40" w:before="0" w:line="259" w:lineRule="auto"/>
            </w:pPr>
            <w:r>
              <w:rPr>
                <w:rFonts w:ascii="Calibri" w:hAnsi="Calibri"/>
                <w:b w:val="0"/>
                <w:i w:val="0"/>
                <w:color w:val="212121"/>
                <w:sz w:val="16"/>
              </w:rPr>
              <w:t>Absent or poor-quality nocturnal erections</w:t>
            </w:r>
          </w:p>
        </w:tc>
        <w:tc>
          <w:tcPr>
            <w:tcW w:type="dxa" w:w="1036"/>
            <w:vAlign w:val="top"/>
          </w:tcPr>
          <w:p>
            <w:pPr>
              <w:spacing w:after="40" w:before="0" w:line="259" w:lineRule="auto"/>
            </w:pPr>
            <w:r>
              <w:rPr>
                <w:rFonts w:ascii="Calibri" w:hAnsi="Calibri"/>
                <w:b w:val="0"/>
                <w:i w:val="0"/>
                <w:color w:val="212121"/>
                <w:sz w:val="16"/>
              </w:rPr>
              <w:t>Preserved NPT suggests psychogenic; absent NPT suggests organic ED</w:t>
            </w:r>
          </w:p>
        </w:tc>
        <w:tc>
          <w:tcPr>
            <w:tcW w:type="dxa" w:w="1036"/>
            <w:vAlign w:val="top"/>
          </w:tcPr>
          <w:p>
            <w:pPr>
              <w:spacing w:after="40" w:before="0" w:line="259" w:lineRule="auto"/>
            </w:pPr>
            <w:r>
              <w:rPr>
                <w:rFonts w:ascii="Calibri" w:hAnsi="Calibri"/>
                <w:b w:val="0"/>
                <w:i w:val="0"/>
                <w:color w:val="212121"/>
                <w:sz w:val="16"/>
              </w:rPr>
              <w:t>Uncertain organic-vs-psychogenic cases, medicolegal</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Assessed over ~3 nights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history (IIEF-5)</w:t>
            </w:r>
          </w:p>
        </w:tc>
        <w:tc>
          <w:tcPr>
            <w:tcW w:type="dxa" w:w="979"/>
            <w:vAlign w:val="top"/>
          </w:tcPr>
          <w:p>
            <w:pPr>
              <w:spacing w:after="40" w:before="0" w:line="259" w:lineRule="auto"/>
            </w:pPr>
            <w:r>
              <w:rPr>
                <w:rFonts w:ascii="Calibri" w:hAnsi="Calibri"/>
                <w:b w:val="0"/>
                <w:i w:val="0"/>
                <w:color w:val="212121"/>
                <w:sz w:val="16"/>
              </w:rPr>
              <w:t>Onset, nocturnal/morning erections, severity</w:t>
            </w:r>
          </w:p>
        </w:tc>
        <w:tc>
          <w:tcPr>
            <w:tcW w:type="dxa" w:w="950"/>
            <w:vAlign w:val="top"/>
          </w:tcPr>
          <w:p>
            <w:pPr>
              <w:spacing w:after="40" w:before="0" w:line="259" w:lineRule="auto"/>
            </w:pPr>
            <w:r>
              <w:rPr>
                <w:rFonts w:ascii="Calibri" w:hAnsi="Calibri"/>
                <w:b w:val="0"/>
                <w:i w:val="0"/>
                <w:color w:val="212121"/>
                <w:sz w:val="16"/>
              </w:rPr>
              <w:t>Sudden onset, preserved morning erections</w:t>
            </w:r>
          </w:p>
        </w:tc>
        <w:tc>
          <w:tcPr>
            <w:tcW w:type="dxa" w:w="950"/>
            <w:vAlign w:val="top"/>
          </w:tcPr>
          <w:p>
            <w:pPr>
              <w:spacing w:after="40" w:before="0" w:line="259" w:lineRule="auto"/>
            </w:pPr>
            <w:r>
              <w:rPr>
                <w:rFonts w:ascii="Calibri" w:hAnsi="Calibri"/>
                <w:b w:val="0"/>
                <w:i w:val="0"/>
                <w:color w:val="212121"/>
                <w:sz w:val="16"/>
              </w:rPr>
              <w:t>Gradual onset, absent nocturnal erections, IIEF-5 ≤ 21</w:t>
            </w:r>
          </w:p>
        </w:tc>
        <w:tc>
          <w:tcPr>
            <w:tcW w:type="dxa" w:w="1036"/>
            <w:vAlign w:val="top"/>
          </w:tcPr>
          <w:p>
            <w:pPr>
              <w:spacing w:after="40" w:before="0" w:line="259" w:lineRule="auto"/>
            </w:pPr>
            <w:r>
              <w:rPr>
                <w:rFonts w:ascii="Calibri" w:hAnsi="Calibri"/>
                <w:b w:val="0"/>
                <w:i w:val="0"/>
                <w:color w:val="212121"/>
                <w:sz w:val="16"/>
              </w:rPr>
              <w:t>Differentiates psychogenic from organic ED and grades severity</w:t>
            </w:r>
          </w:p>
        </w:tc>
        <w:tc>
          <w:tcPr>
            <w:tcW w:type="dxa" w:w="1036"/>
            <w:vAlign w:val="top"/>
          </w:tcPr>
          <w:p>
            <w:pPr>
              <w:spacing w:after="40" w:before="0" w:line="259" w:lineRule="auto"/>
            </w:pPr>
            <w:r>
              <w:rPr>
                <w:rFonts w:ascii="Calibri" w:hAnsi="Calibri"/>
                <w:b w:val="0"/>
                <w:i w:val="0"/>
                <w:color w:val="212121"/>
                <w:sz w:val="16"/>
              </w:rPr>
              <w:t>All men presenting with ED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validated IIEF-5/SHIM questionnaire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Comorbidity &amp; drug review</w:t>
            </w:r>
          </w:p>
        </w:tc>
        <w:tc>
          <w:tcPr>
            <w:tcW w:type="dxa" w:w="979"/>
            <w:vAlign w:val="top"/>
          </w:tcPr>
          <w:p>
            <w:pPr>
              <w:spacing w:after="40" w:before="0" w:line="259" w:lineRule="auto"/>
            </w:pPr>
            <w:r>
              <w:rPr>
                <w:rFonts w:ascii="Calibri" w:hAnsi="Calibri"/>
                <w:b w:val="0"/>
                <w:i w:val="0"/>
                <w:color w:val="212121"/>
                <w:sz w:val="16"/>
              </w:rPr>
              <w:t>Diabetes, HTN, CVD, medications</w:t>
            </w:r>
          </w:p>
        </w:tc>
        <w:tc>
          <w:tcPr>
            <w:tcW w:type="dxa" w:w="950"/>
            <w:vAlign w:val="top"/>
          </w:tcPr>
          <w:p>
            <w:pPr>
              <w:spacing w:after="40" w:before="0" w:line="259" w:lineRule="auto"/>
            </w:pPr>
            <w:r>
              <w:rPr>
                <w:rFonts w:ascii="Calibri" w:hAnsi="Calibri"/>
                <w:b w:val="0"/>
                <w:i w:val="0"/>
                <w:color w:val="212121"/>
                <w:sz w:val="16"/>
              </w:rPr>
              <w:t>No cardiometabolic disease or offending drug</w:t>
            </w:r>
          </w:p>
        </w:tc>
        <w:tc>
          <w:tcPr>
            <w:tcW w:type="dxa" w:w="950"/>
            <w:vAlign w:val="top"/>
          </w:tcPr>
          <w:p>
            <w:pPr>
              <w:spacing w:after="40" w:before="0" w:line="259" w:lineRule="auto"/>
            </w:pPr>
            <w:r>
              <w:rPr>
                <w:rFonts w:ascii="Calibri" w:hAnsi="Calibri"/>
                <w:b w:val="0"/>
                <w:i w:val="0"/>
                <w:color w:val="212121"/>
                <w:sz w:val="16"/>
              </w:rPr>
              <w:t>Diabetes/HTN/CVD or SSRIs, thiazides, beta-blockers, finasteride</w:t>
            </w:r>
          </w:p>
        </w:tc>
        <w:tc>
          <w:tcPr>
            <w:tcW w:type="dxa" w:w="1036"/>
            <w:vAlign w:val="top"/>
          </w:tcPr>
          <w:p>
            <w:pPr>
              <w:spacing w:after="40" w:before="0" w:line="259" w:lineRule="auto"/>
            </w:pPr>
            <w:r>
              <w:rPr>
                <w:rFonts w:ascii="Calibri" w:hAnsi="Calibri"/>
                <w:b w:val="0"/>
                <w:i w:val="0"/>
                <w:color w:val="212121"/>
                <w:sz w:val="16"/>
              </w:rPr>
              <w:t>Identifies vasculogenic and drug-induced causes</w:t>
            </w:r>
          </w:p>
        </w:tc>
        <w:tc>
          <w:tcPr>
            <w:tcW w:type="dxa" w:w="1036"/>
            <w:vAlign w:val="top"/>
          </w:tcPr>
          <w:p>
            <w:pPr>
              <w:spacing w:after="40" w:before="0" w:line="259" w:lineRule="auto"/>
            </w:pPr>
            <w:r>
              <w:rPr>
                <w:rFonts w:ascii="Calibri" w:hAnsi="Calibri"/>
                <w:b w:val="0"/>
                <w:i w:val="0"/>
                <w:color w:val="212121"/>
                <w:sz w:val="16"/>
              </w:rPr>
              <w:t>Middle-aged/elderly, polypharmacy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Roughly a quarter of ED is drug-related and potentially reversible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assessment</w:t>
            </w:r>
          </w:p>
        </w:tc>
        <w:tc>
          <w:tcPr>
            <w:tcW w:type="dxa" w:w="979"/>
            <w:vAlign w:val="top"/>
          </w:tcPr>
          <w:p>
            <w:pPr>
              <w:spacing w:after="40" w:before="0" w:line="259" w:lineRule="auto"/>
            </w:pPr>
            <w:r>
              <w:rPr>
                <w:rFonts w:ascii="Calibri" w:hAnsi="Calibri"/>
                <w:b w:val="0"/>
                <w:i w:val="0"/>
                <w:color w:val="212121"/>
                <w:sz w:val="16"/>
              </w:rPr>
              <w:t>Depression, anxiety, stress, relationship</w:t>
            </w:r>
          </w:p>
        </w:tc>
        <w:tc>
          <w:tcPr>
            <w:tcW w:type="dxa" w:w="950"/>
            <w:vAlign w:val="top"/>
          </w:tcPr>
          <w:p>
            <w:pPr>
              <w:spacing w:after="40" w:before="0" w:line="259" w:lineRule="auto"/>
            </w:pPr>
            <w:r>
              <w:rPr>
                <w:rFonts w:ascii="Calibri" w:hAnsi="Calibri"/>
                <w:b w:val="0"/>
                <w:i w:val="0"/>
                <w:color w:val="212121"/>
                <w:sz w:val="16"/>
              </w:rPr>
              <w:t>No psychological distress</w:t>
            </w:r>
          </w:p>
        </w:tc>
        <w:tc>
          <w:tcPr>
            <w:tcW w:type="dxa" w:w="950"/>
            <w:vAlign w:val="top"/>
          </w:tcPr>
          <w:p>
            <w:pPr>
              <w:spacing w:after="40" w:before="0" w:line="259" w:lineRule="auto"/>
            </w:pPr>
            <w:r>
              <w:rPr>
                <w:rFonts w:ascii="Calibri" w:hAnsi="Calibri"/>
                <w:b w:val="0"/>
                <w:i w:val="0"/>
                <w:color w:val="212121"/>
                <w:sz w:val="16"/>
              </w:rPr>
              <w:t>Depression/anxiety, performance anxiety, discord</w:t>
            </w:r>
          </w:p>
        </w:tc>
        <w:tc>
          <w:tcPr>
            <w:tcW w:type="dxa" w:w="1036"/>
            <w:vAlign w:val="top"/>
          </w:tcPr>
          <w:p>
            <w:pPr>
              <w:spacing w:after="40" w:before="0" w:line="259" w:lineRule="auto"/>
            </w:pPr>
            <w:r>
              <w:rPr>
                <w:rFonts w:ascii="Calibri" w:hAnsi="Calibri"/>
                <w:b w:val="0"/>
                <w:i w:val="0"/>
                <w:color w:val="212121"/>
                <w:sz w:val="16"/>
              </w:rPr>
              <w:t>Detects psychogenic drivers and treatment barriers</w:t>
            </w:r>
          </w:p>
        </w:tc>
        <w:tc>
          <w:tcPr>
            <w:tcW w:type="dxa" w:w="1036"/>
            <w:vAlign w:val="top"/>
          </w:tcPr>
          <w:p>
            <w:pPr>
              <w:spacing w:after="40" w:before="0" w:line="259" w:lineRule="auto"/>
            </w:pPr>
            <w:r>
              <w:rPr>
                <w:rFonts w:ascii="Calibri" w:hAnsi="Calibri"/>
                <w:b w:val="0"/>
                <w:i w:val="0"/>
                <w:color w:val="212121"/>
                <w:sz w:val="16"/>
              </w:rPr>
              <w:t>Younger men, situational ED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ED and depression are bidirectional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Genital &amp; endocrine exam</w:t>
            </w:r>
          </w:p>
        </w:tc>
        <w:tc>
          <w:tcPr>
            <w:tcW w:type="dxa" w:w="979"/>
            <w:vAlign w:val="top"/>
          </w:tcPr>
          <w:p>
            <w:pPr>
              <w:spacing w:after="40" w:before="0" w:line="259" w:lineRule="auto"/>
            </w:pPr>
            <w:r>
              <w:rPr>
                <w:rFonts w:ascii="Calibri" w:hAnsi="Calibri"/>
                <w:b w:val="0"/>
                <w:i w:val="0"/>
                <w:color w:val="212121"/>
                <w:sz w:val="16"/>
              </w:rPr>
              <w:t>Penile plaques, testicular size, secondary sex characters</w:t>
            </w:r>
          </w:p>
        </w:tc>
        <w:tc>
          <w:tcPr>
            <w:tcW w:type="dxa" w:w="950"/>
            <w:vAlign w:val="top"/>
          </w:tcPr>
          <w:p>
            <w:pPr>
              <w:spacing w:after="40" w:before="0" w:line="259" w:lineRule="auto"/>
            </w:pPr>
            <w:r>
              <w:rPr>
                <w:rFonts w:ascii="Calibri" w:hAnsi="Calibri"/>
                <w:b w:val="0"/>
                <w:i w:val="0"/>
                <w:color w:val="212121"/>
                <w:sz w:val="16"/>
              </w:rPr>
              <w:t>Normal penis and testes, normal virilisation</w:t>
            </w:r>
          </w:p>
        </w:tc>
        <w:tc>
          <w:tcPr>
            <w:tcW w:type="dxa" w:w="950"/>
            <w:vAlign w:val="top"/>
          </w:tcPr>
          <w:p>
            <w:pPr>
              <w:spacing w:after="40" w:before="0" w:line="259" w:lineRule="auto"/>
            </w:pPr>
            <w:r>
              <w:rPr>
                <w:rFonts w:ascii="Calibri" w:hAnsi="Calibri"/>
                <w:b w:val="0"/>
                <w:i w:val="0"/>
                <w:color w:val="212121"/>
                <w:sz w:val="16"/>
              </w:rPr>
              <w:t>Peyronie plaque, small/soft testes, reduced hair, gynaecomastia</w:t>
            </w:r>
          </w:p>
        </w:tc>
        <w:tc>
          <w:tcPr>
            <w:tcW w:type="dxa" w:w="1036"/>
            <w:vAlign w:val="top"/>
          </w:tcPr>
          <w:p>
            <w:pPr>
              <w:spacing w:after="40" w:before="0" w:line="259" w:lineRule="auto"/>
            </w:pPr>
            <w:r>
              <w:rPr>
                <w:rFonts w:ascii="Calibri" w:hAnsi="Calibri"/>
                <w:b w:val="0"/>
                <w:i w:val="0"/>
                <w:color w:val="212121"/>
                <w:sz w:val="16"/>
              </w:rPr>
              <w:t>Detects Peyronie's disease and hypogonadism</w:t>
            </w:r>
          </w:p>
        </w:tc>
        <w:tc>
          <w:tcPr>
            <w:tcW w:type="dxa" w:w="1036"/>
            <w:vAlign w:val="top"/>
          </w:tcPr>
          <w:p>
            <w:pPr>
              <w:spacing w:after="40" w:before="0" w:line="259" w:lineRule="auto"/>
            </w:pPr>
            <w:r>
              <w:rPr>
                <w:rFonts w:ascii="Calibri" w:hAnsi="Calibri"/>
                <w:b w:val="0"/>
                <w:i w:val="0"/>
                <w:color w:val="212121"/>
                <w:sz w:val="16"/>
              </w:rPr>
              <w:t>Men with curvature, low libido</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Testicular atrophy suggests androgen deficiency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Cardiovascular &amp; peripheral vascular exam</w:t>
            </w:r>
          </w:p>
        </w:tc>
        <w:tc>
          <w:tcPr>
            <w:tcW w:type="dxa" w:w="979"/>
            <w:vAlign w:val="top"/>
          </w:tcPr>
          <w:p>
            <w:pPr>
              <w:spacing w:after="40" w:before="0" w:line="259" w:lineRule="auto"/>
            </w:pPr>
            <w:r>
              <w:rPr>
                <w:rFonts w:ascii="Calibri" w:hAnsi="Calibri"/>
                <w:b w:val="0"/>
                <w:i w:val="0"/>
                <w:color w:val="212121"/>
                <w:sz w:val="16"/>
              </w:rPr>
              <w:t>BP, peripheral pulses, bruits</w:t>
            </w:r>
          </w:p>
        </w:tc>
        <w:tc>
          <w:tcPr>
            <w:tcW w:type="dxa" w:w="950"/>
            <w:vAlign w:val="top"/>
          </w:tcPr>
          <w:p>
            <w:pPr>
              <w:spacing w:after="40" w:before="0" w:line="259" w:lineRule="auto"/>
            </w:pPr>
            <w:r>
              <w:rPr>
                <w:rFonts w:ascii="Calibri" w:hAnsi="Calibri"/>
                <w:b w:val="0"/>
                <w:i w:val="0"/>
                <w:color w:val="212121"/>
                <w:sz w:val="16"/>
              </w:rPr>
              <w:t>Normal BP and pulses</w:t>
            </w:r>
          </w:p>
        </w:tc>
        <w:tc>
          <w:tcPr>
            <w:tcW w:type="dxa" w:w="950"/>
            <w:vAlign w:val="top"/>
          </w:tcPr>
          <w:p>
            <w:pPr>
              <w:spacing w:after="40" w:before="0" w:line="259" w:lineRule="auto"/>
            </w:pPr>
            <w:r>
              <w:rPr>
                <w:rFonts w:ascii="Calibri" w:hAnsi="Calibri"/>
                <w:b w:val="0"/>
                <w:i w:val="0"/>
                <w:color w:val="212121"/>
                <w:sz w:val="16"/>
              </w:rPr>
              <w:t>Hypertension, diminished pulses, femoral bruit</w:t>
            </w:r>
          </w:p>
        </w:tc>
        <w:tc>
          <w:tcPr>
            <w:tcW w:type="dxa" w:w="1036"/>
            <w:vAlign w:val="top"/>
          </w:tcPr>
          <w:p>
            <w:pPr>
              <w:spacing w:after="40" w:before="0" w:line="259" w:lineRule="auto"/>
            </w:pPr>
            <w:r>
              <w:rPr>
                <w:rFonts w:ascii="Calibri" w:hAnsi="Calibri"/>
                <w:b w:val="0"/>
                <w:i w:val="0"/>
                <w:color w:val="212121"/>
                <w:sz w:val="16"/>
              </w:rPr>
              <w:t>ED is an early window on systemic atherosclerosis</w:t>
            </w:r>
          </w:p>
        </w:tc>
        <w:tc>
          <w:tcPr>
            <w:tcW w:type="dxa" w:w="1036"/>
            <w:vAlign w:val="top"/>
          </w:tcPr>
          <w:p>
            <w:pPr>
              <w:spacing w:after="40" w:before="0" w:line="259" w:lineRule="auto"/>
            </w:pPr>
            <w:r>
              <w:rPr>
                <w:rFonts w:ascii="Calibri" w:hAnsi="Calibri"/>
                <w:b w:val="0"/>
                <w:i w:val="0"/>
                <w:color w:val="212121"/>
                <w:sz w:val="16"/>
              </w:rPr>
              <w:t>Men with CVD risk factors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formal cardiovascular risk assessment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Focused neurological exam</w:t>
            </w:r>
          </w:p>
        </w:tc>
        <w:tc>
          <w:tcPr>
            <w:tcW w:type="dxa" w:w="979"/>
            <w:vAlign w:val="top"/>
          </w:tcPr>
          <w:p>
            <w:pPr>
              <w:spacing w:after="40" w:before="0" w:line="259" w:lineRule="auto"/>
            </w:pPr>
            <w:r>
              <w:rPr>
                <w:rFonts w:ascii="Calibri" w:hAnsi="Calibri"/>
                <w:b w:val="0"/>
                <w:i w:val="0"/>
                <w:color w:val="212121"/>
                <w:sz w:val="16"/>
              </w:rPr>
              <w:t>Perineal sensation, bulbocavernosus reflex, lower-limb neuropathy</w:t>
            </w:r>
          </w:p>
        </w:tc>
        <w:tc>
          <w:tcPr>
            <w:tcW w:type="dxa" w:w="950"/>
            <w:vAlign w:val="top"/>
          </w:tcPr>
          <w:p>
            <w:pPr>
              <w:spacing w:after="40" w:before="0" w:line="259" w:lineRule="auto"/>
            </w:pPr>
            <w:r>
              <w:rPr>
                <w:rFonts w:ascii="Calibri" w:hAnsi="Calibri"/>
                <w:b w:val="0"/>
                <w:i w:val="0"/>
                <w:color w:val="212121"/>
                <w:sz w:val="16"/>
              </w:rPr>
              <w:t>Intact sensation and reflexes</w:t>
            </w:r>
          </w:p>
        </w:tc>
        <w:tc>
          <w:tcPr>
            <w:tcW w:type="dxa" w:w="950"/>
            <w:vAlign w:val="top"/>
          </w:tcPr>
          <w:p>
            <w:pPr>
              <w:spacing w:after="40" w:before="0" w:line="259" w:lineRule="auto"/>
            </w:pPr>
            <w:r>
              <w:rPr>
                <w:rFonts w:ascii="Calibri" w:hAnsi="Calibri"/>
                <w:b w:val="0"/>
                <w:i w:val="0"/>
                <w:color w:val="212121"/>
                <w:sz w:val="16"/>
              </w:rPr>
              <w:t>Reduced perineal sensation, absent reflex, peripheral neuropathy</w:t>
            </w:r>
          </w:p>
        </w:tc>
        <w:tc>
          <w:tcPr>
            <w:tcW w:type="dxa" w:w="1036"/>
            <w:vAlign w:val="top"/>
          </w:tcPr>
          <w:p>
            <w:pPr>
              <w:spacing w:after="40" w:before="0" w:line="259" w:lineRule="auto"/>
            </w:pPr>
            <w:r>
              <w:rPr>
                <w:rFonts w:ascii="Calibri" w:hAnsi="Calibri"/>
                <w:b w:val="0"/>
                <w:i w:val="0"/>
                <w:color w:val="212121"/>
                <w:sz w:val="16"/>
              </w:rPr>
              <w:t>Suggests neurogenic ED (often diabetic)</w:t>
            </w:r>
          </w:p>
        </w:tc>
        <w:tc>
          <w:tcPr>
            <w:tcW w:type="dxa" w:w="1036"/>
            <w:vAlign w:val="top"/>
          </w:tcPr>
          <w:p>
            <w:pPr>
              <w:spacing w:after="40" w:before="0" w:line="259" w:lineRule="auto"/>
            </w:pPr>
            <w:r>
              <w:rPr>
                <w:rFonts w:ascii="Calibri" w:hAnsi="Calibri"/>
                <w:b w:val="0"/>
                <w:i w:val="0"/>
                <w:color w:val="212121"/>
                <w:sz w:val="16"/>
              </w:rPr>
              <w:t>Diabetics, spinal pathology, pelvic surgery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Correlate with glycaemic status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Difficulty achieving an erection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Inability to attain adequate penile rigidity when sexually aroused.</w:t>
            </w:r>
          </w:p>
        </w:tc>
      </w:tr>
      <w:tr>
        <w:trPr>
          <w:cantSplit/>
        </w:trPr>
        <w:tc>
          <w:tcPr>
            <w:tcW w:type="dxa" w:w="2304"/>
            <w:vAlign w:val="top"/>
          </w:tcPr>
          <w:p>
            <w:pPr>
              <w:spacing w:after="40" w:before="0" w:line="259" w:lineRule="auto"/>
            </w:pPr>
            <w:r>
              <w:rPr>
                <w:rFonts w:ascii="Calibri" w:hAnsi="Calibri"/>
                <w:b/>
                <w:i w:val="0"/>
                <w:color w:val="212121"/>
                <w:sz w:val="19"/>
              </w:rPr>
              <w:t>Difficulty maintaining an erection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Erection is lost before or during intercourse (detumescence).</w:t>
            </w:r>
          </w:p>
        </w:tc>
      </w:tr>
      <w:tr>
        <w:trPr>
          <w:cantSplit/>
        </w:trPr>
        <w:tc>
          <w:tcPr>
            <w:tcW w:type="dxa" w:w="2304"/>
            <w:vAlign w:val="top"/>
          </w:tcPr>
          <w:p>
            <w:pPr>
              <w:spacing w:after="40" w:before="0" w:line="259" w:lineRule="auto"/>
            </w:pPr>
            <w:r>
              <w:rPr>
                <w:rFonts w:ascii="Calibri" w:hAnsi="Calibri"/>
                <w:b/>
                <w:i w:val="0"/>
                <w:color w:val="212121"/>
                <w:sz w:val="19"/>
              </w:rPr>
              <w:t>Reduced erectile rigidity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Erections are softer and insufficient for penetration.</w:t>
            </w:r>
          </w:p>
        </w:tc>
      </w:tr>
      <w:tr>
        <w:trPr>
          <w:cantSplit/>
        </w:trPr>
        <w:tc>
          <w:tcPr>
            <w:tcW w:type="dxa" w:w="2304"/>
            <w:vAlign w:val="top"/>
          </w:tcPr>
          <w:p>
            <w:pPr>
              <w:spacing w:after="40" w:before="0" w:line="259" w:lineRule="auto"/>
            </w:pPr>
            <w:r>
              <w:rPr>
                <w:rFonts w:ascii="Calibri" w:hAnsi="Calibri"/>
                <w:b/>
                <w:i w:val="0"/>
                <w:color w:val="212121"/>
                <w:sz w:val="19"/>
              </w:rPr>
              <w:t>Reduced sexual desire (low libido)</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accompanies hypogonadism or depression.</w:t>
            </w:r>
          </w:p>
        </w:tc>
      </w:tr>
      <w:tr>
        <w:trPr>
          <w:cantSplit/>
        </w:trPr>
        <w:tc>
          <w:tcPr>
            <w:tcW w:type="dxa" w:w="2304"/>
            <w:vAlign w:val="top"/>
          </w:tcPr>
          <w:p>
            <w:pPr>
              <w:spacing w:after="40" w:before="0" w:line="259" w:lineRule="auto"/>
            </w:pPr>
            <w:r>
              <w:rPr>
                <w:rFonts w:ascii="Calibri" w:hAnsi="Calibri"/>
                <w:b/>
                <w:i w:val="0"/>
                <w:color w:val="212121"/>
                <w:sz w:val="19"/>
              </w:rPr>
              <w:t>Absent or reduced morning/nocturnal erections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spontaneous erections points to an organic cause.</w:t>
            </w:r>
          </w:p>
        </w:tc>
      </w:tr>
      <w:tr>
        <w:trPr>
          <w:cantSplit/>
        </w:trPr>
        <w:tc>
          <w:tcPr>
            <w:tcW w:type="dxa" w:w="2304"/>
            <w:vAlign w:val="top"/>
          </w:tcPr>
          <w:p>
            <w:pPr>
              <w:spacing w:after="40" w:before="0" w:line="259" w:lineRule="auto"/>
            </w:pPr>
            <w:r>
              <w:rPr>
                <w:rFonts w:ascii="Calibri" w:hAnsi="Calibri"/>
                <w:b/>
                <w:i w:val="0"/>
                <w:color w:val="212121"/>
                <w:sz w:val="19"/>
              </w:rPr>
              <w:t>Performance anxiety and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Fear of failure that further impairs arousal and perpetuates ED.</w:t>
            </w:r>
          </w:p>
        </w:tc>
      </w:tr>
      <w:tr>
        <w:trPr>
          <w:cantSplit/>
        </w:trPr>
        <w:tc>
          <w:tcPr>
            <w:tcW w:type="dxa" w:w="2304"/>
            <w:vAlign w:val="top"/>
          </w:tcPr>
          <w:p>
            <w:pPr>
              <w:spacing w:after="40" w:before="0" w:line="259" w:lineRule="auto"/>
            </w:pPr>
            <w:r>
              <w:rPr>
                <w:rFonts w:ascii="Calibri" w:hAnsi="Calibri"/>
                <w:b/>
                <w:i w:val="0"/>
                <w:color w:val="212121"/>
                <w:sz w:val="19"/>
              </w:rPr>
              <w:t>Reduced sexual satisfaction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Diminished confidence and enjoyment for the man and partner.</w:t>
            </w:r>
          </w:p>
        </w:tc>
      </w:tr>
      <w:tr>
        <w:trPr>
          <w:cantSplit/>
        </w:trPr>
        <w:tc>
          <w:tcPr>
            <w:tcW w:type="dxa" w:w="2304"/>
            <w:vAlign w:val="top"/>
          </w:tcPr>
          <w:p>
            <w:pPr>
              <w:spacing w:after="40" w:before="0" w:line="259" w:lineRule="auto"/>
            </w:pPr>
            <w:r>
              <w:rPr>
                <w:rFonts w:ascii="Calibri" w:hAnsi="Calibri"/>
                <w:b/>
                <w:i w:val="0"/>
                <w:color w:val="212121"/>
                <w:sz w:val="19"/>
              </w:rPr>
              <w:t>Associated premature or delayed ejaculation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Ejaculatory disorders frequently coexist with ED.</w:t>
            </w:r>
          </w:p>
        </w:tc>
      </w:tr>
      <w:tr>
        <w:trPr>
          <w:cantSplit/>
        </w:trPr>
        <w:tc>
          <w:tcPr>
            <w:tcW w:type="dxa" w:w="2304"/>
            <w:vAlign w:val="top"/>
          </w:tcPr>
          <w:p>
            <w:pPr>
              <w:spacing w:after="40" w:before="0" w:line="259" w:lineRule="auto"/>
            </w:pPr>
            <w:r>
              <w:rPr>
                <w:rFonts w:ascii="Calibri" w:hAnsi="Calibri"/>
                <w:b/>
                <w:i w:val="0"/>
                <w:color w:val="212121"/>
                <w:sz w:val="19"/>
              </w:rPr>
              <w:t>Relationship / marital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Secondary strain from unaddressed sexual dysfunction.</w:t>
            </w:r>
          </w:p>
        </w:tc>
      </w:tr>
      <w:tr>
        <w:trPr>
          <w:cantSplit/>
        </w:trPr>
        <w:tc>
          <w:tcPr>
            <w:tcW w:type="dxa" w:w="2304"/>
            <w:vAlign w:val="top"/>
          </w:tcPr>
          <w:p>
            <w:pPr>
              <w:spacing w:after="40" w:before="0" w:line="259" w:lineRule="auto"/>
            </w:pPr>
            <w:r>
              <w:rPr>
                <w:rFonts w:ascii="Calibri" w:hAnsi="Calibri"/>
                <w:b/>
                <w:i w:val="0"/>
                <w:color w:val="212121"/>
                <w:sz w:val="19"/>
              </w:rPr>
              <w:t>Painful erection or penile curvature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Peyronie's disease as a structural cause.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Elevated blood pressure / diminished peripheral pulses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systemic atherosclerosis underlying vasculogenic ED.</w:t>
            </w:r>
          </w:p>
        </w:tc>
      </w:tr>
      <w:tr>
        <w:trPr>
          <w:cantSplit/>
        </w:trPr>
        <w:tc>
          <w:tcPr>
            <w:tcW w:type="dxa" w:w="3456"/>
            <w:vAlign w:val="top"/>
          </w:tcPr>
          <w:p>
            <w:pPr>
              <w:spacing w:after="40" w:before="0" w:line="259" w:lineRule="auto"/>
            </w:pPr>
            <w:r>
              <w:rPr>
                <w:rFonts w:ascii="Calibri" w:hAnsi="Calibri"/>
                <w:b/>
                <w:i w:val="0"/>
                <w:color w:val="212121"/>
                <w:sz w:val="19"/>
              </w:rPr>
              <w:t>Central obesity / high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Metabolic-syndrome phenotype associated with ED.</w:t>
            </w:r>
          </w:p>
        </w:tc>
      </w:tr>
      <w:tr>
        <w:trPr>
          <w:cantSplit/>
        </w:trPr>
        <w:tc>
          <w:tcPr>
            <w:tcW w:type="dxa" w:w="3456"/>
            <w:vAlign w:val="top"/>
          </w:tcPr>
          <w:p>
            <w:pPr>
              <w:spacing w:after="40" w:before="0" w:line="259" w:lineRule="auto"/>
            </w:pPr>
            <w:r>
              <w:rPr>
                <w:rFonts w:ascii="Calibri" w:hAnsi="Calibri"/>
                <w:b/>
                <w:i w:val="0"/>
                <w:color w:val="212121"/>
                <w:sz w:val="19"/>
              </w:rPr>
              <w:t>Reduced perineal sensation / peripheral neuropathy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Neurogenic contribution, most often diabetic.</w:t>
            </w:r>
          </w:p>
        </w:tc>
      </w:tr>
      <w:tr>
        <w:trPr>
          <w:cantSplit/>
        </w:trPr>
        <w:tc>
          <w:tcPr>
            <w:tcW w:type="dxa" w:w="3456"/>
            <w:vAlign w:val="top"/>
          </w:tcPr>
          <w:p>
            <w:pPr>
              <w:spacing w:after="40" w:before="0" w:line="259" w:lineRule="auto"/>
            </w:pPr>
            <w:r>
              <w:rPr>
                <w:rFonts w:ascii="Calibri" w:hAnsi="Calibri"/>
                <w:b/>
                <w:i w:val="0"/>
                <w:color w:val="212121"/>
                <w:sz w:val="19"/>
              </w:rPr>
              <w:t>Low peak systolic velocity on penile Doppler (&lt; 25 cm/s)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evidence of arteriogenic (vasculogenic) ED.</w:t>
            </w:r>
          </w:p>
        </w:tc>
      </w:tr>
      <w:tr>
        <w:trPr>
          <w:cantSplit/>
        </w:trPr>
        <w:tc>
          <w:tcPr>
            <w:tcW w:type="dxa" w:w="3456"/>
            <w:vAlign w:val="top"/>
          </w:tcPr>
          <w:p>
            <w:pPr>
              <w:spacing w:after="40" w:before="0" w:line="259" w:lineRule="auto"/>
            </w:pPr>
            <w:r>
              <w:rPr>
                <w:rFonts w:ascii="Calibri" w:hAnsi="Calibri"/>
                <w:b/>
                <w:i w:val="0"/>
                <w:color w:val="212121"/>
                <w:sz w:val="19"/>
              </w:rPr>
              <w:t>Absent nocturnal penile tumescence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an organic rather than psychogenic cause.</w:t>
            </w:r>
          </w:p>
        </w:tc>
      </w:tr>
      <w:tr>
        <w:trPr>
          <w:cantSplit/>
        </w:trPr>
        <w:tc>
          <w:tcPr>
            <w:tcW w:type="dxa" w:w="3456"/>
            <w:vAlign w:val="top"/>
          </w:tcPr>
          <w:p>
            <w:pPr>
              <w:spacing w:after="40" w:before="0" w:line="259" w:lineRule="auto"/>
            </w:pPr>
            <w:r>
              <w:rPr>
                <w:rFonts w:ascii="Calibri" w:hAnsi="Calibri"/>
                <w:b/>
                <w:i w:val="0"/>
                <w:color w:val="212121"/>
                <w:sz w:val="19"/>
              </w:rPr>
              <w:t>Small or soft testes (testicular atrophy)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 of primary hypogonadism / androgen deficiency.</w:t>
            </w:r>
          </w:p>
        </w:tc>
      </w:tr>
      <w:tr>
        <w:trPr>
          <w:cantSplit/>
        </w:trPr>
        <w:tc>
          <w:tcPr>
            <w:tcW w:type="dxa" w:w="3456"/>
            <w:vAlign w:val="top"/>
          </w:tcPr>
          <w:p>
            <w:pPr>
              <w:spacing w:after="40" w:before="0" w:line="259" w:lineRule="auto"/>
            </w:pPr>
            <w:r>
              <w:rPr>
                <w:rFonts w:ascii="Calibri" w:hAnsi="Calibri"/>
                <w:b/>
                <w:i w:val="0"/>
                <w:color w:val="212121"/>
                <w:sz w:val="19"/>
              </w:rPr>
              <w:t>Reduced body/facial hair, gynaecomastia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Features of androgen deficiency or hyperprolactinaemia.</w:t>
            </w:r>
          </w:p>
        </w:tc>
      </w:tr>
      <w:tr>
        <w:trPr>
          <w:cantSplit/>
        </w:trPr>
        <w:tc>
          <w:tcPr>
            <w:tcW w:type="dxa" w:w="3456"/>
            <w:vAlign w:val="top"/>
          </w:tcPr>
          <w:p>
            <w:pPr>
              <w:spacing w:after="40" w:before="0" w:line="259" w:lineRule="auto"/>
            </w:pPr>
            <w:r>
              <w:rPr>
                <w:rFonts w:ascii="Calibri" w:hAnsi="Calibri"/>
                <w:b/>
                <w:i w:val="0"/>
                <w:color w:val="212121"/>
                <w:sz w:val="19"/>
              </w:rPr>
              <w:t>Palpable penile plaque or curvature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Peyronie's disease as a structural cause of ED.</w:t>
            </w:r>
          </w:p>
        </w:tc>
      </w:tr>
      <w:tr>
        <w:trPr>
          <w:cantSplit/>
        </w:trPr>
        <w:tc>
          <w:tcPr>
            <w:tcW w:type="dxa" w:w="3456"/>
            <w:vAlign w:val="top"/>
          </w:tcPr>
          <w:p>
            <w:pPr>
              <w:spacing w:after="40" w:before="0" w:line="259" w:lineRule="auto"/>
            </w:pPr>
            <w:r>
              <w:rPr>
                <w:rFonts w:ascii="Calibri" w:hAnsi="Calibri"/>
                <w:b/>
                <w:i w:val="0"/>
                <w:color w:val="212121"/>
                <w:sz w:val="19"/>
              </w:rPr>
              <w:t>Femoral / iliac bruit (Leriche pattern)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Aortoiliac occlusive disease presenting with ED and buttock claudication.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Inability to have satisfactory sexual intercourse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fertility / difficulty achieving conception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Coexisting ejaculatory dysfunction</w:t>
            </w:r>
          </w:p>
        </w:tc>
        <w:tc>
          <w:tcPr>
            <w:tcW w:type="dxa" w:w="2980"/>
            <w:vAlign w:val="top"/>
          </w:tcPr>
          <w:p>
            <w:pPr>
              <w:spacing w:after="40" w:before="0" w:line="259" w:lineRule="auto"/>
            </w:pPr>
            <w:r>
              <w:rPr>
                <w:rFonts w:ascii="Calibri" w:hAnsi="Calibri"/>
                <w:b w:val="0"/>
                <w:i w:val="0"/>
                <w:color w:val="212121"/>
                <w:sz w:val="19"/>
              </w:rPr>
              <w:t>Direct consequences of the erectile failure itself</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loss of self-esteem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conflict and marital discord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social withdrawal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Missed early diagnosis of underlying diabetes and cardiovascular disease</w:t>
            </w:r>
          </w:p>
        </w:tc>
        <w:tc>
          <w:tcPr>
            <w:tcW w:type="dxa" w:w="2980"/>
            <w:vAlign w:val="top"/>
          </w:tcPr>
          <w:p>
            <w:pPr>
              <w:spacing w:after="40" w:before="0" w:line="259" w:lineRule="auto"/>
            </w:pPr>
            <w:r>
              <w:rPr>
                <w:rFonts w:ascii="Calibri" w:hAnsi="Calibri"/>
                <w:b w:val="0"/>
                <w:i w:val="0"/>
                <w:color w:val="212121"/>
                <w:sz w:val="19"/>
              </w:rPr>
              <w:t>Psychological, relational and diagnostic fallout of untreated ED</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undetected coronary/peripheral vascular disease to myocardial infarction or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depression and treatment non-adherence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Marital breakdown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harm (priapism from intracavernosal injection, penile-prosthesis infection or erosion)</w:t>
            </w:r>
          </w:p>
        </w:tc>
        <w:tc>
          <w:tcPr>
            <w:tcW w:type="dxa" w:w="2980"/>
            <w:vAlign w:val="top"/>
          </w:tcPr>
          <w:p>
            <w:pPr>
              <w:spacing w:after="40" w:before="0" w:line="259" w:lineRule="auto"/>
            </w:pPr>
            <w:r>
              <w:rPr>
                <w:rFonts w:ascii="Calibri" w:hAnsi="Calibri"/>
                <w:b w:val="0"/>
                <w:i w:val="0"/>
                <w:color w:val="212121"/>
                <w:sz w:val="19"/>
              </w:rPr>
              <w:t>Long-term, potentially irreversible outcomes of longstanding ED and its therapies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 (type 2)</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causes endothelial and autonomic-nerve damage and low testosterone; ED is an early, severe complication and often the presenting clue to undiagnosed diabetes.</w:t>
            </w:r>
          </w:p>
          <w:p>
            <w:pPr>
              <w:spacing w:after="40" w:before="0" w:line="259" w:lineRule="auto"/>
            </w:pPr>
            <w:r>
              <w:rPr>
                <w:rFonts w:ascii="Calibri" w:hAnsi="Calibri"/>
                <w:b/>
                <w:i w:val="0"/>
                <w:color w:val="212121"/>
                <w:sz w:val="19"/>
              </w:rPr>
              <w:t>Up to 60.6% (Indian T2DM men)</w:t>
            </w:r>
          </w:p>
        </w:tc>
      </w:tr>
      <w:tr>
        <w:trPr>
          <w:cantSplit/>
        </w:trPr>
        <w:tc>
          <w:tcPr>
            <w:tcW w:type="dxa" w:w="2232"/>
            <w:vAlign w:val="top"/>
          </w:tcPr>
          <w:p>
            <w:pPr>
              <w:spacing w:after="40" w:before="0" w:line="259" w:lineRule="auto"/>
            </w:pPr>
            <w:r>
              <w:rPr>
                <w:rFonts w:ascii="Calibri" w:hAnsi="Calibri"/>
                <w:b/>
                <w:i w:val="0"/>
                <w:color w:val="212121"/>
                <w:sz w:val="19"/>
              </w:rPr>
              <w:t>Coronary artery / cardiovascular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endothelial dysfunction and atherosclerosis; ED typically precedes coronary symptoms by 3–5 years and warrants cardiovascular risk assessment.</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Arterial stiffening reduces cavernosal inflow, and thiazides and beta-blockers independently precipitate ED.</w:t>
            </w:r>
          </w:p>
          <w:p>
            <w:pPr>
              <w:spacing w:after="40" w:before="0" w:line="259" w:lineRule="auto"/>
            </w:pPr>
            <w:r>
              <w:rPr>
                <w:rFonts w:ascii="Calibri" w:hAnsi="Calibri"/>
                <w:b/>
                <w:i w:val="0"/>
                <w:color w:val="212121"/>
                <w:sz w:val="19"/>
              </w:rPr>
              <w:t>~35% of hypertensive men</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Atherogenic lipids promote penile arterial atherosclerosis; statin-treated patients may improve.</w:t>
            </w:r>
          </w:p>
          <w:p>
            <w:pPr>
              <w:spacing w:after="40" w:before="0" w:line="259" w:lineRule="auto"/>
            </w:pPr>
            <w:r>
              <w:rPr>
                <w:rFonts w:ascii="Calibri" w:hAnsi="Calibri"/>
                <w:b/>
                <w:i w:val="0"/>
                <w:color w:val="212121"/>
                <w:sz w:val="19"/>
              </w:rPr>
              <w:t>~42% of ED cases</w:t>
            </w:r>
          </w:p>
        </w:tc>
      </w:tr>
      <w:tr>
        <w:trPr>
          <w:cantSplit/>
        </w:trPr>
        <w:tc>
          <w:tcPr>
            <w:tcW w:type="dxa" w:w="2232"/>
            <w:vAlign w:val="top"/>
          </w:tcPr>
          <w:p>
            <w:pPr>
              <w:spacing w:after="40" w:before="0" w:line="259" w:lineRule="auto"/>
            </w:pPr>
            <w:r>
              <w:rPr>
                <w:rFonts w:ascii="Calibri" w:hAnsi="Calibri"/>
                <w:b/>
                <w:i w:val="0"/>
                <w:color w:val="212121"/>
                <w:sz w:val="19"/>
              </w:rPr>
              <w:t>Hypogonadism (low testosterone)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libido, nocturnal erections and cavernosal nitric-oxide synthase; correction can restore response and PDE5i efficacy.</w:t>
            </w:r>
          </w:p>
          <w:p>
            <w:pPr>
              <w:spacing w:after="40" w:before="0" w:line="259" w:lineRule="auto"/>
            </w:pPr>
            <w:r>
              <w:rPr>
                <w:rFonts w:ascii="Calibri" w:hAnsi="Calibri"/>
                <w:b/>
                <w:i w:val="0"/>
                <w:color w:val="212121"/>
                <w:sz w:val="19"/>
              </w:rPr>
              <w:t>~35% of ED patients</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Lowers central arousal, and SSRIs commonly cause ED, producing a bidirectional loop with sexual distress.</w:t>
            </w:r>
          </w:p>
        </w:tc>
      </w:tr>
      <w:tr>
        <w:trPr>
          <w:cantSplit/>
        </w:trPr>
        <w:tc>
          <w:tcPr>
            <w:tcW w:type="dxa" w:w="2232"/>
            <w:vAlign w:val="top"/>
          </w:tcPr>
          <w:p>
            <w:pPr>
              <w:spacing w:after="40" w:before="0" w:line="259" w:lineRule="auto"/>
            </w:pPr>
            <w:r>
              <w:rPr>
                <w:rFonts w:ascii="Calibri" w:hAnsi="Calibri"/>
                <w:b/>
                <w:i w:val="0"/>
                <w:color w:val="212121"/>
                <w:sz w:val="19"/>
              </w:rPr>
              <w:t>Obesity / metabolic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Central adiposity clusters insulin resistance, low testosterone and endothelial dysfunction that drive ED; weight loss improves function.</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Intermittent hypoxia lowers testosterone and impairs endothelial function, worsening ED; CPAP may help.</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Uraemia, anaemia, hormonal disturbance and vascular disease make ED highly prevalent in CKD and dialysis patients.</w:t>
            </w:r>
          </w:p>
        </w:tc>
      </w:tr>
      <w:tr>
        <w:trPr>
          <w:cantSplit/>
        </w:trPr>
        <w:tc>
          <w:tcPr>
            <w:tcW w:type="dxa" w:w="2232"/>
            <w:vAlign w:val="top"/>
          </w:tcPr>
          <w:p>
            <w:pPr>
              <w:spacing w:after="40" w:before="0" w:line="259" w:lineRule="auto"/>
            </w:pPr>
            <w:r>
              <w:rPr>
                <w:rFonts w:ascii="Calibri" w:hAnsi="Calibri"/>
                <w:b/>
                <w:i w:val="0"/>
                <w:color w:val="212121"/>
                <w:sz w:val="19"/>
              </w:rPr>
              <w:t>Benign prostatic hyperplasia / LUTS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Strongly associated with ED; alpha-blockers and especially 5-alpha reductase inhibitors (finasteride) can worsen sexual function.</w:t>
            </w:r>
          </w:p>
        </w:tc>
      </w:tr>
      <w:tr>
        <w:trPr>
          <w:cantSplit/>
        </w:trPr>
        <w:tc>
          <w:tcPr>
            <w:tcW w:type="dxa" w:w="2232"/>
            <w:vAlign w:val="top"/>
          </w:tcPr>
          <w:p>
            <w:pPr>
              <w:spacing w:after="40" w:before="0" w:line="259" w:lineRule="auto"/>
            </w:pPr>
            <w:r>
              <w:rPr>
                <w:rFonts w:ascii="Calibri" w:hAnsi="Calibri"/>
                <w:b/>
                <w:i w:val="0"/>
                <w:color w:val="212121"/>
                <w:sz w:val="19"/>
              </w:rPr>
              <w:t>Peyronie's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Fibrous plaque causes curvature and pain and frequently coexists with vasculogenic ED.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ED is common, treatable and often an early warning sign of heart disease and diabetes — seek care early rather than self-medicating.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reversible contributors: smoking, heavy alcohol, obesity, physical inactivity, poor sleep and psychological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current medications with a doctor (some antihypertensives, SSRIs and finasteride can cause ED) — never stop them abruptly on your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screening for diabetes, blood pressure and cholesterol, since detecting and treating these can improve erections and protect the heart.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unregulated 'sexual tonics' and online drugs; use PDE5 inhibitors only under medical supervision, especially if taking nitrates.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over 40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diabetes/hypertension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ED-causing drugs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(brisk walking, cycling, swimming) to improve endothelial and erectile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and reduce prolonged sitting.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5–10% weight loss if overweight, targeting central 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pelvic-floor (Kegel) exercises, which have evidence for improving erectile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 ergonomic saddle and take breaks during long-distance cycling to avoid perineal nerve/artery compression.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vasculogenic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Mediterranean-style, fibre-rich diet with whole grains, pulses, nuts, fruits and vegetables and healthy fats.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foods, fried items, refined carbohydrates and sugar-sweetened beverages that drive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grains and millets (ragi, jowar, bajra) and control portion sizes to manage weight and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oily fish or plant omega-3 sources and adequate leafy greens to support endothelial (nitric-oxide)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Diabetic/prediabetic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dyslipidaemia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testosterone and vascular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(loud snoring, daytime sleepiness) with weight loss and CPAP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and limit late-night screen and caffeine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low testosterone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forms of tobacco (cigarettes, bidis, smokeless tobacco); erectile function partially improves after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counselling, nicotine-replacement therapy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endothelial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chewers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vasculogenic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to no more than moderate intake and avoid binge drinking, which acutely impairs erection.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chronic heavy drinking lowers testosterone and causes nerve damage that leads to lasting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help for alcohol dependence, as reduction can improve sexual and overall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alcohol 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hypogonadism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neuropathy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performance anxiety, stress, depression and relationship issues, ideally with the partner involved.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psychosexual counselling or cognitive-behavioural therapy for psychogenic and mixed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depression while reviewing antidepressant choice, since some SSRIs worsen ED (alternatives exist).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psychological support with medical therapy (e.g., PDE5 inhibitors) for best results in mixed 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Younger men with psychogenic 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Couples with sexual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on SSRIs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2253/" TargetMode="External"/><Relationship Id="rId10" Type="http://schemas.openxmlformats.org/officeDocument/2006/relationships/hyperlink" Target="https://www.niddk.nih.gov/health-information/urologic-diseases/erectile-dysfunction/definition-facts" TargetMode="External"/><Relationship Id="rId11" Type="http://schemas.openxmlformats.org/officeDocument/2006/relationships/hyperlink" Target="https://pubmed.ncbi.nlm.nih.gov/33187038/" TargetMode="External"/><Relationship Id="rId12" Type="http://schemas.openxmlformats.org/officeDocument/2006/relationships/hyperlink" Target="https://pubmed.ncbi.nlm.nih.gov/39998916/" TargetMode="External"/><Relationship Id="rId13" Type="http://schemas.openxmlformats.org/officeDocument/2006/relationships/hyperlink" Target="https://pubmed.ncbi.nlm.nih.gov/30112300/" TargetMode="External"/><Relationship Id="rId14" Type="http://schemas.openxmlformats.org/officeDocument/2006/relationships/hyperlink" Target="https://pubmed.ncbi.nlm.nih.gov/10925098/" TargetMode="External"/><Relationship Id="rId15" Type="http://schemas.openxmlformats.org/officeDocument/2006/relationships/hyperlink" Target="https://pubmed.ncbi.nlm.nih.gov/25052869/" TargetMode="External"/><Relationship Id="rId16" Type="http://schemas.openxmlformats.org/officeDocument/2006/relationships/hyperlink" Target="https://pubmed.ncbi.nlm.nih.gov/16753404/" TargetMode="External"/><Relationship Id="rId17" Type="http://schemas.openxmlformats.org/officeDocument/2006/relationships/hyperlink" Target="https://pubmed.ncbi.nlm.nih.gov/24894579/" TargetMode="External"/><Relationship Id="rId18" Type="http://schemas.openxmlformats.org/officeDocument/2006/relationships/hyperlink" Target="https://pubmed.ncbi.nlm.nih.gov/25987331/" TargetMode="External"/><Relationship Id="rId19" Type="http://schemas.openxmlformats.org/officeDocument/2006/relationships/hyperlink" Target="https://pubmed.ncbi.nlm.nih.gov/34065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