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Premature Ejaculation</w:t>
      </w:r>
    </w:p>
    <w:p>
      <w:pPr>
        <w:spacing w:before="0" w:after="160"/>
      </w:pPr>
      <w:r>
        <w:rPr>
          <w:rFonts w:ascii="Calibri" w:hAnsi="Calibri"/>
          <w:b/>
          <w:i w:val="0"/>
          <w:color w:val="212121"/>
          <w:sz w:val="22"/>
        </w:rPr>
        <w:t xml:space="preserve">AKA </w:t>
      </w:r>
      <w:r>
        <w:rPr>
          <w:rFonts w:ascii="Calibri" w:hAnsi="Calibri"/>
          <w:b w:val="0"/>
          <w:i w:val="0"/>
          <w:color w:val="212121"/>
          <w:sz w:val="22"/>
        </w:rPr>
        <w:t>i.e., Early ejaculation, Rapid ejaculation, Premature climax, Rapid climax; abbreviated PE; encompassing Lifelong (primary) PE, Acquired (secondary) PE, Variable (natural variable) PE and Subjective PE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Premature ejaculation (PE) is the commonest male sexual dysfunction, in which ejaculation always or nearly always occurs sooner than the man and his partner wish — typically before or within about one minute of vaginal penetration in lifelong PE, or with a clinically significant reduction of the usual latency (often to about three minutes or less) in acquired PE. The International Society for Sexual Medicine (ISSM) defines it by three linked features: a short intravaginal ejaculatory latency time (IELT), an inability to delay ejaculation on all or nearly all penetrations, and negative personal consequences such as distress, bother, frustration and avoidance of sexual intimacy. Ejaculation is a spinal reflex (the spinal ejaculatory generator at L1–L2) under descending serotonergic control, and disturbed serotonin (5-HT) neurotransmission is the leading explanation for lifelong PE, while acquired PE is often driven by a treatable condition such as erectile dysfunction, chronic prostatitis, hyperthyroidism, psychological stress or relationship problems.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Premature ejaculation is the single most frequent male sexual complaint at sexual-medicine, andrology, psychiatry and dermatology-venereology (‘STD’) clinics in India, yet it is heavily under-reported because of stigma, embarrassment and a widespread tendency to consult informal practitioners and quacks before qualified doctors. Population and review estimates place the prevalence at roughly 20–30% of men — about 1 in 3 men aged 18–59 report PE-type symptoms at some time, with figures as high as ~75% in some self-report reviews depending on the definition used — and a broadly similar incidence is reported in Europe and in India. In Indian practice PE frequently overlaps with culturally-shaped semen-loss anxiety (Dhat syndrome) and with performance anxiety around (often arranged) marriage, which amplifies distress and help-seeking; clinic-based Indian studies confirm PE as a leading presenting sexual dysfunction in men and have characterised its lifelong, acquired, variable and subjective subtypes. Lifelong PE (present from the first sexual experience) and acquired PE (developing later alongside erectile dysfunction, chronic prostatitis, hyperthyroidism or metabolic disease) together account for most presentations.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Premature ejaculation is a clinical, largely history-based diagnosis: there is no confirmatory laboratory test, and investigations are directed at identifying treatable causes of the acquired form. Diagnosis combines the ISSM/DSM-5 criteria with an estimate of the intravaginal ejaculatory latency time (IELT) and the man’s sense of control and distress: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Short ejaculatory latency — ejaculation that always or nearly always occurs before or within about 1 minute of vaginal penetration (lifelong PE), or a clinically significant, bothersome reduction of latency to about 3 minutes or less (acquired 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Inability to delay ejaculation on all or nearly all vaginal penetrations;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Negative personal consequences — distress, bother, frustration and/or avoidance of sexual intimacy (an essential criterion: short IELT without distress is not 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DSM-5 additionally requires the pattern to be present for at least 6 months, on 75–100% of sexual encounters, and not better explained by a non-sexual disorder, medical condition or substance;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IELT assessment — self-estimated IELT (which correlates reasonably with stopwatch-measured IELT) or, in research settings, partner stopwatch timing; the general-population median IELT is roughly 5–6 minutes;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Validated patient-reported tools — the Premature Ejaculation Diagnostic Tool (PEDT) and the Premature Ejaculation Profile (PEP) grade severity and monitor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Sub-typing history to distinguish lifelong, acquired, variable and subjective PE, and to separate PE from erectile dysfunction (with which it commonly coexists);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evaluation for reversible causes of acquired PE — thyroid function (hyperthyroidism), symptoms/signs of chronic prostatitis or lower urinary tract infection, erectile dysfunction, diabetes/metabolic disease, drugs and psychological/relationship factors.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Premature ejaculation is classified, following Waldinger’s framework and the ISSM, into four clinical subtypes based on onset, latency and consistency — a distinction that directly guides treatment:</w:t>
      </w:r>
    </w:p>
    <w:p>
      <w:pPr>
        <w:spacing w:before="0" w:after="80"/>
      </w:pPr>
      <w:r>
        <w:rPr>
          <w:rFonts w:ascii="Calibri" w:hAnsi="Calibri"/>
          <w:b w:val="0"/>
          <w:i w:val="0"/>
          <w:color w:val="212121"/>
          <w:sz w:val="21"/>
        </w:rPr>
        <w:t>(1) Lifelong (primary) PE — present from the very first sexual experiences, with ejaculation almost always within about 30–60 seconds of penetration on nearly every occasion; strongly linked to serotonergic/genetic and neurobiological factors and usually requiring pharmacological plus behavioural therapy;</w:t>
      </w:r>
    </w:p>
    <w:p>
      <w:pPr>
        <w:spacing w:before="0" w:after="80"/>
      </w:pPr>
      <w:r>
        <w:rPr>
          <w:rFonts w:ascii="Calibri" w:hAnsi="Calibri"/>
          <w:b w:val="0"/>
          <w:i w:val="0"/>
          <w:color w:val="212121"/>
          <w:sz w:val="21"/>
        </w:rPr>
        <w:t>(2) Acquired (secondary) PE — develops after a period of normal ejaculatory control, with a clear reduction in latency; frequently caused by a treatable condition such as erectile dysfunction, chronic prostatitis, hyperthyroidism, metabolic/diabetic disease, or new psychological or relationship stress, so treating the underlying cause often resolves it;</w:t>
      </w:r>
    </w:p>
    <w:p>
      <w:pPr>
        <w:spacing w:before="0" w:after="80"/>
      </w:pPr>
      <w:r>
        <w:rPr>
          <w:rFonts w:ascii="Calibri" w:hAnsi="Calibri"/>
          <w:b w:val="0"/>
          <w:i w:val="0"/>
          <w:color w:val="212121"/>
          <w:sz w:val="21"/>
        </w:rPr>
        <w:t>(3) Variable (natural variable) PE — early ejaculation that occurs only inconsistently and situationally; regarded as a normal variation of sexual performance rather than a true disorder, needing reassurance and education rather than drugs;</w:t>
      </w:r>
    </w:p>
    <w:p>
      <w:pPr>
        <w:spacing w:before="0" w:after="80"/>
      </w:pPr>
      <w:r>
        <w:rPr>
          <w:rFonts w:ascii="Calibri" w:hAnsi="Calibri"/>
          <w:b w:val="0"/>
          <w:i w:val="0"/>
          <w:color w:val="212121"/>
          <w:sz w:val="21"/>
        </w:rPr>
        <w:t>(4) Subjective PE — a subjective perception of PE with distress despite a normal or even long IELT and normal ejaculatory control; management is centred on cognitive, educational and psychosexual approaches.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Serotonergic dysregulation and genetics: Disturbed central serotonin (5-HT) neurotransmission — low 5-HT tone, 5-HT2C receptor hyposensitivity and 5-HT1A receptor hypersensitivity — lowers the ejaculatory threshold; lifelong PE clusters in families and is linked to serotonin-transporter (5-HTTLPR) gene variants.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Penile hypersensitivity / cortical factors: Heightened penile sensory sensitivity and altered central sensory processing shorten the reflex arc in some men with lifelong PE.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Endocrine causes: Hyperthyroidism is a well-recognised, reversible cause of acquired PE; abnormal prolactin and low testosterone can also affect ejaculatory control.</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Urological/prostatic disease: Chronic prostatitis / chronic pelvic pain syndrome and lower urinary tract inflammation are common organic contributors to acquired PE.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Erectile dysfunction: Men who struggle to maintain an erection often hurry to ejaculate, and ED and PE frequently coexist and reinforce each other.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Psychological and relationship factors: Performance and anticipatory anxiety, depression, stress, guilt, early conditioning to ejaculate quickly, unrealistic expectations and partner/relationship problems precipitate and maintain PE — particularly acquired and subjective subtypes.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Behavioural, lifestyle and cultural factors: Infrequent sexual activity or prolonged abstinence, very high arousal/novelty, smoking, harmful alcohol use, metabolic syndrome, and — in the Indian context — semen-loss (Dhat) beliefs and marriage-related performance pressure contribute to onset and distress.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Younger, sexually active men (lifelong PE)</w:t>
            </w:r>
          </w:p>
        </w:tc>
        <w:tc>
          <w:tcPr>
            <w:tcW w:type="dxa" w:w="4276"/>
            <w:vAlign w:val="top"/>
          </w:tcPr>
          <w:p>
            <w:pPr>
              <w:spacing w:after="60" w:line="259" w:lineRule="auto"/>
            </w:pPr>
            <w:r>
              <w:rPr>
                <w:rFonts w:ascii="Calibri" w:hAnsi="Calibri"/>
                <w:b w:val="0"/>
                <w:i w:val="0"/>
                <w:color w:val="212121"/>
                <w:sz w:val="19"/>
              </w:rPr>
              <w:t>Lifelong PE is present from the first sexual experiences, so it typically declares itself in adolescence and young adulthood; inexperience, high arousal and performance anxiety compound an underlying neurobiological (serotonergic) tendency to rapid ejaculation.</w:t>
            </w:r>
          </w:p>
          <w:p>
            <w:pPr>
              <w:spacing w:after="40" w:before="60" w:line="259" w:lineRule="auto"/>
            </w:pPr>
            <w:r>
              <w:rPr>
                <w:rFonts w:ascii="Calibri" w:hAnsi="Calibri"/>
                <w:b w:val="0"/>
                <w:i w:val="0"/>
                <w:color w:val="212121"/>
                <w:sz w:val="19"/>
              </w:rPr>
              <w:t>About 1 in 3 men aged 18–59 report PE-type symptoms; lifelong PE begins at the first sexual encounter.</w:t>
            </w:r>
          </w:p>
          <w:p>
            <w:pPr>
              <w:spacing w:after="40" w:line="252" w:lineRule="auto"/>
            </w:pPr>
            <w:hyperlink r:id="rId9">
              <w:r>
                <w:rPr>
                  <w:rFonts w:ascii="Calibri" w:hAnsi="Calibri" w:cs="Calibri"/>
                  <w:sz w:val="18"/>
                  <w:color w:val="1155CC"/>
                  <w:u w:val="single"/>
                </w:rPr>
                <w:t xml:space="preserve">mayoclinic.org — premature ejaculation (‘as many as 1 in 3’)</w:t>
              </w:r>
            </w:hyperlink>
          </w:p>
          <w:p>
            <w:pPr>
              <w:spacing w:before="60" w:after="40"/>
            </w:pPr>
            <w:r>
              <w:rPr>
                <w:rFonts w:ascii="Calibri" w:hAnsi="Calibri"/>
                <w:b w:val="0"/>
                <w:i w:val="0"/>
                <w:color w:val="5A5A5A"/>
                <w:sz w:val="18"/>
              </w:rPr>
              <w:t>#PE  #lifelongPE  #youngmen  #performanceanxiety  #serotonin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Middle-aged and older men (acquired PE)</w:t>
            </w:r>
          </w:p>
        </w:tc>
        <w:tc>
          <w:tcPr>
            <w:tcW w:type="dxa" w:w="4276"/>
            <w:vAlign w:val="top"/>
          </w:tcPr>
          <w:p>
            <w:pPr>
              <w:spacing w:after="60" w:line="259" w:lineRule="auto"/>
            </w:pPr>
            <w:r>
              <w:rPr>
                <w:rFonts w:ascii="Calibri" w:hAnsi="Calibri"/>
                <w:b w:val="0"/>
                <w:i w:val="0"/>
                <w:color w:val="212121"/>
                <w:sz w:val="19"/>
              </w:rPr>
              <w:t>In older men PE is more often acquired, arising alongside age-related erectile dysfunction, chronic prostatitis, hyperthyroidism and metabolic/diabetic disease; the ejaculatory latency shortens from a previously normal baseline and points to a treatable underlying cause.</w:t>
            </w:r>
          </w:p>
          <w:p>
            <w:pPr>
              <w:spacing w:after="40" w:before="60" w:line="259" w:lineRule="auto"/>
            </w:pPr>
            <w:r>
              <w:rPr>
                <w:rFonts w:ascii="Calibri" w:hAnsi="Calibri"/>
                <w:b w:val="0"/>
                <w:i w:val="0"/>
                <w:color w:val="212121"/>
                <w:sz w:val="19"/>
              </w:rPr>
              <w:t>Acquired PE is characteristically associated with erectile dysfunction, prostatitis and hyperthyroidism.</w:t>
            </w:r>
          </w:p>
          <w:p>
            <w:pPr>
              <w:spacing w:after="40" w:line="252" w:lineRule="auto"/>
            </w:pPr>
            <w:hyperlink r:id="rId10">
              <w:r>
                <w:rPr>
                  <w:rFonts w:ascii="Calibri" w:hAnsi="Calibri" w:cs="Calibri"/>
                  <w:sz w:val="18"/>
                  <w:color w:val="1155CC"/>
                  <w:u w:val="single"/>
                </w:rPr>
                <w:t xml:space="preserve">statpearls (NBK546701) — acquired PE causes</w:t>
              </w:r>
            </w:hyperlink>
          </w:p>
          <w:p>
            <w:pPr>
              <w:spacing w:before="60" w:after="40"/>
            </w:pPr>
            <w:r>
              <w:rPr>
                <w:rFonts w:ascii="Calibri" w:hAnsi="Calibri"/>
                <w:b w:val="0"/>
                <w:i w:val="0"/>
                <w:color w:val="5A5A5A"/>
                <w:sz w:val="18"/>
              </w:rPr>
              <w:t>#acquiredPE  #erectiledysfunction  #prostatitis  #hyperthyroidism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 (male-only condition)</w:t>
            </w:r>
          </w:p>
        </w:tc>
        <w:tc>
          <w:tcPr>
            <w:tcW w:type="dxa" w:w="4276"/>
            <w:vAlign w:val="top"/>
          </w:tcPr>
          <w:p>
            <w:pPr>
              <w:spacing w:after="60" w:line="259" w:lineRule="auto"/>
            </w:pPr>
            <w:r>
              <w:rPr>
                <w:rFonts w:ascii="Calibri" w:hAnsi="Calibri"/>
                <w:b w:val="0"/>
                <w:i w:val="0"/>
                <w:color w:val="212121"/>
                <w:sz w:val="19"/>
              </w:rPr>
              <w:t>PE is a disorder of the male ejaculatory reflex and therefore affects only men; it is the most common male sexual dysfunction across the lifespan and the leading sexual complaint in Indian men’s clinics.</w:t>
            </w:r>
          </w:p>
          <w:p>
            <w:pPr>
              <w:spacing w:after="40" w:before="60" w:line="259" w:lineRule="auto"/>
            </w:pPr>
            <w:r>
              <w:rPr>
                <w:rFonts w:ascii="Calibri" w:hAnsi="Calibri"/>
                <w:b w:val="0"/>
                <w:i w:val="0"/>
                <w:color w:val="212121"/>
                <w:sz w:val="19"/>
              </w:rPr>
              <w:t>PE affects roughly 20–30% of men (about 1 in 3 men aged 18–59); similar incidence in Europe and India.</w:t>
            </w:r>
          </w:p>
          <w:p>
            <w:pPr>
              <w:spacing w:after="40" w:line="252" w:lineRule="auto"/>
            </w:pPr>
            <w:hyperlink r:id="rId10">
              <w:r>
                <w:rPr>
                  <w:rFonts w:ascii="Calibri" w:hAnsi="Calibri" w:cs="Calibri"/>
                  <w:sz w:val="18"/>
                  <w:color w:val="1155CC"/>
                  <w:u w:val="single"/>
                </w:rPr>
                <w:t xml:space="preserve">statpearls (NBK546701) — ~30%; similar in Europe and India</w:t>
              </w:r>
            </w:hyperlink>
          </w:p>
          <w:p>
            <w:pPr>
              <w:spacing w:before="60" w:after="40"/>
            </w:pPr>
            <w:r>
              <w:rPr>
                <w:rFonts w:ascii="Calibri" w:hAnsi="Calibri"/>
                <w:b w:val="0"/>
                <w:i w:val="0"/>
                <w:color w:val="5A5A5A"/>
                <w:sz w:val="18"/>
              </w:rPr>
              <w:t>#male  #menshealth  #sexualdysfunction  #prevalence  #ejaculation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Stigmatised men delaying care / consulting quacks</w:t>
            </w:r>
          </w:p>
        </w:tc>
        <w:tc>
          <w:tcPr>
            <w:tcW w:type="dxa" w:w="4276"/>
            <w:vAlign w:val="top"/>
          </w:tcPr>
          <w:p>
            <w:pPr>
              <w:spacing w:after="60" w:line="259" w:lineRule="auto"/>
            </w:pPr>
            <w:r>
              <w:rPr>
                <w:rFonts w:ascii="Calibri" w:hAnsi="Calibri"/>
                <w:b w:val="0"/>
                <w:i w:val="0"/>
                <w:color w:val="212121"/>
                <w:sz w:val="19"/>
              </w:rPr>
              <w:t>Heavy stigma around sexual symptoms in India leads many men to hide the problem, rely on informal practitioners, aphrodisiacs and ‘quack’ remedies, and delay qualified care — so PE is often long-standing, distressing and complicated by misinformation by the time it is properly assessed.</w:t>
            </w:r>
          </w:p>
          <w:p>
            <w:pPr>
              <w:spacing w:after="40" w:before="60" w:line="259" w:lineRule="auto"/>
            </w:pPr>
            <w:r>
              <w:rPr>
                <w:rFonts w:ascii="Calibri" w:hAnsi="Calibri"/>
                <w:b w:val="0"/>
                <w:i w:val="0"/>
                <w:color w:val="212121"/>
                <w:sz w:val="19"/>
              </w:rPr>
              <w:t>Clinic-based Indian studies identify PE as a leading presenting male sexual dysfunction in secondary care.</w:t>
            </w:r>
          </w:p>
          <w:p>
            <w:pPr>
              <w:spacing w:after="40" w:line="252" w:lineRule="auto"/>
            </w:pPr>
            <w:hyperlink r:id="rId11">
              <w:r>
                <w:rPr>
                  <w:rFonts w:ascii="Calibri" w:hAnsi="Calibri" w:cs="Calibri"/>
                  <w:sz w:val="18"/>
                  <w:color w:val="1155CC"/>
                  <w:u w:val="single"/>
                </w:rPr>
                <w:t xml:space="preserve">pubmed 25668163 — sexual dysfunction in men, southern India</w:t>
              </w:r>
            </w:hyperlink>
          </w:p>
          <w:p>
            <w:pPr>
              <w:spacing w:before="60" w:after="40"/>
            </w:pPr>
            <w:r>
              <w:rPr>
                <w:rFonts w:ascii="Calibri" w:hAnsi="Calibri"/>
                <w:b w:val="0"/>
                <w:i w:val="0"/>
                <w:color w:val="5A5A5A"/>
                <w:sz w:val="18"/>
              </w:rPr>
              <w:t>#stigma  #delayedcare  #quackery  #underreported  #access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Culture / region</w:t>
            </w:r>
          </w:p>
        </w:tc>
        <w:tc>
          <w:tcPr>
            <w:tcW w:type="dxa" w:w="2160"/>
            <w:vAlign w:val="top"/>
          </w:tcPr>
          <w:p>
            <w:pPr>
              <w:spacing w:after="40" w:before="0" w:line="259" w:lineRule="auto"/>
            </w:pPr>
            <w:r>
              <w:rPr>
                <w:rFonts w:ascii="Calibri" w:hAnsi="Calibri"/>
                <w:b w:val="0"/>
                <w:i w:val="0"/>
                <w:color w:val="212121"/>
                <w:sz w:val="19"/>
              </w:rPr>
              <w:t>Indian men with Dhat / semen-loss anxiety</w:t>
            </w:r>
          </w:p>
        </w:tc>
        <w:tc>
          <w:tcPr>
            <w:tcW w:type="dxa" w:w="4276"/>
            <w:vAlign w:val="top"/>
          </w:tcPr>
          <w:p>
            <w:pPr>
              <w:spacing w:after="60" w:line="259" w:lineRule="auto"/>
            </w:pPr>
            <w:r>
              <w:rPr>
                <w:rFonts w:ascii="Calibri" w:hAnsi="Calibri"/>
                <w:b w:val="0"/>
                <w:i w:val="0"/>
                <w:color w:val="212121"/>
                <w:sz w:val="19"/>
              </w:rPr>
              <w:t>Culturally-shaped beliefs that semen loss is harmful (Dhat syndrome) are common in South Asia and frequently co-exist with PE, amplifying anxiety, guilt and distress and shaping the explanatory models with which Indian men present.</w:t>
            </w:r>
          </w:p>
          <w:p>
            <w:pPr>
              <w:spacing w:after="40" w:before="60" w:line="259" w:lineRule="auto"/>
            </w:pPr>
            <w:r>
              <w:rPr>
                <w:rFonts w:ascii="Calibri" w:hAnsi="Calibri"/>
                <w:b w:val="0"/>
                <w:i w:val="0"/>
                <w:color w:val="212121"/>
                <w:sz w:val="19"/>
              </w:rPr>
              <w:t>Southern-Indian secondary-care data emphasise culturally-shaped explanatory models of male sexual complaints.</w:t>
            </w:r>
          </w:p>
          <w:p>
            <w:pPr>
              <w:spacing w:after="40" w:line="252" w:lineRule="auto"/>
            </w:pPr>
            <w:hyperlink r:id="rId11">
              <w:r>
                <w:rPr>
                  <w:rFonts w:ascii="Calibri" w:hAnsi="Calibri" w:cs="Calibri"/>
                  <w:sz w:val="18"/>
                  <w:color w:val="1155CC"/>
                  <w:u w:val="single"/>
                </w:rPr>
                <w:t xml:space="preserve">pubmed 25668163 — explanatory models, southern India</w:t>
              </w:r>
            </w:hyperlink>
          </w:p>
          <w:p>
            <w:pPr>
              <w:spacing w:before="60" w:after="40"/>
            </w:pPr>
            <w:r>
              <w:rPr>
                <w:rFonts w:ascii="Calibri" w:hAnsi="Calibri"/>
                <w:b w:val="0"/>
                <w:i w:val="0"/>
                <w:color w:val="5A5A5A"/>
                <w:sz w:val="18"/>
              </w:rPr>
              <w:t>#Dhat  #semenlossanxiety  #culturebound  #SouthAsia  #distress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occupation</w:t>
            </w:r>
          </w:p>
        </w:tc>
        <w:tc>
          <w:tcPr>
            <w:tcW w:type="dxa" w:w="2160"/>
            <w:vAlign w:val="top"/>
          </w:tcPr>
          <w:p>
            <w:pPr>
              <w:spacing w:after="40" w:before="0" w:line="259" w:lineRule="auto"/>
            </w:pPr>
            <w:r>
              <w:rPr>
                <w:rFonts w:ascii="Calibri" w:hAnsi="Calibri"/>
                <w:b w:val="0"/>
                <w:i w:val="0"/>
                <w:color w:val="212121"/>
                <w:sz w:val="19"/>
              </w:rPr>
              <w:t>Urban, high-stress professionals</w:t>
            </w:r>
          </w:p>
        </w:tc>
        <w:tc>
          <w:tcPr>
            <w:tcW w:type="dxa" w:w="4276"/>
            <w:vAlign w:val="top"/>
          </w:tcPr>
          <w:p>
            <w:pPr>
              <w:spacing w:after="60" w:line="259" w:lineRule="auto"/>
            </w:pPr>
            <w:r>
              <w:rPr>
                <w:rFonts w:ascii="Calibri" w:hAnsi="Calibri"/>
                <w:b w:val="0"/>
                <w:i w:val="0"/>
                <w:color w:val="212121"/>
                <w:sz w:val="19"/>
              </w:rPr>
              <w:t>Urbanisation, long working hours, occupational stress and relationship strain increase performance and anticipatory anxiety, a central driver of acquired and subjective PE in economically active urban Indian men.</w:t>
            </w:r>
          </w:p>
          <w:p>
            <w:pPr>
              <w:spacing w:after="40" w:before="60" w:line="259" w:lineRule="auto"/>
            </w:pPr>
            <w:r>
              <w:rPr>
                <w:rFonts w:ascii="Calibri" w:hAnsi="Calibri"/>
                <w:b w:val="0"/>
                <w:i w:val="0"/>
                <w:color w:val="212121"/>
                <w:sz w:val="19"/>
              </w:rPr>
              <w:t>Stress, anxiety and relationship problems are leading psychological contributors to PE.</w:t>
            </w:r>
          </w:p>
          <w:p>
            <w:pPr>
              <w:spacing w:after="40" w:line="252" w:lineRule="auto"/>
            </w:pPr>
            <w:hyperlink r:id="rId12">
              <w:r>
                <w:rPr>
                  <w:rFonts w:ascii="Calibri" w:hAnsi="Calibri" w:cs="Calibri"/>
                  <w:sz w:val="18"/>
                  <w:color w:val="1155CC"/>
                  <w:u w:val="single"/>
                </w:rPr>
                <w:t xml:space="preserve">healthline.com — stress/anxiety as PE causes</w:t>
              </w:r>
            </w:hyperlink>
          </w:p>
          <w:p>
            <w:pPr>
              <w:spacing w:before="60" w:after="40"/>
            </w:pPr>
            <w:r>
              <w:rPr>
                <w:rFonts w:ascii="Calibri" w:hAnsi="Calibri"/>
                <w:b w:val="0"/>
                <w:i w:val="0"/>
                <w:color w:val="5A5A5A"/>
                <w:sz w:val="18"/>
              </w:rPr>
              <w:t>#urbanstress  #worklife  #anxiety  #relationshipstrain  #workingage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pelvic floor</w:t>
            </w:r>
          </w:p>
        </w:tc>
        <w:tc>
          <w:tcPr>
            <w:tcW w:type="dxa" w:w="2160"/>
            <w:vAlign w:val="top"/>
          </w:tcPr>
          <w:p>
            <w:pPr>
              <w:spacing w:after="40" w:before="0" w:line="259" w:lineRule="auto"/>
            </w:pPr>
            <w:r>
              <w:rPr>
                <w:rFonts w:ascii="Calibri" w:hAnsi="Calibri"/>
                <w:b w:val="0"/>
                <w:i w:val="0"/>
                <w:color w:val="212121"/>
                <w:sz w:val="19"/>
              </w:rPr>
              <w:t>Men with weak pelvic floor and sedentary habits</w:t>
            </w:r>
          </w:p>
        </w:tc>
        <w:tc>
          <w:tcPr>
            <w:tcW w:type="dxa" w:w="4276"/>
            <w:vAlign w:val="top"/>
          </w:tcPr>
          <w:p>
            <w:pPr>
              <w:spacing w:after="60" w:line="259" w:lineRule="auto"/>
            </w:pPr>
            <w:r>
              <w:rPr>
                <w:rFonts w:ascii="Calibri" w:hAnsi="Calibri"/>
                <w:b w:val="0"/>
                <w:i w:val="0"/>
                <w:color w:val="212121"/>
                <w:sz w:val="19"/>
              </w:rPr>
              <w:t>Weak or poorly-controlled pelvic-floor (bulbospongiosus/ischiocavernosus) muscles reduce voluntary control over the expulsion phase of ejaculation; sedentary living and obesity also worsen erectile function, which feeds back into PE. Pelvic-floor muscle training can restore control.</w:t>
            </w:r>
          </w:p>
          <w:p>
            <w:pPr>
              <w:spacing w:after="40" w:before="60" w:line="259" w:lineRule="auto"/>
            </w:pPr>
            <w:r>
              <w:rPr>
                <w:rFonts w:ascii="Calibri" w:hAnsi="Calibri"/>
                <w:b w:val="0"/>
                <w:i w:val="0"/>
                <w:color w:val="212121"/>
                <w:sz w:val="19"/>
              </w:rPr>
              <w:t>Pelvic-floor (Kegel) exercises are a recognised behavioural treatment that can improve ejaculatory control.</w:t>
            </w:r>
          </w:p>
          <w:p>
            <w:pPr>
              <w:spacing w:after="40" w:line="252" w:lineRule="auto"/>
            </w:pPr>
            <w:hyperlink r:id="rId12">
              <w:r>
                <w:rPr>
                  <w:rFonts w:ascii="Calibri" w:hAnsi="Calibri" w:cs="Calibri"/>
                  <w:sz w:val="18"/>
                  <w:color w:val="1155CC"/>
                  <w:u w:val="single"/>
                </w:rPr>
                <w:t xml:space="preserve">healthline.com — pelvic-floor exercises for PE</w:t>
              </w:r>
            </w:hyperlink>
          </w:p>
          <w:p>
            <w:pPr>
              <w:spacing w:before="60" w:after="40"/>
            </w:pPr>
            <w:r>
              <w:rPr>
                <w:rFonts w:ascii="Calibri" w:hAnsi="Calibri"/>
                <w:b w:val="0"/>
                <w:i w:val="0"/>
                <w:color w:val="5A5A5A"/>
                <w:sz w:val="18"/>
              </w:rPr>
              <w:t>#pelvicfloor  #kegels  #sedentary  #ejaculatorycontrol  #obesity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impairs penile vascular and erectile function and promotes endothelial dysfunction; the resulting erectile difficulty and rushing to ejaculate, plus heightened sympathetic tone, can worsen PE.</w:t>
            </w:r>
          </w:p>
          <w:p>
            <w:pPr>
              <w:spacing w:after="40" w:before="60" w:line="259" w:lineRule="auto"/>
            </w:pPr>
            <w:r>
              <w:rPr>
                <w:rFonts w:ascii="Calibri" w:hAnsi="Calibri"/>
                <w:b w:val="0"/>
                <w:i w:val="0"/>
                <w:color w:val="212121"/>
                <w:sz w:val="19"/>
              </w:rPr>
              <w:t>Smoking impairs erectile/vascular function, a recognised contributor to sexual dysfunction.</w:t>
            </w:r>
          </w:p>
          <w:p>
            <w:pPr>
              <w:spacing w:before="60" w:after="40"/>
            </w:pPr>
            <w:r>
              <w:rPr>
                <w:rFonts w:ascii="Calibri" w:hAnsi="Calibri"/>
                <w:b w:val="0"/>
                <w:i w:val="0"/>
                <w:color w:val="5A5A5A"/>
                <w:sz w:val="18"/>
              </w:rPr>
              <w:t>#smoking  #nicotine  #endothelial  #erectiledysfunction  #sympathetic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substance use</w:t>
            </w:r>
          </w:p>
        </w:tc>
        <w:tc>
          <w:tcPr>
            <w:tcW w:type="dxa" w:w="2160"/>
            <w:vAlign w:val="top"/>
          </w:tcPr>
          <w:p>
            <w:pPr>
              <w:spacing w:after="40" w:before="0" w:line="259" w:lineRule="auto"/>
            </w:pPr>
            <w:r>
              <w:rPr>
                <w:rFonts w:ascii="Calibri" w:hAnsi="Calibri"/>
                <w:b w:val="0"/>
                <w:i w:val="0"/>
                <w:color w:val="212121"/>
                <w:sz w:val="19"/>
              </w:rPr>
              <w:t>Men with harmful alcohol or substance use</w:t>
            </w:r>
          </w:p>
        </w:tc>
        <w:tc>
          <w:tcPr>
            <w:tcW w:type="dxa" w:w="4276"/>
            <w:vAlign w:val="top"/>
          </w:tcPr>
          <w:p>
            <w:pPr>
              <w:spacing w:after="60" w:line="259" w:lineRule="auto"/>
            </w:pPr>
            <w:r>
              <w:rPr>
                <w:rFonts w:ascii="Calibri" w:hAnsi="Calibri"/>
                <w:b w:val="0"/>
                <w:i w:val="0"/>
                <w:color w:val="212121"/>
                <w:sz w:val="19"/>
              </w:rPr>
              <w:t>Chronic harmful alcohol use and substance dependence are associated with a high burden of male sexual dysfunction, including premature ejaculation, through neurotoxic, hormonal and psychological pathways; some men also misuse alcohol to self-treat, worsening the problem.</w:t>
            </w:r>
          </w:p>
          <w:p>
            <w:pPr>
              <w:spacing w:after="40" w:before="60" w:line="259" w:lineRule="auto"/>
            </w:pPr>
            <w:r>
              <w:rPr>
                <w:rFonts w:ascii="Calibri" w:hAnsi="Calibri"/>
                <w:b w:val="0"/>
                <w:i w:val="0"/>
                <w:color w:val="212121"/>
                <w:sz w:val="19"/>
              </w:rPr>
              <w:t>Sexual dysfunction, including PE, is highly prevalent among Indian men with alcohol dependence.</w:t>
            </w:r>
          </w:p>
          <w:p>
            <w:pPr>
              <w:spacing w:after="40" w:line="252" w:lineRule="auto"/>
            </w:pPr>
            <w:hyperlink r:id="rId13">
              <w:r>
                <w:rPr>
                  <w:rFonts w:ascii="Calibri" w:hAnsi="Calibri" w:cs="Calibri"/>
                  <w:sz w:val="18"/>
                  <w:color w:val="1155CC"/>
                  <w:u w:val="single"/>
                </w:rPr>
                <w:t xml:space="preserve">pubmed 20711392 — sexual dysfunction &amp; alcohol dependence (India)</w:t>
              </w:r>
            </w:hyperlink>
          </w:p>
          <w:p>
            <w:pPr>
              <w:spacing w:before="60" w:after="40"/>
            </w:pPr>
            <w:r>
              <w:rPr>
                <w:rFonts w:ascii="Calibri" w:hAnsi="Calibri"/>
                <w:b w:val="0"/>
                <w:i w:val="0"/>
                <w:color w:val="5A5A5A"/>
                <w:sz w:val="18"/>
              </w:rPr>
              <w:t>#alcohol  #dependence  #substanceuse  #sexualdysfunction  #selfmedication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Metabolic / obesogenic diet</w:t>
            </w:r>
          </w:p>
        </w:tc>
        <w:tc>
          <w:tcPr>
            <w:tcW w:type="dxa" w:w="2160"/>
            <w:vAlign w:val="top"/>
          </w:tcPr>
          <w:p>
            <w:pPr>
              <w:spacing w:after="40" w:before="0" w:line="259" w:lineRule="auto"/>
            </w:pPr>
            <w:r>
              <w:rPr>
                <w:rFonts w:ascii="Calibri" w:hAnsi="Calibri"/>
                <w:b w:val="0"/>
                <w:i w:val="0"/>
                <w:color w:val="212121"/>
                <w:sz w:val="19"/>
              </w:rPr>
              <w:t>Men with obesity and metabolic syndrome</w:t>
            </w:r>
          </w:p>
        </w:tc>
        <w:tc>
          <w:tcPr>
            <w:tcW w:type="dxa" w:w="4276"/>
            <w:vAlign w:val="top"/>
          </w:tcPr>
          <w:p>
            <w:pPr>
              <w:spacing w:after="60" w:line="259" w:lineRule="auto"/>
            </w:pPr>
            <w:r>
              <w:rPr>
                <w:rFonts w:ascii="Calibri" w:hAnsi="Calibri"/>
                <w:b w:val="0"/>
                <w:i w:val="0"/>
                <w:color w:val="212121"/>
                <w:sz w:val="19"/>
              </w:rPr>
              <w:t>High-calorie, high-refined-carbohydrate diets driving obesity, dyslipidaemia and type 2 diabetes promote endothelial and autonomic dysfunction and erectile dysfunction, which commonly coexists with and aggravates acquired premature ejaculation.</w:t>
            </w:r>
          </w:p>
          <w:p>
            <w:pPr>
              <w:spacing w:after="40" w:before="60" w:line="259" w:lineRule="auto"/>
            </w:pPr>
            <w:r>
              <w:rPr>
                <w:rFonts w:ascii="Calibri" w:hAnsi="Calibri"/>
                <w:b w:val="0"/>
                <w:i w:val="0"/>
                <w:color w:val="212121"/>
                <w:sz w:val="19"/>
              </w:rPr>
              <w:t>Diabetes and metabolic disease are recognised organic contributors to ejaculatory and erectile dysfunction.</w:t>
            </w:r>
          </w:p>
          <w:p>
            <w:pPr>
              <w:spacing w:after="40" w:line="252" w:lineRule="auto"/>
            </w:pPr>
            <w:hyperlink r:id="rId10">
              <w:r>
                <w:rPr>
                  <w:rFonts w:ascii="Calibri" w:hAnsi="Calibri" w:cs="Calibri"/>
                  <w:sz w:val="18"/>
                  <w:color w:val="1155CC"/>
                  <w:u w:val="single"/>
                </w:rPr>
                <w:t xml:space="preserve">statpearls (NBK546701) — diabetes/metabolic causes</w:t>
              </w:r>
            </w:hyperlink>
          </w:p>
          <w:p>
            <w:pPr>
              <w:spacing w:before="60" w:after="40"/>
            </w:pPr>
            <w:r>
              <w:rPr>
                <w:rFonts w:ascii="Calibri" w:hAnsi="Calibri"/>
                <w:b w:val="0"/>
                <w:i w:val="0"/>
                <w:color w:val="5A5A5A"/>
                <w:sz w:val="18"/>
              </w:rPr>
              <w:t>#obesity  #metabolicsyndrome  #diabetes  #dyslipidemia  #erectiledysfunction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5-HTTLPR</w:t>
            </w:r>
          </w:p>
        </w:tc>
        <w:tc>
          <w:tcPr>
            <w:tcW w:type="dxa" w:w="2160"/>
            <w:vAlign w:val="top"/>
          </w:tcPr>
          <w:p>
            <w:pPr>
              <w:spacing w:after="40" w:before="0" w:line="259" w:lineRule="auto"/>
            </w:pPr>
            <w:r>
              <w:rPr>
                <w:rFonts w:ascii="Calibri" w:hAnsi="Calibri"/>
                <w:b w:val="0"/>
                <w:i w:val="0"/>
                <w:color w:val="212121"/>
                <w:sz w:val="19"/>
              </w:rPr>
              <w:t>Men with familial lifelong PE</w:t>
            </w:r>
          </w:p>
        </w:tc>
        <w:tc>
          <w:tcPr>
            <w:tcW w:type="dxa" w:w="4276"/>
            <w:vAlign w:val="top"/>
          </w:tcPr>
          <w:p>
            <w:pPr>
              <w:spacing w:after="60" w:line="259" w:lineRule="auto"/>
            </w:pPr>
            <w:r>
              <w:rPr>
                <w:rFonts w:ascii="Calibri" w:hAnsi="Calibri"/>
                <w:b w:val="0"/>
                <w:i w:val="0"/>
                <w:color w:val="212121"/>
                <w:sz w:val="19"/>
              </w:rPr>
              <w:t>Lifelong PE clusters in families and is linked to inherited variation in serotonergic signalling (including serotonin-transporter 5-HTTLPR polymorphisms), which sets a low ejaculatory threshold from the first sexual experiences.</w:t>
            </w:r>
          </w:p>
          <w:p>
            <w:pPr>
              <w:spacing w:after="40" w:before="60" w:line="259" w:lineRule="auto"/>
            </w:pPr>
            <w:r>
              <w:rPr>
                <w:rFonts w:ascii="Calibri" w:hAnsi="Calibri"/>
                <w:b w:val="0"/>
                <w:i w:val="0"/>
                <w:color w:val="212121"/>
                <w:sz w:val="19"/>
              </w:rPr>
              <w:t>Lifelong PE has a heritable, serotonergic basis; inherited traits and abnormal serotonin levels shorten latency.</w:t>
            </w:r>
          </w:p>
          <w:p>
            <w:pPr>
              <w:spacing w:after="40" w:line="252" w:lineRule="auto"/>
            </w:pPr>
            <w:hyperlink r:id="rId10">
              <w:r>
                <w:rPr>
                  <w:rFonts w:ascii="Calibri" w:hAnsi="Calibri" w:cs="Calibri"/>
                  <w:sz w:val="18"/>
                  <w:color w:val="1155CC"/>
                  <w:u w:val="single"/>
                </w:rPr>
                <w:t xml:space="preserve">statpearls (NBK546701) — serotonin &amp; inherited traits</w:t>
              </w:r>
            </w:hyperlink>
          </w:p>
          <w:p>
            <w:pPr>
              <w:spacing w:before="60" w:after="40"/>
            </w:pPr>
            <w:r>
              <w:rPr>
                <w:rFonts w:ascii="Calibri" w:hAnsi="Calibri"/>
                <w:b w:val="0"/>
                <w:i w:val="0"/>
                <w:color w:val="5A5A5A"/>
                <w:sz w:val="18"/>
              </w:rPr>
              <w:t>#genetics  #5HTTLPR  #serotonin  #lifelongPE  #heritability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Erectile dysfunction</w:t>
            </w:r>
          </w:p>
        </w:tc>
        <w:tc>
          <w:tcPr>
            <w:tcW w:type="dxa" w:w="2160"/>
            <w:vAlign w:val="top"/>
          </w:tcPr>
          <w:p>
            <w:pPr>
              <w:spacing w:after="40" w:before="0" w:line="259" w:lineRule="auto"/>
            </w:pPr>
            <w:r>
              <w:rPr>
                <w:rFonts w:ascii="Calibri" w:hAnsi="Calibri"/>
                <w:b w:val="0"/>
                <w:i w:val="0"/>
                <w:color w:val="212121"/>
                <w:sz w:val="19"/>
              </w:rPr>
              <w:t>Men with coexisting erectile dysfunction</w:t>
            </w:r>
          </w:p>
        </w:tc>
        <w:tc>
          <w:tcPr>
            <w:tcW w:type="dxa" w:w="4276"/>
            <w:vAlign w:val="top"/>
          </w:tcPr>
          <w:p>
            <w:pPr>
              <w:spacing w:after="60" w:line="259" w:lineRule="auto"/>
            </w:pPr>
            <w:r>
              <w:rPr>
                <w:rFonts w:ascii="Calibri" w:hAnsi="Calibri"/>
                <w:b w:val="0"/>
                <w:i w:val="0"/>
                <w:color w:val="212121"/>
                <w:sz w:val="19"/>
              </w:rPr>
              <w:t>ED and PE frequently coexist and reinforce each other: fear of losing the erection makes men rush to ejaculate, while anxiety about PE worsens erectile function. Coexisting ED changes management — the ED is often treated first.</w:t>
            </w:r>
          </w:p>
          <w:p>
            <w:pPr>
              <w:spacing w:after="40" w:before="60" w:line="259" w:lineRule="auto"/>
            </w:pPr>
            <w:r>
              <w:rPr>
                <w:rFonts w:ascii="Calibri" w:hAnsi="Calibri"/>
                <w:b w:val="0"/>
                <w:i w:val="0"/>
                <w:color w:val="212121"/>
                <w:sz w:val="19"/>
              </w:rPr>
              <w:t>About 30% of men with premature ejaculation also report erectile dysfunction.</w:t>
            </w:r>
          </w:p>
          <w:p>
            <w:pPr>
              <w:spacing w:after="40" w:line="252" w:lineRule="auto"/>
            </w:pPr>
            <w:hyperlink r:id="rId10">
              <w:r>
                <w:rPr>
                  <w:rFonts w:ascii="Calibri" w:hAnsi="Calibri" w:cs="Calibri"/>
                  <w:sz w:val="18"/>
                  <w:color w:val="1155CC"/>
                  <w:u w:val="single"/>
                </w:rPr>
                <w:t xml:space="preserve">statpearls (NBK546701) — ~30% of PE men also have ED</w:t>
              </w:r>
            </w:hyperlink>
          </w:p>
          <w:p>
            <w:pPr>
              <w:spacing w:before="60" w:after="40"/>
            </w:pPr>
            <w:r>
              <w:rPr>
                <w:rFonts w:ascii="Calibri" w:hAnsi="Calibri"/>
                <w:b w:val="0"/>
                <w:i w:val="0"/>
                <w:color w:val="5A5A5A"/>
                <w:sz w:val="18"/>
              </w:rPr>
              <w:t>#erectiledysfunction  #comorbidity  #PDE5i  #rushing  #anxiety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prostatitis / CPPS</w:t>
            </w:r>
          </w:p>
        </w:tc>
        <w:tc>
          <w:tcPr>
            <w:tcW w:type="dxa" w:w="2160"/>
            <w:vAlign w:val="top"/>
          </w:tcPr>
          <w:p>
            <w:pPr>
              <w:spacing w:after="40" w:before="0" w:line="259" w:lineRule="auto"/>
            </w:pPr>
            <w:r>
              <w:rPr>
                <w:rFonts w:ascii="Calibri" w:hAnsi="Calibri"/>
                <w:b w:val="0"/>
                <w:i w:val="0"/>
                <w:color w:val="212121"/>
                <w:sz w:val="19"/>
              </w:rPr>
              <w:t>Men with chronic prostatitis</w:t>
            </w:r>
          </w:p>
        </w:tc>
        <w:tc>
          <w:tcPr>
            <w:tcW w:type="dxa" w:w="4276"/>
            <w:vAlign w:val="top"/>
          </w:tcPr>
          <w:p>
            <w:pPr>
              <w:spacing w:after="60" w:line="259" w:lineRule="auto"/>
            </w:pPr>
            <w:r>
              <w:rPr>
                <w:rFonts w:ascii="Calibri" w:hAnsi="Calibri"/>
                <w:b w:val="0"/>
                <w:i w:val="0"/>
                <w:color w:val="212121"/>
                <w:sz w:val="19"/>
              </w:rPr>
              <w:t>Prostatic and lower-urinary-tract inflammation is a common organic cause of acquired PE; sexual dysfunction (including PE, painful and premature ejaculation) is highly prevalent in chronic prostatitis / chronic pelvic pain syndrome, and treating the prostatitis can improve ejaculatory control.</w:t>
            </w:r>
          </w:p>
          <w:p>
            <w:pPr>
              <w:spacing w:after="40" w:before="60" w:line="259" w:lineRule="auto"/>
            </w:pPr>
            <w:r>
              <w:rPr>
                <w:rFonts w:ascii="Calibri" w:hAnsi="Calibri"/>
                <w:b w:val="0"/>
                <w:i w:val="0"/>
                <w:color w:val="212121"/>
                <w:sz w:val="19"/>
              </w:rPr>
              <w:t>Prostate/urethral inflammation is a recognised cause of PE; PE is common in chronic prostatitis/CPPS.</w:t>
            </w:r>
          </w:p>
          <w:p>
            <w:pPr>
              <w:spacing w:after="40" w:line="252" w:lineRule="auto"/>
            </w:pPr>
            <w:hyperlink r:id="rId10">
              <w:r>
                <w:rPr>
                  <w:rFonts w:ascii="Calibri" w:hAnsi="Calibri" w:cs="Calibri"/>
                  <w:sz w:val="18"/>
                  <w:color w:val="1155CC"/>
                  <w:u w:val="single"/>
                </w:rPr>
                <w:t xml:space="preserve">statpearls (NBK546701) — prostatic inflammation as a cause</w:t>
              </w:r>
            </w:hyperlink>
          </w:p>
          <w:p>
            <w:pPr>
              <w:spacing w:before="60" w:after="40"/>
            </w:pPr>
            <w:r>
              <w:rPr>
                <w:rFonts w:ascii="Calibri" w:hAnsi="Calibri"/>
                <w:b w:val="0"/>
                <w:i w:val="0"/>
                <w:color w:val="5A5A5A"/>
                <w:sz w:val="18"/>
              </w:rPr>
              <w:t>#prostatitis  #CPPS  #pelvicpain  #acquiredPE  #urology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Hyperthyroidism</w:t>
            </w:r>
          </w:p>
        </w:tc>
        <w:tc>
          <w:tcPr>
            <w:tcW w:type="dxa" w:w="2160"/>
            <w:vAlign w:val="top"/>
          </w:tcPr>
          <w:p>
            <w:pPr>
              <w:spacing w:after="40" w:before="0" w:line="259" w:lineRule="auto"/>
            </w:pPr>
            <w:r>
              <w:rPr>
                <w:rFonts w:ascii="Calibri" w:hAnsi="Calibri"/>
                <w:b w:val="0"/>
                <w:i w:val="0"/>
                <w:color w:val="212121"/>
                <w:sz w:val="19"/>
              </w:rPr>
              <w:t>Men with hyperthyroidism</w:t>
            </w:r>
          </w:p>
        </w:tc>
        <w:tc>
          <w:tcPr>
            <w:tcW w:type="dxa" w:w="4276"/>
            <w:vAlign w:val="top"/>
          </w:tcPr>
          <w:p>
            <w:pPr>
              <w:spacing w:after="60" w:line="259" w:lineRule="auto"/>
            </w:pPr>
            <w:r>
              <w:rPr>
                <w:rFonts w:ascii="Calibri" w:hAnsi="Calibri"/>
                <w:b w:val="0"/>
                <w:i w:val="0"/>
                <w:color w:val="212121"/>
                <w:sz w:val="19"/>
              </w:rPr>
              <w:t>Hyperthyroidism accelerates the ejaculatory reflex and is a well-recognised, reversible cause of acquired PE; screening thyroid function is important because correcting the thyroid state can resolve the PE, whereas testosterone replacement is ineffective.</w:t>
            </w:r>
          </w:p>
          <w:p>
            <w:pPr>
              <w:spacing w:after="40" w:before="60" w:line="259" w:lineRule="auto"/>
            </w:pPr>
            <w:r>
              <w:rPr>
                <w:rFonts w:ascii="Calibri" w:hAnsi="Calibri"/>
                <w:b w:val="0"/>
                <w:i w:val="0"/>
                <w:color w:val="212121"/>
                <w:sz w:val="19"/>
              </w:rPr>
              <w:t>Hyperthyroidism is a treatable cause of PE; correcting thyroid status can resolve it.</w:t>
            </w:r>
          </w:p>
          <w:p>
            <w:pPr>
              <w:spacing w:after="40" w:line="252" w:lineRule="auto"/>
            </w:pPr>
            <w:hyperlink r:id="rId10">
              <w:r>
                <w:rPr>
                  <w:rFonts w:ascii="Calibri" w:hAnsi="Calibri" w:cs="Calibri"/>
                  <w:sz w:val="18"/>
                  <w:color w:val="1155CC"/>
                  <w:u w:val="single"/>
                </w:rPr>
                <w:t xml:space="preserve">statpearls (NBK546701) — hyperthyroidism &amp; PE</w:t>
              </w:r>
            </w:hyperlink>
          </w:p>
          <w:p>
            <w:pPr>
              <w:spacing w:before="60" w:after="40"/>
            </w:pPr>
            <w:r>
              <w:rPr>
                <w:rFonts w:ascii="Calibri" w:hAnsi="Calibri"/>
                <w:b w:val="0"/>
                <w:i w:val="0"/>
                <w:color w:val="5A5A5A"/>
                <w:sz w:val="18"/>
              </w:rPr>
              <w:t>#hyperthyroidism  #TSH  #reversiblecause  #acquiredPE  #endocrine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 depression</w:t>
            </w:r>
          </w:p>
        </w:tc>
        <w:tc>
          <w:tcPr>
            <w:tcW w:type="dxa" w:w="2160"/>
            <w:vAlign w:val="top"/>
          </w:tcPr>
          <w:p>
            <w:pPr>
              <w:spacing w:after="40" w:before="0" w:line="259" w:lineRule="auto"/>
            </w:pPr>
            <w:r>
              <w:rPr>
                <w:rFonts w:ascii="Calibri" w:hAnsi="Calibri"/>
                <w:b w:val="0"/>
                <w:i w:val="0"/>
                <w:color w:val="212121"/>
                <w:sz w:val="19"/>
              </w:rPr>
              <w:t>Men with anxiety or depression</w:t>
            </w:r>
          </w:p>
        </w:tc>
        <w:tc>
          <w:tcPr>
            <w:tcW w:type="dxa" w:w="4276"/>
            <w:vAlign w:val="top"/>
          </w:tcPr>
          <w:p>
            <w:pPr>
              <w:spacing w:after="60" w:line="259" w:lineRule="auto"/>
            </w:pPr>
            <w:r>
              <w:rPr>
                <w:rFonts w:ascii="Calibri" w:hAnsi="Calibri"/>
                <w:b w:val="0"/>
                <w:i w:val="0"/>
                <w:color w:val="212121"/>
                <w:sz w:val="19"/>
              </w:rPr>
              <w:t>Performance and generalised anxiety, stress and depression are strongly and bidirectionally linked to PE — they lower the ejaculatory threshold and are worsened by the distress of PE — and are central targets of psychosexual and, where appropriate, pharmacological therapy.</w:t>
            </w:r>
          </w:p>
          <w:p>
            <w:pPr>
              <w:spacing w:after="40" w:before="60" w:line="259" w:lineRule="auto"/>
            </w:pPr>
            <w:r>
              <w:rPr>
                <w:rFonts w:ascii="Calibri" w:hAnsi="Calibri"/>
                <w:b w:val="0"/>
                <w:i w:val="0"/>
                <w:color w:val="212121"/>
                <w:sz w:val="19"/>
              </w:rPr>
              <w:t>Anxiety, stress and depression are leading psychological drivers of, and consequences of, PE.</w:t>
            </w:r>
          </w:p>
          <w:p>
            <w:pPr>
              <w:spacing w:after="40" w:line="252" w:lineRule="auto"/>
            </w:pPr>
            <w:hyperlink r:id="rId12">
              <w:r>
                <w:rPr>
                  <w:rFonts w:ascii="Calibri" w:hAnsi="Calibri" w:cs="Calibri"/>
                  <w:sz w:val="18"/>
                  <w:color w:val="1155CC"/>
                  <w:u w:val="single"/>
                </w:rPr>
                <w:t xml:space="preserve">healthline.com — anxiety/depression and PE</w:t>
              </w:r>
            </w:hyperlink>
          </w:p>
          <w:p>
            <w:pPr>
              <w:spacing w:before="60" w:after="40"/>
            </w:pPr>
            <w:r>
              <w:rPr>
                <w:rFonts w:ascii="Calibri" w:hAnsi="Calibri"/>
                <w:b w:val="0"/>
                <w:i w:val="0"/>
                <w:color w:val="5A5A5A"/>
                <w:sz w:val="18"/>
              </w:rPr>
              <w:t>#anxiety  #depression  #performanceanxiety  #bidirectional  #psychosexual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Men with diabetes</w:t>
            </w:r>
          </w:p>
        </w:tc>
        <w:tc>
          <w:tcPr>
            <w:tcW w:type="dxa" w:w="4276"/>
            <w:vAlign w:val="top"/>
          </w:tcPr>
          <w:p>
            <w:pPr>
              <w:spacing w:after="60" w:line="259" w:lineRule="auto"/>
            </w:pPr>
            <w:r>
              <w:rPr>
                <w:rFonts w:ascii="Calibri" w:hAnsi="Calibri"/>
                <w:b w:val="0"/>
                <w:i w:val="0"/>
                <w:color w:val="212121"/>
                <w:sz w:val="19"/>
              </w:rPr>
              <w:t>Diabetes causes autonomic neuropathy and endothelial dysfunction that impair both erectile and ejaculatory function; diabetic men have a high burden of sexual dysfunction, and glycaemic and vascular control influence outcomes.</w:t>
            </w:r>
          </w:p>
          <w:p>
            <w:pPr>
              <w:spacing w:after="40" w:before="60" w:line="259" w:lineRule="auto"/>
            </w:pPr>
            <w:r>
              <w:rPr>
                <w:rFonts w:ascii="Calibri" w:hAnsi="Calibri"/>
                <w:b w:val="0"/>
                <w:i w:val="0"/>
                <w:color w:val="212121"/>
                <w:sz w:val="19"/>
              </w:rPr>
              <w:t>Diabetes is a recognised organic contributor to erectile and ejaculatory dysfunction in men.</w:t>
            </w:r>
          </w:p>
          <w:p>
            <w:pPr>
              <w:spacing w:after="40" w:line="252" w:lineRule="auto"/>
            </w:pPr>
            <w:hyperlink r:id="rId14">
              <w:r>
                <w:rPr>
                  <w:rFonts w:ascii="Calibri" w:hAnsi="Calibri" w:cs="Calibri"/>
                  <w:sz w:val="18"/>
                  <w:color w:val="1155CC"/>
                  <w:u w:val="single"/>
                </w:rPr>
                <w:t xml:space="preserve">pubmed 33187038 — ED &amp; sexual dysfunction in India (diabetes)</w:t>
              </w:r>
            </w:hyperlink>
          </w:p>
          <w:p>
            <w:pPr>
              <w:spacing w:before="60" w:after="40"/>
            </w:pPr>
            <w:r>
              <w:rPr>
                <w:rFonts w:ascii="Calibri" w:hAnsi="Calibri"/>
                <w:b w:val="0"/>
                <w:i w:val="0"/>
                <w:color w:val="5A5A5A"/>
                <w:sz w:val="18"/>
              </w:rPr>
              <w:t>#diabetes  #autonomicneuropathy  #endothelial  #sexualdysfunction  #metabolic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Pelvic-floor muscle training (Kegel exercises) improves voluntary control of the expulsion phase and can lengthen ejaculatory latency, and regular aerobic exercise and weight loss improve erectile function; a sedentary, obese lifestyle worsens the ED that commonly coexists with PE.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of PE, but obesogenic, high-glycaemic diets driving obesity, diabetes and dyslipidaemia promote erectile and autonomic dysfunction that can aggravate acquired PE.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fatigue and untreated obstructive sleep apnoea lower testosterone and worsen mood, libido and erectile function, indirectly contributing to sexual dysfunction including PE.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penile vascular and erectile function and raises sympathetic tone; the resulting erectile difficulty and rushing to ejaculate can worsen premature ejaculation.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Harmful alcohol use and dependence are associated with a high prevalence of male sexual dysfunction including PE; men who self-medicate with alcohol may transiently delay but ultimately worsen control.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Performance and anticipatory anxiety, stress and depression are the dominant, bidirectional psychological drivers of PE; addressing them with psychosexual therapy and CBT is central to management.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direct role of hydration in premature ejaculation.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stimulant that may heighten arousal and anxiety in susceptible men; evidence for a direct effect on ejaculatory latency is weak and inconsistent.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Genito-urinary hygiene and safe sexual practices matter mainly indirectly, by reducing prostatitis and lower urinary tract infection that can cause acquired PE.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Characteristic triggers precipitate or worsen episodes — performance/anticipatory anxiety, a new or novel partner, prolonged abstinence or infrequent sex, very high arousal, relationship stress, and coexisting erectile dysfunction or prostatitis.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Intravaginal ejaculatory latency time (IELT)</w:t>
            </w:r>
          </w:p>
        </w:tc>
        <w:tc>
          <w:tcPr>
            <w:tcW w:type="dxa" w:w="1655"/>
            <w:vAlign w:val="top"/>
          </w:tcPr>
          <w:p>
            <w:pPr>
              <w:spacing w:after="40" w:before="0" w:line="259" w:lineRule="auto"/>
            </w:pPr>
            <w:r>
              <w:rPr>
                <w:rFonts w:ascii="Calibri" w:hAnsi="Calibri"/>
                <w:b w:val="0"/>
                <w:i w:val="0"/>
                <w:color w:val="212121"/>
                <w:sz w:val="19"/>
              </w:rPr>
              <w:t>Men with PE</w:t>
            </w:r>
          </w:p>
        </w:tc>
        <w:tc>
          <w:tcPr>
            <w:tcW w:type="dxa" w:w="1512"/>
            <w:vAlign w:val="top"/>
          </w:tcPr>
          <w:p>
            <w:pPr>
              <w:spacing w:after="40" w:before="0" w:line="259" w:lineRule="auto"/>
            </w:pPr>
            <w:r>
              <w:rPr>
                <w:rFonts w:ascii="Calibri" w:hAnsi="Calibri"/>
                <w:b w:val="0"/>
                <w:i w:val="0"/>
                <w:color w:val="212121"/>
                <w:sz w:val="19"/>
              </w:rPr>
              <w:t>Satisfactory control; population median ~5–6 min</w:t>
            </w:r>
          </w:p>
        </w:tc>
        <w:tc>
          <w:tcPr>
            <w:tcW w:type="dxa" w:w="1512"/>
            <w:vAlign w:val="top"/>
          </w:tcPr>
          <w:p>
            <w:pPr>
              <w:spacing w:after="40" w:before="0" w:line="259" w:lineRule="auto"/>
            </w:pPr>
            <w:r>
              <w:rPr>
                <w:rFonts w:ascii="Calibri" w:hAnsi="Calibri"/>
                <w:b w:val="0"/>
                <w:i w:val="0"/>
                <w:color w:val="212121"/>
                <w:sz w:val="19"/>
              </w:rPr>
              <w:t>&lt; 1 min (lifelong) or reduced to ≤ 3 min (acquired)</w:t>
            </w:r>
          </w:p>
        </w:tc>
        <w:tc>
          <w:tcPr>
            <w:tcW w:type="dxa" w:w="1468"/>
            <w:vAlign w:val="top"/>
          </w:tcPr>
          <w:p>
            <w:pPr>
              <w:spacing w:after="60" w:line="259" w:lineRule="auto"/>
            </w:pPr>
            <w:r>
              <w:rPr>
                <w:rFonts w:ascii="Calibri" w:hAnsi="Calibri"/>
                <w:b w:val="0"/>
                <w:i w:val="0"/>
                <w:color w:val="212121"/>
                <w:sz w:val="19"/>
              </w:rPr>
              <w:t>Core diagnostic metric; self-estimated IELT correlates reasonably with stopwatch timing</w:t>
            </w:r>
          </w:p>
          <w:p>
            <w:pPr>
              <w:spacing w:after="40" w:line="252" w:lineRule="auto"/>
            </w:pPr>
            <w:hyperlink r:id="rId10">
              <w:r>
                <w:rPr>
                  <w:rFonts w:ascii="Calibri" w:hAnsi="Calibri" w:cs="Calibri"/>
                  <w:sz w:val="18"/>
                  <w:color w:val="1155CC"/>
                  <w:u w:val="single"/>
                </w:rPr>
                <w:t xml:space="preserve">https://www.ncbi.nlm.nih.gov/books/NBK546701/</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Premature Ejaculation Diagnostic Tool (PEDT, 0–20)</w:t>
            </w:r>
          </w:p>
        </w:tc>
        <w:tc>
          <w:tcPr>
            <w:tcW w:type="dxa" w:w="1655"/>
            <w:vAlign w:val="top"/>
          </w:tcPr>
          <w:p>
            <w:pPr>
              <w:spacing w:after="40" w:before="0" w:line="259" w:lineRule="auto"/>
            </w:pPr>
            <w:r>
              <w:rPr>
                <w:rFonts w:ascii="Calibri" w:hAnsi="Calibri"/>
                <w:b w:val="0"/>
                <w:i w:val="0"/>
                <w:color w:val="212121"/>
                <w:sz w:val="19"/>
              </w:rPr>
              <w:t>Men with suspected PE</w:t>
            </w:r>
          </w:p>
        </w:tc>
        <w:tc>
          <w:tcPr>
            <w:tcW w:type="dxa" w:w="1512"/>
            <w:vAlign w:val="top"/>
          </w:tcPr>
          <w:p>
            <w:pPr>
              <w:spacing w:after="40" w:before="0" w:line="259" w:lineRule="auto"/>
            </w:pPr>
            <w:r>
              <w:rPr>
                <w:rFonts w:ascii="Calibri" w:hAnsi="Calibri"/>
                <w:b w:val="0"/>
                <w:i w:val="0"/>
                <w:color w:val="212121"/>
                <w:sz w:val="19"/>
              </w:rPr>
              <w:t>≤ 8 (no PE)</w:t>
            </w:r>
          </w:p>
        </w:tc>
        <w:tc>
          <w:tcPr>
            <w:tcW w:type="dxa" w:w="1512"/>
            <w:vAlign w:val="top"/>
          </w:tcPr>
          <w:p>
            <w:pPr>
              <w:spacing w:after="40" w:before="0" w:line="259" w:lineRule="auto"/>
            </w:pPr>
            <w:r>
              <w:rPr>
                <w:rFonts w:ascii="Calibri" w:hAnsi="Calibri"/>
                <w:b w:val="0"/>
                <w:i w:val="0"/>
                <w:color w:val="212121"/>
                <w:sz w:val="19"/>
              </w:rPr>
              <w:t>≥ 11 (PE likely); 9–10 probable</w:t>
            </w:r>
          </w:p>
        </w:tc>
        <w:tc>
          <w:tcPr>
            <w:tcW w:type="dxa" w:w="1468"/>
            <w:vAlign w:val="top"/>
          </w:tcPr>
          <w:p>
            <w:pPr>
              <w:spacing w:after="40" w:before="0" w:line="259" w:lineRule="auto"/>
            </w:pPr>
            <w:r>
              <w:rPr>
                <w:rFonts w:ascii="Calibri" w:hAnsi="Calibri"/>
                <w:b w:val="0"/>
                <w:i w:val="0"/>
                <w:color w:val="212121"/>
                <w:sz w:val="19"/>
              </w:rPr>
              <w:t>Validated patient-reported questionnaire for diagnosis severity and follow-up</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Pelvic-floor muscle training (Kegels)</w:t>
            </w:r>
          </w:p>
        </w:tc>
        <w:tc>
          <w:tcPr>
            <w:tcW w:type="dxa" w:w="1655"/>
            <w:vAlign w:val="top"/>
          </w:tcPr>
          <w:p>
            <w:pPr>
              <w:spacing w:after="40" w:before="0" w:line="259" w:lineRule="auto"/>
            </w:pPr>
            <w:r>
              <w:rPr>
                <w:rFonts w:ascii="Calibri" w:hAnsi="Calibri"/>
                <w:b w:val="0"/>
                <w:i w:val="0"/>
                <w:color w:val="212121"/>
                <w:sz w:val="19"/>
              </w:rPr>
              <w:t>Men with PE</w:t>
            </w:r>
          </w:p>
        </w:tc>
        <w:tc>
          <w:tcPr>
            <w:tcW w:type="dxa" w:w="1512"/>
            <w:vAlign w:val="top"/>
          </w:tcPr>
          <w:p>
            <w:pPr>
              <w:spacing w:after="40" w:before="0" w:line="259" w:lineRule="auto"/>
            </w:pPr>
            <w:r>
              <w:rPr>
                <w:rFonts w:ascii="Calibri" w:hAnsi="Calibri"/>
                <w:b w:val="0"/>
                <w:i w:val="0"/>
                <w:color w:val="212121"/>
                <w:sz w:val="19"/>
              </w:rPr>
              <w:t>Regular daily programme with good technique</w:t>
            </w:r>
          </w:p>
        </w:tc>
        <w:tc>
          <w:tcPr>
            <w:tcW w:type="dxa" w:w="1512"/>
            <w:vAlign w:val="top"/>
          </w:tcPr>
          <w:p>
            <w:pPr>
              <w:spacing w:after="40" w:before="0" w:line="259" w:lineRule="auto"/>
            </w:pPr>
            <w:r>
              <w:rPr>
                <w:rFonts w:ascii="Calibri" w:hAnsi="Calibri"/>
                <w:b w:val="0"/>
                <w:i w:val="0"/>
                <w:color w:val="212121"/>
                <w:sz w:val="19"/>
              </w:rPr>
              <w:t>Weak/uncoordinated pelvic floor; no training</w:t>
            </w:r>
          </w:p>
        </w:tc>
        <w:tc>
          <w:tcPr>
            <w:tcW w:type="dxa" w:w="1468"/>
            <w:vAlign w:val="top"/>
          </w:tcPr>
          <w:p>
            <w:pPr>
              <w:spacing w:after="60" w:line="259" w:lineRule="auto"/>
            </w:pPr>
            <w:r>
              <w:rPr>
                <w:rFonts w:ascii="Calibri" w:hAnsi="Calibri"/>
                <w:b w:val="0"/>
                <w:i w:val="0"/>
                <w:color w:val="212121"/>
                <w:sz w:val="19"/>
              </w:rPr>
              <w:t>Strengthening improves voluntary control of ejaculation</w:t>
            </w:r>
          </w:p>
          <w:p>
            <w:pPr>
              <w:spacing w:after="40" w:line="252" w:lineRule="auto"/>
            </w:pPr>
            <w:hyperlink r:id="rId12">
              <w:r>
                <w:rPr>
                  <w:rFonts w:ascii="Calibri" w:hAnsi="Calibri" w:cs="Calibri"/>
                  <w:sz w:val="18"/>
                  <w:color w:val="1155CC"/>
                  <w:u w:val="single"/>
                </w:rPr>
                <w:t xml:space="preserve">https://www.healthline.com/health/mens-health/premature-ejaculation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18.5–22.9 kg/m² (Asian-Indian)</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worsens erectile function and metabolic risk that aggravate acquired PE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severity (e.g., GAD-7)</w:t>
            </w:r>
          </w:p>
        </w:tc>
        <w:tc>
          <w:tcPr>
            <w:tcW w:type="dxa" w:w="1655"/>
            <w:vAlign w:val="top"/>
          </w:tcPr>
          <w:p>
            <w:pPr>
              <w:spacing w:after="40" w:before="0" w:line="259" w:lineRule="auto"/>
            </w:pPr>
            <w:r>
              <w:rPr>
                <w:rFonts w:ascii="Calibri" w:hAnsi="Calibri"/>
                <w:b w:val="0"/>
                <w:i w:val="0"/>
                <w:color w:val="212121"/>
                <w:sz w:val="19"/>
              </w:rPr>
              <w:t>Anxious men</w:t>
            </w:r>
          </w:p>
        </w:tc>
        <w:tc>
          <w:tcPr>
            <w:tcW w:type="dxa" w:w="1512"/>
            <w:vAlign w:val="top"/>
          </w:tcPr>
          <w:p>
            <w:pPr>
              <w:spacing w:after="40" w:before="0" w:line="259" w:lineRule="auto"/>
            </w:pPr>
            <w:r>
              <w:rPr>
                <w:rFonts w:ascii="Calibri" w:hAnsi="Calibri"/>
                <w:b w:val="0"/>
                <w:i w:val="0"/>
                <w:color w:val="212121"/>
                <w:sz w:val="19"/>
              </w:rPr>
              <w:t>Minimal anxiety</w:t>
            </w:r>
          </w:p>
        </w:tc>
        <w:tc>
          <w:tcPr>
            <w:tcW w:type="dxa" w:w="1512"/>
            <w:vAlign w:val="top"/>
          </w:tcPr>
          <w:p>
            <w:pPr>
              <w:spacing w:after="40" w:before="0" w:line="259" w:lineRule="auto"/>
            </w:pPr>
            <w:r>
              <w:rPr>
                <w:rFonts w:ascii="Calibri" w:hAnsi="Calibri"/>
                <w:b w:val="0"/>
                <w:i w:val="0"/>
                <w:color w:val="212121"/>
                <w:sz w:val="19"/>
              </w:rPr>
              <w:t>Moderate–severe anxiety</w:t>
            </w:r>
          </w:p>
        </w:tc>
        <w:tc>
          <w:tcPr>
            <w:tcW w:type="dxa" w:w="1468"/>
            <w:vAlign w:val="top"/>
          </w:tcPr>
          <w:p>
            <w:pPr>
              <w:spacing w:after="40" w:before="0" w:line="259" w:lineRule="auto"/>
            </w:pPr>
            <w:r>
              <w:rPr>
                <w:rFonts w:ascii="Calibri" w:hAnsi="Calibri"/>
                <w:b w:val="0"/>
                <w:i w:val="0"/>
                <w:color w:val="212121"/>
                <w:sz w:val="19"/>
              </w:rPr>
              <w:t>Performance/generalised anxiety lowers the ejaculatory threshold and maintains PE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penile vascular/erectile function relevant to PE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None to low / moderate</w:t>
            </w:r>
          </w:p>
        </w:tc>
        <w:tc>
          <w:tcPr>
            <w:tcW w:type="dxa" w:w="1512"/>
            <w:vAlign w:val="top"/>
          </w:tcPr>
          <w:p>
            <w:pPr>
              <w:spacing w:after="40" w:before="0" w:line="259" w:lineRule="auto"/>
            </w:pPr>
            <w:r>
              <w:rPr>
                <w:rFonts w:ascii="Calibri" w:hAnsi="Calibri"/>
                <w:b w:val="0"/>
                <w:i w:val="0"/>
                <w:color w:val="212121"/>
                <w:sz w:val="19"/>
              </w:rPr>
              <w:t>Heavy or dependent use</w:t>
            </w:r>
          </w:p>
        </w:tc>
        <w:tc>
          <w:tcPr>
            <w:tcW w:type="dxa" w:w="1468"/>
            <w:vAlign w:val="top"/>
          </w:tcPr>
          <w:p>
            <w:pPr>
              <w:spacing w:after="60" w:line="259" w:lineRule="auto"/>
            </w:pPr>
            <w:r>
              <w:rPr>
                <w:rFonts w:ascii="Calibri" w:hAnsi="Calibri"/>
                <w:b w:val="0"/>
                <w:i w:val="0"/>
                <w:color w:val="212121"/>
                <w:sz w:val="19"/>
              </w:rPr>
              <w:t>Dependence is strongly associated with male sexual dysfunction including PE</w:t>
            </w:r>
          </w:p>
          <w:p>
            <w:pPr>
              <w:spacing w:after="40" w:line="252" w:lineRule="auto"/>
            </w:pPr>
            <w:hyperlink r:id="rId13">
              <w:r>
                <w:rPr>
                  <w:rFonts w:ascii="Calibri" w:hAnsi="Calibri" w:cs="Calibri"/>
                  <w:sz w:val="18"/>
                  <w:color w:val="1155CC"/>
                  <w:u w:val="single"/>
                </w:rPr>
                <w:t xml:space="preserve">https://pubmed.ncbi.nlm.nih.gov/20711392/</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Fatigued/stressed men</w:t>
            </w:r>
          </w:p>
        </w:tc>
        <w:tc>
          <w:tcPr>
            <w:tcW w:type="dxa" w:w="1512"/>
            <w:vAlign w:val="top"/>
          </w:tcPr>
          <w:p>
            <w:pPr>
              <w:spacing w:after="40" w:before="0" w:line="259" w:lineRule="auto"/>
            </w:pPr>
            <w:r>
              <w:rPr>
                <w:rFonts w:ascii="Calibri" w:hAnsi="Calibri"/>
                <w:b w:val="0"/>
                <w:i w:val="0"/>
                <w:color w:val="212121"/>
                <w:sz w:val="19"/>
              </w:rPr>
              <w:t>7–9 h, restorative</w:t>
            </w:r>
          </w:p>
        </w:tc>
        <w:tc>
          <w:tcPr>
            <w:tcW w:type="dxa" w:w="1512"/>
            <w:vAlign w:val="top"/>
          </w:tcPr>
          <w:p>
            <w:pPr>
              <w:spacing w:after="40" w:before="0" w:line="259" w:lineRule="auto"/>
            </w:pPr>
            <w:r>
              <w:rPr>
                <w:rFonts w:ascii="Calibri" w:hAnsi="Calibri"/>
                <w:b w:val="0"/>
                <w:i w:val="0"/>
                <w:color w:val="212121"/>
                <w:sz w:val="19"/>
              </w:rPr>
              <w:t>&lt; 6 h or untreated obstructive sleep apnoea</w:t>
            </w:r>
          </w:p>
        </w:tc>
        <w:tc>
          <w:tcPr>
            <w:tcW w:type="dxa" w:w="1468"/>
            <w:vAlign w:val="top"/>
          </w:tcPr>
          <w:p>
            <w:pPr>
              <w:spacing w:after="40" w:before="0" w:line="259" w:lineRule="auto"/>
            </w:pPr>
            <w:r>
              <w:rPr>
                <w:rFonts w:ascii="Calibri" w:hAnsi="Calibri"/>
                <w:b w:val="0"/>
                <w:i w:val="0"/>
                <w:color w:val="212121"/>
                <w:sz w:val="19"/>
              </w:rPr>
              <w:t>Poor sleep lowers testosterone and worsens libido and erectile function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Coital frequency / abstinence interval</w:t>
            </w:r>
          </w:p>
        </w:tc>
        <w:tc>
          <w:tcPr>
            <w:tcW w:type="dxa" w:w="1655"/>
            <w:vAlign w:val="top"/>
          </w:tcPr>
          <w:p>
            <w:pPr>
              <w:spacing w:after="40" w:before="0" w:line="259" w:lineRule="auto"/>
            </w:pPr>
            <w:r>
              <w:rPr>
                <w:rFonts w:ascii="Calibri" w:hAnsi="Calibri"/>
                <w:b w:val="0"/>
                <w:i w:val="0"/>
                <w:color w:val="212121"/>
                <w:sz w:val="19"/>
              </w:rPr>
              <w:t>Men with PE</w:t>
            </w:r>
          </w:p>
        </w:tc>
        <w:tc>
          <w:tcPr>
            <w:tcW w:type="dxa" w:w="1512"/>
            <w:vAlign w:val="top"/>
          </w:tcPr>
          <w:p>
            <w:pPr>
              <w:spacing w:after="40" w:before="0" w:line="259" w:lineRule="auto"/>
            </w:pPr>
            <w:r>
              <w:rPr>
                <w:rFonts w:ascii="Calibri" w:hAnsi="Calibri"/>
                <w:b w:val="0"/>
                <w:i w:val="0"/>
                <w:color w:val="212121"/>
                <w:sz w:val="19"/>
              </w:rPr>
              <w:t>Regular, unhurried sexual activity</w:t>
            </w:r>
          </w:p>
        </w:tc>
        <w:tc>
          <w:tcPr>
            <w:tcW w:type="dxa" w:w="1512"/>
            <w:vAlign w:val="top"/>
          </w:tcPr>
          <w:p>
            <w:pPr>
              <w:spacing w:after="40" w:before="0" w:line="259" w:lineRule="auto"/>
            </w:pPr>
            <w:r>
              <w:rPr>
                <w:rFonts w:ascii="Calibri" w:hAnsi="Calibri"/>
                <w:b w:val="0"/>
                <w:i w:val="0"/>
                <w:color w:val="212121"/>
                <w:sz w:val="19"/>
              </w:rPr>
              <w:t>Prolonged abstinence, very infrequent sex or high novelty/arousal</w:t>
            </w:r>
          </w:p>
        </w:tc>
        <w:tc>
          <w:tcPr>
            <w:tcW w:type="dxa" w:w="1468"/>
            <w:vAlign w:val="top"/>
          </w:tcPr>
          <w:p>
            <w:pPr>
              <w:spacing w:after="40" w:before="0" w:line="259" w:lineRule="auto"/>
            </w:pPr>
            <w:r>
              <w:rPr>
                <w:rFonts w:ascii="Calibri" w:hAnsi="Calibri"/>
                <w:b w:val="0"/>
                <w:i w:val="0"/>
                <w:color w:val="212121"/>
                <w:sz w:val="19"/>
              </w:rPr>
              <w:t>Long abstinence and high arousal provoke more rapid ejaculation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High consumers</w:t>
            </w:r>
          </w:p>
        </w:tc>
        <w:tc>
          <w:tcPr>
            <w:tcW w:type="dxa" w:w="1512"/>
            <w:vAlign w:val="top"/>
          </w:tcPr>
          <w:p>
            <w:pPr>
              <w:spacing w:after="40" w:before="0" w:line="259" w:lineRule="auto"/>
            </w:pPr>
            <w:r>
              <w:rPr>
                <w:rFonts w:ascii="Calibri" w:hAnsi="Calibri"/>
                <w:b w:val="0"/>
                <w:i w:val="0"/>
                <w:color w:val="212121"/>
                <w:sz w:val="19"/>
              </w:rPr>
              <w:t>&lt; 200–300 mg/day</w:t>
            </w:r>
          </w:p>
        </w:tc>
        <w:tc>
          <w:tcPr>
            <w:tcW w:type="dxa" w:w="1512"/>
            <w:vAlign w:val="top"/>
          </w:tcPr>
          <w:p>
            <w:pPr>
              <w:spacing w:after="40" w:before="0" w:line="259" w:lineRule="auto"/>
            </w:pPr>
            <w:r>
              <w:rPr>
                <w:rFonts w:ascii="Calibri" w:hAnsi="Calibri"/>
                <w:b w:val="0"/>
                <w:i w:val="0"/>
                <w:color w:val="212121"/>
                <w:sz w:val="19"/>
              </w:rPr>
              <w:t>High intake with anxiety/insomnia</w:t>
            </w:r>
          </w:p>
        </w:tc>
        <w:tc>
          <w:tcPr>
            <w:tcW w:type="dxa" w:w="1468"/>
            <w:vAlign w:val="top"/>
          </w:tcPr>
          <w:p>
            <w:pPr>
              <w:spacing w:after="40" w:before="0" w:line="259" w:lineRule="auto"/>
            </w:pPr>
            <w:r>
              <w:rPr>
                <w:rFonts w:ascii="Calibri" w:hAnsi="Calibri"/>
                <w:b w:val="0"/>
                <w:i w:val="0"/>
                <w:color w:val="212121"/>
                <w:sz w:val="19"/>
              </w:rPr>
              <w:t>Stimulant effect may heighten arousal and anxiety in susceptible men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Serum TSH (thyroid function)</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(hyperthyroidism)</w:t>
            </w:r>
          </w:p>
        </w:tc>
        <w:tc>
          <w:tcPr>
            <w:tcW w:type="dxa" w:w="1036"/>
            <w:vAlign w:val="top"/>
          </w:tcPr>
          <w:p>
            <w:pPr>
              <w:spacing w:after="40" w:before="0" w:line="259" w:lineRule="auto"/>
            </w:pPr>
            <w:r>
              <w:rPr>
                <w:rFonts w:ascii="Calibri" w:hAnsi="Calibri"/>
                <w:b w:val="0"/>
                <w:i w:val="0"/>
                <w:color w:val="212121"/>
                <w:sz w:val="16"/>
              </w:rPr>
              <w:t>Hyperthyroidism is a reversible cause of acquired PE; correcting thyroid status can resolve it</w:t>
            </w:r>
          </w:p>
        </w:tc>
        <w:tc>
          <w:tcPr>
            <w:tcW w:type="dxa" w:w="1036"/>
            <w:vAlign w:val="top"/>
          </w:tcPr>
          <w:p>
            <w:pPr>
              <w:spacing w:after="40" w:before="0" w:line="259" w:lineRule="auto"/>
            </w:pPr>
            <w:r>
              <w:rPr>
                <w:rFonts w:ascii="Calibri" w:hAnsi="Calibri"/>
                <w:b w:val="0"/>
                <w:i w:val="0"/>
                <w:color w:val="212121"/>
                <w:sz w:val="16"/>
              </w:rPr>
              <w:t>Acquired PE, PE with hyperthyroid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(reversible cause)</w:t>
            </w:r>
          </w:p>
        </w:tc>
        <w:tc>
          <w:tcPr>
            <w:tcW w:type="dxa" w:w="720"/>
            <w:vAlign w:val="top"/>
          </w:tcPr>
          <w:p>
            <w:pPr>
              <w:spacing w:after="40" w:before="0" w:line="259" w:lineRule="auto"/>
            </w:pPr>
            <w:r>
              <w:rPr>
                <w:rFonts w:ascii="Calibri" w:hAnsi="Calibri"/>
                <w:b w:val="0"/>
                <w:i w:val="0"/>
                <w:color w:val="212121"/>
                <w:sz w:val="16"/>
              </w:rPr>
              <w:t>Screen acquired PE; testosterone replacement is ineffective for PE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Serum testosterone ± prolactin, LH</w:t>
            </w:r>
          </w:p>
        </w:tc>
        <w:tc>
          <w:tcPr>
            <w:tcW w:type="dxa" w:w="892"/>
            <w:vAlign w:val="top"/>
          </w:tcPr>
          <w:p>
            <w:pPr>
              <w:spacing w:after="40" w:before="0" w:line="259" w:lineRule="auto"/>
            </w:pPr>
            <w:r>
              <w:rPr>
                <w:rFonts w:ascii="Calibri" w:hAnsi="Calibri"/>
                <w:b w:val="0"/>
                <w:i w:val="0"/>
                <w:color w:val="212121"/>
                <w:sz w:val="16"/>
              </w:rPr>
              <w:t>Hormone panel</w:t>
            </w:r>
          </w:p>
        </w:tc>
        <w:tc>
          <w:tcPr>
            <w:tcW w:type="dxa" w:w="950"/>
            <w:vAlign w:val="top"/>
          </w:tcPr>
          <w:p>
            <w:pPr>
              <w:spacing w:after="40" w:before="0" w:line="259" w:lineRule="auto"/>
            </w:pPr>
            <w:r>
              <w:rPr>
                <w:rFonts w:ascii="Calibri" w:hAnsi="Calibri"/>
                <w:b w:val="0"/>
                <w:i w:val="0"/>
                <w:color w:val="212121"/>
                <w:sz w:val="16"/>
              </w:rPr>
              <w:t>Age-appropriate testosterone; normal prolactin</w:t>
            </w:r>
          </w:p>
        </w:tc>
        <w:tc>
          <w:tcPr>
            <w:tcW w:type="dxa" w:w="950"/>
            <w:vAlign w:val="top"/>
          </w:tcPr>
          <w:p>
            <w:pPr>
              <w:spacing w:after="40" w:before="0" w:line="259" w:lineRule="auto"/>
            </w:pPr>
            <w:r>
              <w:rPr>
                <w:rFonts w:ascii="Calibri" w:hAnsi="Calibri"/>
                <w:b w:val="0"/>
                <w:i w:val="0"/>
                <w:color w:val="212121"/>
                <w:sz w:val="16"/>
              </w:rPr>
              <w:t>Low testosterone / raised prolactin</w:t>
            </w:r>
          </w:p>
        </w:tc>
        <w:tc>
          <w:tcPr>
            <w:tcW w:type="dxa" w:w="1036"/>
            <w:vAlign w:val="top"/>
          </w:tcPr>
          <w:p>
            <w:pPr>
              <w:spacing w:after="40" w:before="0" w:line="259" w:lineRule="auto"/>
            </w:pPr>
            <w:r>
              <w:rPr>
                <w:rFonts w:ascii="Calibri" w:hAnsi="Calibri"/>
                <w:b w:val="0"/>
                <w:i w:val="0"/>
                <w:color w:val="212121"/>
                <w:sz w:val="16"/>
              </w:rPr>
              <w:t>Assessed when there is concomitant erectile dysfunction, low libido or hypogonadism</w:t>
            </w:r>
          </w:p>
        </w:tc>
        <w:tc>
          <w:tcPr>
            <w:tcW w:type="dxa" w:w="1036"/>
            <w:vAlign w:val="top"/>
          </w:tcPr>
          <w:p>
            <w:pPr>
              <w:spacing w:after="40" w:before="0" w:line="259" w:lineRule="auto"/>
            </w:pPr>
            <w:r>
              <w:rPr>
                <w:rFonts w:ascii="Calibri" w:hAnsi="Calibri"/>
                <w:b w:val="0"/>
                <w:i w:val="0"/>
                <w:color w:val="212121"/>
                <w:sz w:val="16"/>
              </w:rPr>
              <w:t>PE with ED or hypogonadal features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Per ISSM, hormones are checked mainly if ED/low desire coexist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mg/dL; HbA1c ≥ 6.5%</w:t>
            </w:r>
          </w:p>
        </w:tc>
        <w:tc>
          <w:tcPr>
            <w:tcW w:type="dxa" w:w="1036"/>
            <w:vAlign w:val="top"/>
          </w:tcPr>
          <w:p>
            <w:pPr>
              <w:spacing w:after="40" w:before="0" w:line="259" w:lineRule="auto"/>
            </w:pPr>
            <w:r>
              <w:rPr>
                <w:rFonts w:ascii="Calibri" w:hAnsi="Calibri"/>
                <w:b w:val="0"/>
                <w:i w:val="0"/>
                <w:color w:val="212121"/>
                <w:sz w:val="16"/>
              </w:rPr>
              <w:t>Detects diabetes, which causes autonomic/erectile dysfunction underlying acquired PE</w:t>
            </w:r>
          </w:p>
        </w:tc>
        <w:tc>
          <w:tcPr>
            <w:tcW w:type="dxa" w:w="1036"/>
            <w:vAlign w:val="top"/>
          </w:tcPr>
          <w:p>
            <w:pPr>
              <w:spacing w:after="40" w:before="0" w:line="259" w:lineRule="auto"/>
            </w:pPr>
            <w:r>
              <w:rPr>
                <w:rFonts w:ascii="Calibri" w:hAnsi="Calibri"/>
                <w:b w:val="0"/>
                <w:i w:val="0"/>
                <w:color w:val="212121"/>
                <w:sz w:val="16"/>
              </w:rPr>
              <w:t>Acquired PE, metabolic-risk 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Common organic contributor in Indian 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Within target range</w:t>
            </w:r>
          </w:p>
        </w:tc>
        <w:tc>
          <w:tcPr>
            <w:tcW w:type="dxa" w:w="950"/>
            <w:vAlign w:val="top"/>
          </w:tcPr>
          <w:p>
            <w:pPr>
              <w:spacing w:after="40" w:before="0" w:line="259" w:lineRule="auto"/>
            </w:pPr>
            <w:r>
              <w:rPr>
                <w:rFonts w:ascii="Calibri" w:hAnsi="Calibri"/>
                <w:b w:val="0"/>
                <w:i w:val="0"/>
                <w:color w:val="212121"/>
                <w:sz w:val="16"/>
              </w:rPr>
              <w:t>Dyslipidaemia</w:t>
            </w:r>
          </w:p>
        </w:tc>
        <w:tc>
          <w:tcPr>
            <w:tcW w:type="dxa" w:w="1036"/>
            <w:vAlign w:val="top"/>
          </w:tcPr>
          <w:p>
            <w:pPr>
              <w:spacing w:after="40" w:before="0" w:line="259" w:lineRule="auto"/>
            </w:pPr>
            <w:r>
              <w:rPr>
                <w:rFonts w:ascii="Calibri" w:hAnsi="Calibri"/>
                <w:b w:val="0"/>
                <w:i w:val="0"/>
                <w:color w:val="212121"/>
                <w:sz w:val="16"/>
              </w:rPr>
              <w:t>Marks cardiometabolic/vascular risk that accompanies erectile dysfunction and acquired PE</w:t>
            </w:r>
          </w:p>
        </w:tc>
        <w:tc>
          <w:tcPr>
            <w:tcW w:type="dxa" w:w="1036"/>
            <w:vAlign w:val="top"/>
          </w:tcPr>
          <w:p>
            <w:pPr>
              <w:spacing w:after="40" w:before="0" w:line="259" w:lineRule="auto"/>
            </w:pPr>
            <w:r>
              <w:rPr>
                <w:rFonts w:ascii="Calibri" w:hAnsi="Calibri"/>
                <w:b w:val="0"/>
                <w:i w:val="0"/>
                <w:color w:val="212121"/>
                <w:sz w:val="16"/>
              </w:rPr>
              <w:t>Overweight/obese men, men with ED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Supports cardiovascular risk stratification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Urinalysis ± expressed prostatic secretion</w:t>
            </w:r>
          </w:p>
        </w:tc>
        <w:tc>
          <w:tcPr>
            <w:tcW w:type="dxa" w:w="892"/>
            <w:vAlign w:val="top"/>
          </w:tcPr>
          <w:p>
            <w:pPr>
              <w:spacing w:after="40" w:before="0" w:line="259" w:lineRule="auto"/>
            </w:pPr>
            <w:r>
              <w:rPr>
                <w:rFonts w:ascii="Calibri" w:hAnsi="Calibri"/>
                <w:b w:val="0"/>
                <w:i w:val="0"/>
                <w:color w:val="212121"/>
                <w:sz w:val="16"/>
              </w:rPr>
              <w:t>Urine routine &amp; EPS</w:t>
            </w:r>
          </w:p>
        </w:tc>
        <w:tc>
          <w:tcPr>
            <w:tcW w:type="dxa" w:w="950"/>
            <w:vAlign w:val="top"/>
          </w:tcPr>
          <w:p>
            <w:pPr>
              <w:spacing w:after="40" w:before="0" w:line="259" w:lineRule="auto"/>
            </w:pPr>
            <w:r>
              <w:rPr>
                <w:rFonts w:ascii="Calibri" w:hAnsi="Calibri"/>
                <w:b w:val="0"/>
                <w:i w:val="0"/>
                <w:color w:val="212121"/>
                <w:sz w:val="16"/>
              </w:rPr>
              <w:t>No pyuria/bacteriuria; no excess leukocytes in EPS</w:t>
            </w:r>
          </w:p>
        </w:tc>
        <w:tc>
          <w:tcPr>
            <w:tcW w:type="dxa" w:w="950"/>
            <w:vAlign w:val="top"/>
          </w:tcPr>
          <w:p>
            <w:pPr>
              <w:spacing w:after="40" w:before="0" w:line="259" w:lineRule="auto"/>
            </w:pPr>
            <w:r>
              <w:rPr>
                <w:rFonts w:ascii="Calibri" w:hAnsi="Calibri"/>
                <w:b w:val="0"/>
                <w:i w:val="0"/>
                <w:color w:val="212121"/>
                <w:sz w:val="16"/>
              </w:rPr>
              <w:t>Pyuria/bacteriuria or leukocytes in prostatic secretion</w:t>
            </w:r>
          </w:p>
        </w:tc>
        <w:tc>
          <w:tcPr>
            <w:tcW w:type="dxa" w:w="1036"/>
            <w:vAlign w:val="top"/>
          </w:tcPr>
          <w:p>
            <w:pPr>
              <w:spacing w:after="40" w:before="0" w:line="259" w:lineRule="auto"/>
            </w:pPr>
            <w:r>
              <w:rPr>
                <w:rFonts w:ascii="Calibri" w:hAnsi="Calibri"/>
                <w:b w:val="0"/>
                <w:i w:val="0"/>
                <w:color w:val="212121"/>
                <w:sz w:val="16"/>
              </w:rPr>
              <w:t>Detects chronic prostatitis / lower-urinary-tract inflammation as a cause of acquired PE</w:t>
            </w:r>
          </w:p>
        </w:tc>
        <w:tc>
          <w:tcPr>
            <w:tcW w:type="dxa" w:w="1036"/>
            <w:vAlign w:val="top"/>
          </w:tcPr>
          <w:p>
            <w:pPr>
              <w:spacing w:after="40" w:before="0" w:line="259" w:lineRule="auto"/>
            </w:pPr>
            <w:r>
              <w:rPr>
                <w:rFonts w:ascii="Calibri" w:hAnsi="Calibri"/>
                <w:b w:val="0"/>
                <w:i w:val="0"/>
                <w:color w:val="212121"/>
                <w:sz w:val="16"/>
              </w:rPr>
              <w:t>PE with pelvic/urinary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Directs treatment of prostatitis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Penile biothesiometry (vibratory sensory threshold)</w:t>
            </w:r>
          </w:p>
        </w:tc>
        <w:tc>
          <w:tcPr>
            <w:tcW w:type="dxa" w:w="892"/>
            <w:vAlign w:val="top"/>
          </w:tcPr>
          <w:p>
            <w:pPr>
              <w:spacing w:after="40" w:before="0" w:line="259" w:lineRule="auto"/>
            </w:pPr>
            <w:r>
              <w:rPr>
                <w:rFonts w:ascii="Calibri" w:hAnsi="Calibri"/>
                <w:b w:val="0"/>
                <w:i w:val="0"/>
                <w:color w:val="212121"/>
                <w:sz w:val="16"/>
              </w:rPr>
              <w:t>Penile sensory testing</w:t>
            </w:r>
          </w:p>
        </w:tc>
        <w:tc>
          <w:tcPr>
            <w:tcW w:type="dxa" w:w="950"/>
            <w:vAlign w:val="top"/>
          </w:tcPr>
          <w:p>
            <w:pPr>
              <w:spacing w:after="40" w:before="0" w:line="259" w:lineRule="auto"/>
            </w:pPr>
            <w:r>
              <w:rPr>
                <w:rFonts w:ascii="Calibri" w:hAnsi="Calibri"/>
                <w:b w:val="0"/>
                <w:i w:val="0"/>
                <w:color w:val="212121"/>
                <w:sz w:val="16"/>
              </w:rPr>
              <w:t>Normal vibratory threshold</w:t>
            </w:r>
          </w:p>
        </w:tc>
        <w:tc>
          <w:tcPr>
            <w:tcW w:type="dxa" w:w="950"/>
            <w:vAlign w:val="top"/>
          </w:tcPr>
          <w:p>
            <w:pPr>
              <w:spacing w:after="40" w:before="0" w:line="259" w:lineRule="auto"/>
            </w:pPr>
            <w:r>
              <w:rPr>
                <w:rFonts w:ascii="Calibri" w:hAnsi="Calibri"/>
                <w:b w:val="0"/>
                <w:i w:val="0"/>
                <w:color w:val="212121"/>
                <w:sz w:val="16"/>
              </w:rPr>
              <w:t>Lowered threshold (penile hypersensitivity)</w:t>
            </w:r>
          </w:p>
        </w:tc>
        <w:tc>
          <w:tcPr>
            <w:tcW w:type="dxa" w:w="1036"/>
            <w:vAlign w:val="top"/>
          </w:tcPr>
          <w:p>
            <w:pPr>
              <w:spacing w:after="40" w:before="0" w:line="259" w:lineRule="auto"/>
            </w:pPr>
            <w:r>
              <w:rPr>
                <w:rFonts w:ascii="Calibri" w:hAnsi="Calibri"/>
                <w:b w:val="0"/>
                <w:i w:val="0"/>
                <w:color w:val="212121"/>
                <w:sz w:val="16"/>
              </w:rPr>
              <w:t>Supports the penile-hypersensitivity mechanism proposed in some lifelong PE</w:t>
            </w:r>
          </w:p>
        </w:tc>
        <w:tc>
          <w:tcPr>
            <w:tcW w:type="dxa" w:w="1036"/>
            <w:vAlign w:val="top"/>
          </w:tcPr>
          <w:p>
            <w:pPr>
              <w:spacing w:after="40" w:before="0" w:line="259" w:lineRule="auto"/>
            </w:pPr>
            <w:r>
              <w:rPr>
                <w:rFonts w:ascii="Calibri" w:hAnsi="Calibri"/>
                <w:b w:val="0"/>
                <w:i w:val="0"/>
                <w:color w:val="212121"/>
                <w:sz w:val="16"/>
              </w:rPr>
              <w:t>Lifelong PE (selected)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Research/selective</w:t>
            </w:r>
          </w:p>
        </w:tc>
        <w:tc>
          <w:tcPr>
            <w:tcW w:type="dxa" w:w="720"/>
            <w:vAlign w:val="top"/>
          </w:tcPr>
          <w:p>
            <w:pPr>
              <w:spacing w:after="40" w:before="0" w:line="259" w:lineRule="auto"/>
            </w:pPr>
            <w:r>
              <w:rPr>
                <w:rFonts w:ascii="Calibri" w:hAnsi="Calibri"/>
                <w:b w:val="0"/>
                <w:i w:val="0"/>
                <w:color w:val="212121"/>
                <w:sz w:val="16"/>
              </w:rPr>
              <w:t>Not part of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Andrology / Imaging</w:t>
            </w:r>
          </w:p>
        </w:tc>
        <w:tc>
          <w:tcPr>
            <w:tcW w:type="dxa" w:w="1036"/>
            <w:vAlign w:val="top"/>
          </w:tcPr>
          <w:p>
            <w:pPr>
              <w:spacing w:after="40" w:before="0" w:line="259" w:lineRule="auto"/>
            </w:pPr>
            <w:r>
              <w:rPr>
                <w:rFonts w:ascii="Calibri" w:hAnsi="Calibri"/>
                <w:b w:val="0"/>
                <w:i w:val="0"/>
                <w:color w:val="212121"/>
                <w:sz w:val="16"/>
              </w:rPr>
              <w:t>Penile Doppler ultrasound (if ED)</w:t>
            </w:r>
          </w:p>
        </w:tc>
        <w:tc>
          <w:tcPr>
            <w:tcW w:type="dxa" w:w="892"/>
            <w:vAlign w:val="top"/>
          </w:tcPr>
          <w:p>
            <w:pPr>
              <w:spacing w:after="40" w:before="0" w:line="259" w:lineRule="auto"/>
            </w:pPr>
            <w:r>
              <w:rPr>
                <w:rFonts w:ascii="Calibri" w:hAnsi="Calibri"/>
                <w:b w:val="0"/>
                <w:i w:val="0"/>
                <w:color w:val="212121"/>
                <w:sz w:val="16"/>
              </w:rPr>
              <w:t>Penile Doppler</w:t>
            </w:r>
          </w:p>
        </w:tc>
        <w:tc>
          <w:tcPr>
            <w:tcW w:type="dxa" w:w="950"/>
            <w:vAlign w:val="top"/>
          </w:tcPr>
          <w:p>
            <w:pPr>
              <w:spacing w:after="40" w:before="0" w:line="259" w:lineRule="auto"/>
            </w:pPr>
            <w:r>
              <w:rPr>
                <w:rFonts w:ascii="Calibri" w:hAnsi="Calibri"/>
                <w:b w:val="0"/>
                <w:i w:val="0"/>
                <w:color w:val="212121"/>
                <w:sz w:val="16"/>
              </w:rPr>
              <w:t>Normal cavernosal arterial inflow / no venous leak</w:t>
            </w:r>
          </w:p>
        </w:tc>
        <w:tc>
          <w:tcPr>
            <w:tcW w:type="dxa" w:w="950"/>
            <w:vAlign w:val="top"/>
          </w:tcPr>
          <w:p>
            <w:pPr>
              <w:spacing w:after="40" w:before="0" w:line="259" w:lineRule="auto"/>
            </w:pPr>
            <w:r>
              <w:rPr>
                <w:rFonts w:ascii="Calibri" w:hAnsi="Calibri"/>
                <w:b w:val="0"/>
                <w:i w:val="0"/>
                <w:color w:val="212121"/>
                <w:sz w:val="16"/>
              </w:rPr>
              <w:t>Arterial insufficiency or venous leak</w:t>
            </w:r>
          </w:p>
        </w:tc>
        <w:tc>
          <w:tcPr>
            <w:tcW w:type="dxa" w:w="1036"/>
            <w:vAlign w:val="top"/>
          </w:tcPr>
          <w:p>
            <w:pPr>
              <w:spacing w:after="40" w:before="0" w:line="259" w:lineRule="auto"/>
            </w:pPr>
            <w:r>
              <w:rPr>
                <w:rFonts w:ascii="Calibri" w:hAnsi="Calibri"/>
                <w:b w:val="0"/>
                <w:i w:val="0"/>
                <w:color w:val="212121"/>
                <w:sz w:val="16"/>
              </w:rPr>
              <w:t>Evaluates coexisting erectile dysfunction that alters PE management</w:t>
            </w:r>
          </w:p>
        </w:tc>
        <w:tc>
          <w:tcPr>
            <w:tcW w:type="dxa" w:w="1036"/>
            <w:vAlign w:val="top"/>
          </w:tcPr>
          <w:p>
            <w:pPr>
              <w:spacing w:after="40" w:before="0" w:line="259" w:lineRule="auto"/>
            </w:pPr>
            <w:r>
              <w:rPr>
                <w:rFonts w:ascii="Calibri" w:hAnsi="Calibri"/>
                <w:b w:val="0"/>
                <w:i w:val="0"/>
                <w:color w:val="212121"/>
                <w:sz w:val="16"/>
              </w:rPr>
              <w:t>PE with organic ED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when vasculogenic ED is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IELT</w:t>
            </w:r>
          </w:p>
        </w:tc>
        <w:tc>
          <w:tcPr>
            <w:tcW w:type="dxa" w:w="979"/>
            <w:vAlign w:val="top"/>
          </w:tcPr>
          <w:p>
            <w:pPr>
              <w:spacing w:after="40" w:before="0" w:line="259" w:lineRule="auto"/>
            </w:pPr>
            <w:r>
              <w:rPr>
                <w:rFonts w:ascii="Calibri" w:hAnsi="Calibri"/>
                <w:b w:val="0"/>
                <w:i w:val="0"/>
                <w:color w:val="212121"/>
                <w:sz w:val="16"/>
              </w:rPr>
              <w:t>Estimated IELT, control, onset &amp; consistency</w:t>
            </w:r>
          </w:p>
        </w:tc>
        <w:tc>
          <w:tcPr>
            <w:tcW w:type="dxa" w:w="950"/>
            <w:vAlign w:val="top"/>
          </w:tcPr>
          <w:p>
            <w:pPr>
              <w:spacing w:after="40" w:before="0" w:line="259" w:lineRule="auto"/>
            </w:pPr>
            <w:r>
              <w:rPr>
                <w:rFonts w:ascii="Calibri" w:hAnsi="Calibri"/>
                <w:b w:val="0"/>
                <w:i w:val="0"/>
                <w:color w:val="212121"/>
                <w:sz w:val="16"/>
              </w:rPr>
              <w:t>Satisfactory latency and control</w:t>
            </w:r>
          </w:p>
        </w:tc>
        <w:tc>
          <w:tcPr>
            <w:tcW w:type="dxa" w:w="950"/>
            <w:vAlign w:val="top"/>
          </w:tcPr>
          <w:p>
            <w:pPr>
              <w:spacing w:after="40" w:before="0" w:line="259" w:lineRule="auto"/>
            </w:pPr>
            <w:r>
              <w:rPr>
                <w:rFonts w:ascii="Calibri" w:hAnsi="Calibri"/>
                <w:b w:val="0"/>
                <w:i w:val="0"/>
                <w:color w:val="212121"/>
                <w:sz w:val="16"/>
              </w:rPr>
              <w:t>IELT &lt; 1–3 min with poor control and distress</w:t>
            </w:r>
          </w:p>
        </w:tc>
        <w:tc>
          <w:tcPr>
            <w:tcW w:type="dxa" w:w="1036"/>
            <w:vAlign w:val="top"/>
          </w:tcPr>
          <w:p>
            <w:pPr>
              <w:spacing w:after="40" w:before="0" w:line="259" w:lineRule="auto"/>
            </w:pPr>
            <w:r>
              <w:rPr>
                <w:rFonts w:ascii="Calibri" w:hAnsi="Calibri"/>
                <w:b w:val="0"/>
                <w:i w:val="0"/>
                <w:color w:val="212121"/>
                <w:sz w:val="16"/>
              </w:rPr>
              <w:t>Defines PE against the ISSM/DSM-5 criteria and gauges severity</w:t>
            </w:r>
          </w:p>
        </w:tc>
        <w:tc>
          <w:tcPr>
            <w:tcW w:type="dxa" w:w="1036"/>
            <w:vAlign w:val="top"/>
          </w:tcPr>
          <w:p>
            <w:pPr>
              <w:spacing w:after="40" w:before="0" w:line="259" w:lineRule="auto"/>
            </w:pPr>
            <w:r>
              <w:rPr>
                <w:rFonts w:ascii="Calibri" w:hAnsi="Calibri"/>
                <w:b w:val="0"/>
                <w:i w:val="0"/>
                <w:color w:val="212121"/>
                <w:sz w:val="16"/>
              </w:rPr>
              <w:t>All men presenting with rapid ejaculation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 diagnostic</w:t>
            </w:r>
          </w:p>
        </w:tc>
        <w:tc>
          <w:tcPr>
            <w:tcW w:type="dxa" w:w="720"/>
            <w:vAlign w:val="top"/>
          </w:tcPr>
          <w:p>
            <w:pPr>
              <w:spacing w:after="40" w:before="0" w:line="259" w:lineRule="auto"/>
            </w:pPr>
            <w:r>
              <w:rPr>
                <w:rFonts w:ascii="Calibri" w:hAnsi="Calibri"/>
                <w:b w:val="0"/>
                <w:i w:val="0"/>
                <w:color w:val="212121"/>
                <w:sz w:val="16"/>
              </w:rPr>
              <w:t>Distress is an essential criterion; short IELT without distress is not 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Subtype classification</w:t>
            </w:r>
          </w:p>
        </w:tc>
        <w:tc>
          <w:tcPr>
            <w:tcW w:type="dxa" w:w="979"/>
            <w:vAlign w:val="top"/>
          </w:tcPr>
          <w:p>
            <w:pPr>
              <w:spacing w:after="40" w:before="0" w:line="259" w:lineRule="auto"/>
            </w:pPr>
            <w:r>
              <w:rPr>
                <w:rFonts w:ascii="Calibri" w:hAnsi="Calibri"/>
                <w:b w:val="0"/>
                <w:i w:val="0"/>
                <w:color w:val="212121"/>
                <w:sz w:val="16"/>
              </w:rPr>
              <w:t>Lifelong vs acquired vs variable vs subjective</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Sub-type assigned from onset/latency/consistency</w:t>
            </w:r>
          </w:p>
        </w:tc>
        <w:tc>
          <w:tcPr>
            <w:tcW w:type="dxa" w:w="1036"/>
            <w:vAlign w:val="top"/>
          </w:tcPr>
          <w:p>
            <w:pPr>
              <w:spacing w:after="40" w:before="0" w:line="259" w:lineRule="auto"/>
            </w:pPr>
            <w:r>
              <w:rPr>
                <w:rFonts w:ascii="Calibri" w:hAnsi="Calibri"/>
                <w:b w:val="0"/>
                <w:i w:val="0"/>
                <w:color w:val="212121"/>
                <w:sz w:val="16"/>
              </w:rPr>
              <w:t>Directs treatment — e.g., pharmacotherapy for lifelong, cause-directed therapy for acquired, reassurance for variable/subjective</w:t>
            </w:r>
          </w:p>
        </w:tc>
        <w:tc>
          <w:tcPr>
            <w:tcW w:type="dxa" w:w="1036"/>
            <w:vAlign w:val="top"/>
          </w:tcPr>
          <w:p>
            <w:pPr>
              <w:spacing w:after="40" w:before="0" w:line="259" w:lineRule="auto"/>
            </w:pPr>
            <w:r>
              <w:rPr>
                <w:rFonts w:ascii="Calibri" w:hAnsi="Calibri"/>
                <w:b w:val="0"/>
                <w:i w:val="0"/>
                <w:color w:val="212121"/>
                <w:sz w:val="16"/>
              </w:rPr>
              <w:t>All PE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Indian cohorts have characterised these clinical subtypes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Validated questionnaire (PEDT / PEP)</w:t>
            </w:r>
          </w:p>
        </w:tc>
        <w:tc>
          <w:tcPr>
            <w:tcW w:type="dxa" w:w="979"/>
            <w:vAlign w:val="top"/>
          </w:tcPr>
          <w:p>
            <w:pPr>
              <w:spacing w:after="40" w:before="0" w:line="259" w:lineRule="auto"/>
            </w:pPr>
            <w:r>
              <w:rPr>
                <w:rFonts w:ascii="Calibri" w:hAnsi="Calibri"/>
                <w:b w:val="0"/>
                <w:i w:val="0"/>
                <w:color w:val="212121"/>
                <w:sz w:val="16"/>
              </w:rPr>
              <w:t>Symptom, control &amp; bother scores</w:t>
            </w:r>
          </w:p>
        </w:tc>
        <w:tc>
          <w:tcPr>
            <w:tcW w:type="dxa" w:w="950"/>
            <w:vAlign w:val="top"/>
          </w:tcPr>
          <w:p>
            <w:pPr>
              <w:spacing w:after="40" w:before="0" w:line="259" w:lineRule="auto"/>
            </w:pPr>
            <w:r>
              <w:rPr>
                <w:rFonts w:ascii="Calibri" w:hAnsi="Calibri"/>
                <w:b w:val="0"/>
                <w:i w:val="0"/>
                <w:color w:val="212121"/>
                <w:sz w:val="16"/>
              </w:rPr>
              <w:t>Low score (no PE)</w:t>
            </w:r>
          </w:p>
        </w:tc>
        <w:tc>
          <w:tcPr>
            <w:tcW w:type="dxa" w:w="950"/>
            <w:vAlign w:val="top"/>
          </w:tcPr>
          <w:p>
            <w:pPr>
              <w:spacing w:after="40" w:before="0" w:line="259" w:lineRule="auto"/>
            </w:pPr>
            <w:r>
              <w:rPr>
                <w:rFonts w:ascii="Calibri" w:hAnsi="Calibri"/>
                <w:b w:val="0"/>
                <w:i w:val="0"/>
                <w:color w:val="212121"/>
                <w:sz w:val="16"/>
              </w:rPr>
              <w:t>Elevated score (PE likely)</w:t>
            </w:r>
          </w:p>
        </w:tc>
        <w:tc>
          <w:tcPr>
            <w:tcW w:type="dxa" w:w="1036"/>
            <w:vAlign w:val="top"/>
          </w:tcPr>
          <w:p>
            <w:pPr>
              <w:spacing w:after="40" w:before="0" w:line="259" w:lineRule="auto"/>
            </w:pPr>
            <w:r>
              <w:rPr>
                <w:rFonts w:ascii="Calibri" w:hAnsi="Calibri"/>
                <w:b w:val="0"/>
                <w:i w:val="0"/>
                <w:color w:val="212121"/>
                <w:sz w:val="16"/>
              </w:rPr>
              <w:t>Standardises severity and monitors treatment response</w:t>
            </w:r>
          </w:p>
        </w:tc>
        <w:tc>
          <w:tcPr>
            <w:tcW w:type="dxa" w:w="1036"/>
            <w:vAlign w:val="top"/>
          </w:tcPr>
          <w:p>
            <w:pPr>
              <w:spacing w:after="40" w:before="0" w:line="259" w:lineRule="auto"/>
            </w:pPr>
            <w:r>
              <w:rPr>
                <w:rFonts w:ascii="Calibri" w:hAnsi="Calibri"/>
                <w:b w:val="0"/>
                <w:i w:val="0"/>
                <w:color w:val="212121"/>
                <w:sz w:val="16"/>
              </w:rPr>
              <w:t>All PE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PEDT ≥ 11 suggests 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Psychosexual &amp; relationship assessment</w:t>
            </w:r>
          </w:p>
        </w:tc>
        <w:tc>
          <w:tcPr>
            <w:tcW w:type="dxa" w:w="979"/>
            <w:vAlign w:val="top"/>
          </w:tcPr>
          <w:p>
            <w:pPr>
              <w:spacing w:after="40" w:before="0" w:line="259" w:lineRule="auto"/>
            </w:pPr>
            <w:r>
              <w:rPr>
                <w:rFonts w:ascii="Calibri" w:hAnsi="Calibri"/>
                <w:b w:val="0"/>
                <w:i w:val="0"/>
                <w:color w:val="212121"/>
                <w:sz w:val="16"/>
              </w:rPr>
              <w:t>Performance anxiety, distress, partner factors</w:t>
            </w:r>
          </w:p>
        </w:tc>
        <w:tc>
          <w:tcPr>
            <w:tcW w:type="dxa" w:w="950"/>
            <w:vAlign w:val="top"/>
          </w:tcPr>
          <w:p>
            <w:pPr>
              <w:spacing w:after="40" w:before="0" w:line="259" w:lineRule="auto"/>
            </w:pPr>
            <w:r>
              <w:rPr>
                <w:rFonts w:ascii="Calibri" w:hAnsi="Calibri"/>
                <w:b w:val="0"/>
                <w:i w:val="0"/>
                <w:color w:val="212121"/>
                <w:sz w:val="16"/>
              </w:rPr>
              <w:t>No significant psychological/relationship issue</w:t>
            </w:r>
          </w:p>
        </w:tc>
        <w:tc>
          <w:tcPr>
            <w:tcW w:type="dxa" w:w="950"/>
            <w:vAlign w:val="top"/>
          </w:tcPr>
          <w:p>
            <w:pPr>
              <w:spacing w:after="40" w:before="0" w:line="259" w:lineRule="auto"/>
            </w:pPr>
            <w:r>
              <w:rPr>
                <w:rFonts w:ascii="Calibri" w:hAnsi="Calibri"/>
                <w:b w:val="0"/>
                <w:i w:val="0"/>
                <w:color w:val="212121"/>
                <w:sz w:val="16"/>
              </w:rPr>
              <w:t>Performance anxiety, depression, relationship conflict</w:t>
            </w:r>
          </w:p>
        </w:tc>
        <w:tc>
          <w:tcPr>
            <w:tcW w:type="dxa" w:w="1036"/>
            <w:vAlign w:val="top"/>
          </w:tcPr>
          <w:p>
            <w:pPr>
              <w:spacing w:after="40" w:before="0" w:line="259" w:lineRule="auto"/>
            </w:pPr>
            <w:r>
              <w:rPr>
                <w:rFonts w:ascii="Calibri" w:hAnsi="Calibri"/>
                <w:b w:val="0"/>
                <w:i w:val="0"/>
                <w:color w:val="212121"/>
                <w:sz w:val="16"/>
              </w:rPr>
              <w:t>Identifies the psychological drivers central to PE and its treatment</w:t>
            </w:r>
          </w:p>
        </w:tc>
        <w:tc>
          <w:tcPr>
            <w:tcW w:type="dxa" w:w="1036"/>
            <w:vAlign w:val="top"/>
          </w:tcPr>
          <w:p>
            <w:pPr>
              <w:spacing w:after="40" w:before="0" w:line="259" w:lineRule="auto"/>
            </w:pPr>
            <w:r>
              <w:rPr>
                <w:rFonts w:ascii="Calibri" w:hAnsi="Calibri"/>
                <w:b w:val="0"/>
                <w:i w:val="0"/>
                <w:color w:val="212121"/>
                <w:sz w:val="16"/>
              </w:rPr>
              <w:t>Anxious men, couples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Involve the partner where possible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drug &amp; symptom review</w:t>
            </w:r>
          </w:p>
        </w:tc>
        <w:tc>
          <w:tcPr>
            <w:tcW w:type="dxa" w:w="979"/>
            <w:vAlign w:val="top"/>
          </w:tcPr>
          <w:p>
            <w:pPr>
              <w:spacing w:after="40" w:before="0" w:line="259" w:lineRule="auto"/>
            </w:pPr>
            <w:r>
              <w:rPr>
                <w:rFonts w:ascii="Calibri" w:hAnsi="Calibri"/>
                <w:b w:val="0"/>
                <w:i w:val="0"/>
                <w:color w:val="212121"/>
                <w:sz w:val="16"/>
              </w:rPr>
              <w:t>ED, prostatitis, thyroid, diabetes, drugs, alcohol</w:t>
            </w:r>
          </w:p>
        </w:tc>
        <w:tc>
          <w:tcPr>
            <w:tcW w:type="dxa" w:w="950"/>
            <w:vAlign w:val="top"/>
          </w:tcPr>
          <w:p>
            <w:pPr>
              <w:spacing w:after="40" w:before="0" w:line="259" w:lineRule="auto"/>
            </w:pPr>
            <w:r>
              <w:rPr>
                <w:rFonts w:ascii="Calibri" w:hAnsi="Calibri"/>
                <w:b w:val="0"/>
                <w:i w:val="0"/>
                <w:color w:val="212121"/>
                <w:sz w:val="16"/>
              </w:rPr>
              <w:t>No organic contributor identified</w:t>
            </w:r>
          </w:p>
        </w:tc>
        <w:tc>
          <w:tcPr>
            <w:tcW w:type="dxa" w:w="950"/>
            <w:vAlign w:val="top"/>
          </w:tcPr>
          <w:p>
            <w:pPr>
              <w:spacing w:after="40" w:before="0" w:line="259" w:lineRule="auto"/>
            </w:pPr>
            <w:r>
              <w:rPr>
                <w:rFonts w:ascii="Calibri" w:hAnsi="Calibri"/>
                <w:b w:val="0"/>
                <w:i w:val="0"/>
                <w:color w:val="212121"/>
                <w:sz w:val="16"/>
              </w:rPr>
              <w:t>Features of a treatable acquired cause</w:t>
            </w:r>
          </w:p>
        </w:tc>
        <w:tc>
          <w:tcPr>
            <w:tcW w:type="dxa" w:w="1036"/>
            <w:vAlign w:val="top"/>
          </w:tcPr>
          <w:p>
            <w:pPr>
              <w:spacing w:after="40" w:before="0" w:line="259" w:lineRule="auto"/>
            </w:pPr>
            <w:r>
              <w:rPr>
                <w:rFonts w:ascii="Calibri" w:hAnsi="Calibri"/>
                <w:b w:val="0"/>
                <w:i w:val="0"/>
                <w:color w:val="212121"/>
                <w:sz w:val="16"/>
              </w:rPr>
              <w:t>Screens for reversible causes of acquired PE and for coexisting ED</w:t>
            </w:r>
          </w:p>
        </w:tc>
        <w:tc>
          <w:tcPr>
            <w:tcW w:type="dxa" w:w="1036"/>
            <w:vAlign w:val="top"/>
          </w:tcPr>
          <w:p>
            <w:pPr>
              <w:spacing w:after="40" w:before="0" w:line="259" w:lineRule="auto"/>
            </w:pPr>
            <w:r>
              <w:rPr>
                <w:rFonts w:ascii="Calibri" w:hAnsi="Calibri"/>
                <w:b w:val="0"/>
                <w:i w:val="0"/>
                <w:color w:val="212121"/>
                <w:sz w:val="16"/>
              </w:rPr>
              <w:t>Acquired PE, older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targeted investigations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Genital, prostate &amp; thyroid examination</w:t>
            </w:r>
          </w:p>
        </w:tc>
        <w:tc>
          <w:tcPr>
            <w:tcW w:type="dxa" w:w="979"/>
            <w:vAlign w:val="top"/>
          </w:tcPr>
          <w:p>
            <w:pPr>
              <w:spacing w:after="40" w:before="0" w:line="259" w:lineRule="auto"/>
            </w:pPr>
            <w:r>
              <w:rPr>
                <w:rFonts w:ascii="Calibri" w:hAnsi="Calibri"/>
                <w:b w:val="0"/>
                <w:i w:val="0"/>
                <w:color w:val="212121"/>
                <w:sz w:val="16"/>
              </w:rPr>
              <w:t>Penile sensitivity, prostate tenderness, thyroid signs</w:t>
            </w:r>
          </w:p>
        </w:tc>
        <w:tc>
          <w:tcPr>
            <w:tcW w:type="dxa" w:w="950"/>
            <w:vAlign w:val="top"/>
          </w:tcPr>
          <w:p>
            <w:pPr>
              <w:spacing w:after="40" w:before="0" w:line="259" w:lineRule="auto"/>
            </w:pPr>
            <w:r>
              <w:rPr>
                <w:rFonts w:ascii="Calibri" w:hAnsi="Calibri"/>
                <w:b w:val="0"/>
                <w:i w:val="0"/>
                <w:color w:val="212121"/>
                <w:sz w:val="16"/>
              </w:rPr>
              <w:t>Normal genitalia; non-tender prostate; euthyroid</w:t>
            </w:r>
          </w:p>
        </w:tc>
        <w:tc>
          <w:tcPr>
            <w:tcW w:type="dxa" w:w="950"/>
            <w:vAlign w:val="top"/>
          </w:tcPr>
          <w:p>
            <w:pPr>
              <w:spacing w:after="40" w:before="0" w:line="259" w:lineRule="auto"/>
            </w:pPr>
            <w:r>
              <w:rPr>
                <w:rFonts w:ascii="Calibri" w:hAnsi="Calibri"/>
                <w:b w:val="0"/>
                <w:i w:val="0"/>
                <w:color w:val="212121"/>
                <w:sz w:val="16"/>
              </w:rPr>
              <w:t>Tender/boggy prostate; tremor/tachycardia/goitre</w:t>
            </w:r>
          </w:p>
        </w:tc>
        <w:tc>
          <w:tcPr>
            <w:tcW w:type="dxa" w:w="1036"/>
            <w:vAlign w:val="top"/>
          </w:tcPr>
          <w:p>
            <w:pPr>
              <w:spacing w:after="40" w:before="0" w:line="259" w:lineRule="auto"/>
            </w:pPr>
            <w:r>
              <w:rPr>
                <w:rFonts w:ascii="Calibri" w:hAnsi="Calibri"/>
                <w:b w:val="0"/>
                <w:i w:val="0"/>
                <w:color w:val="212121"/>
                <w:sz w:val="16"/>
              </w:rPr>
              <w:t>Detects organic contributors (prostatitis, hyperthyroidism) amenable to treatment</w:t>
            </w:r>
          </w:p>
        </w:tc>
        <w:tc>
          <w:tcPr>
            <w:tcW w:type="dxa" w:w="1036"/>
            <w:vAlign w:val="top"/>
          </w:tcPr>
          <w:p>
            <w:pPr>
              <w:spacing w:after="40" w:before="0" w:line="259" w:lineRule="auto"/>
            </w:pPr>
            <w:r>
              <w:rPr>
                <w:rFonts w:ascii="Calibri" w:hAnsi="Calibri"/>
                <w:b w:val="0"/>
                <w:i w:val="0"/>
                <w:color w:val="212121"/>
                <w:sz w:val="16"/>
              </w:rPr>
              <w:t>Acquired PE, men with urinary/thyroid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Often normal in lifelong PE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Ejaculation within ~1 minute of penetration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lifelong PE — ejaculation almost always occurs before or shortly after penetration.</w:t>
            </w:r>
          </w:p>
        </w:tc>
      </w:tr>
      <w:tr>
        <w:trPr>
          <w:cantSplit/>
        </w:trPr>
        <w:tc>
          <w:tcPr>
            <w:tcW w:type="dxa" w:w="2304"/>
            <w:vAlign w:val="top"/>
          </w:tcPr>
          <w:p>
            <w:pPr>
              <w:spacing w:after="40" w:before="0" w:line="259" w:lineRule="auto"/>
            </w:pPr>
            <w:r>
              <w:rPr>
                <w:rFonts w:ascii="Calibri" w:hAnsi="Calibri"/>
                <w:b/>
                <w:i w:val="0"/>
                <w:color w:val="212121"/>
                <w:sz w:val="19"/>
              </w:rPr>
              <w:t>Ejaculation with minimal sexual stimulation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Very little stimulation is needed; sometimes ejaculation occurs during foreplay or at the point of entry.</w:t>
            </w:r>
          </w:p>
        </w:tc>
      </w:tr>
      <w:tr>
        <w:trPr>
          <w:cantSplit/>
        </w:trPr>
        <w:tc>
          <w:tcPr>
            <w:tcW w:type="dxa" w:w="2304"/>
            <w:vAlign w:val="top"/>
          </w:tcPr>
          <w:p>
            <w:pPr>
              <w:spacing w:after="40" w:before="0" w:line="259" w:lineRule="auto"/>
            </w:pPr>
            <w:r>
              <w:rPr>
                <w:rFonts w:ascii="Calibri" w:hAnsi="Calibri"/>
                <w:b/>
                <w:i w:val="0"/>
                <w:color w:val="212121"/>
                <w:sz w:val="19"/>
              </w:rPr>
              <w:t>Inability to delay or control ejaculation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perceived lack of voluntary control on all or nearly all occasions of intercourse.</w:t>
            </w:r>
          </w:p>
        </w:tc>
      </w:tr>
      <w:tr>
        <w:trPr>
          <w:cantSplit/>
        </w:trPr>
        <w:tc>
          <w:tcPr>
            <w:tcW w:type="dxa" w:w="2304"/>
            <w:vAlign w:val="top"/>
          </w:tcPr>
          <w:p>
            <w:pPr>
              <w:spacing w:after="40" w:before="0" w:line="259" w:lineRule="auto"/>
            </w:pPr>
            <w:r>
              <w:rPr>
                <w:rFonts w:ascii="Calibri" w:hAnsi="Calibri"/>
                <w:b/>
                <w:i w:val="0"/>
                <w:color w:val="212121"/>
                <w:sz w:val="19"/>
              </w:rPr>
              <w:t>Marked reduction in latency from baseline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acquired PE, a new, bothersome shortening of ejaculatory time in a man previously in normal control.</w:t>
            </w:r>
          </w:p>
        </w:tc>
      </w:tr>
      <w:tr>
        <w:trPr>
          <w:cantSplit/>
        </w:trPr>
        <w:tc>
          <w:tcPr>
            <w:tcW w:type="dxa" w:w="2304"/>
            <w:vAlign w:val="top"/>
          </w:tcPr>
          <w:p>
            <w:pPr>
              <w:spacing w:after="40" w:before="0" w:line="259" w:lineRule="auto"/>
            </w:pPr>
            <w:r>
              <w:rPr>
                <w:rFonts w:ascii="Calibri" w:hAnsi="Calibri"/>
                <w:b/>
                <w:i w:val="0"/>
                <w:color w:val="212121"/>
                <w:sz w:val="19"/>
              </w:rPr>
              <w:t>Distress, frustration and bother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Negative personal consequences that are an essential part of the diagnosis.</w:t>
            </w:r>
          </w:p>
        </w:tc>
      </w:tr>
      <w:tr>
        <w:trPr>
          <w:cantSplit/>
        </w:trPr>
        <w:tc>
          <w:tcPr>
            <w:tcW w:type="dxa" w:w="2304"/>
            <w:vAlign w:val="top"/>
          </w:tcPr>
          <w:p>
            <w:pPr>
              <w:spacing w:after="40" w:before="0" w:line="259" w:lineRule="auto"/>
            </w:pPr>
            <w:r>
              <w:rPr>
                <w:rFonts w:ascii="Calibri" w:hAnsi="Calibri"/>
                <w:b/>
                <w:i w:val="0"/>
                <w:color w:val="212121"/>
                <w:sz w:val="19"/>
              </w:rPr>
              <w:t>Avoidance of sexual intimacy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sexual frequency and avoidance of intimacy because of anticipated failure.</w:t>
            </w:r>
          </w:p>
        </w:tc>
      </w:tr>
      <w:tr>
        <w:trPr>
          <w:cantSplit/>
        </w:trPr>
        <w:tc>
          <w:tcPr>
            <w:tcW w:type="dxa" w:w="2304"/>
            <w:vAlign w:val="top"/>
          </w:tcPr>
          <w:p>
            <w:pPr>
              <w:spacing w:after="40" w:before="0" w:line="259" w:lineRule="auto"/>
            </w:pPr>
            <w:r>
              <w:rPr>
                <w:rFonts w:ascii="Calibri" w:hAnsi="Calibri"/>
                <w:b/>
                <w:i w:val="0"/>
                <w:color w:val="212121"/>
                <w:sz w:val="19"/>
              </w:rPr>
              <w:t>Reduced sexual satisfaction (self and partner)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Both partners report diminished satisfaction, a key driver of help-seeking.</w:t>
            </w:r>
          </w:p>
        </w:tc>
      </w:tr>
      <w:tr>
        <w:trPr>
          <w:cantSplit/>
        </w:trPr>
        <w:tc>
          <w:tcPr>
            <w:tcW w:type="dxa" w:w="2304"/>
            <w:vAlign w:val="top"/>
          </w:tcPr>
          <w:p>
            <w:pPr>
              <w:spacing w:after="40" w:before="0" w:line="259" w:lineRule="auto"/>
            </w:pPr>
            <w:r>
              <w:rPr>
                <w:rFonts w:ascii="Calibri" w:hAnsi="Calibri"/>
                <w:b/>
                <w:i w:val="0"/>
                <w:color w:val="212121"/>
                <w:sz w:val="19"/>
              </w:rPr>
              <w:t>Performance / anticipatory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Worry before and during sex that lowers the ejaculatory threshold and perpetuates the problem.</w:t>
            </w:r>
          </w:p>
        </w:tc>
      </w:tr>
      <w:tr>
        <w:trPr>
          <w:cantSplit/>
        </w:trPr>
        <w:tc>
          <w:tcPr>
            <w:tcW w:type="dxa" w:w="2304"/>
            <w:vAlign w:val="top"/>
          </w:tcPr>
          <w:p>
            <w:pPr>
              <w:spacing w:after="40" w:before="0" w:line="259" w:lineRule="auto"/>
            </w:pPr>
            <w:r>
              <w:rPr>
                <w:rFonts w:ascii="Calibri" w:hAnsi="Calibri"/>
                <w:b/>
                <w:i w:val="0"/>
                <w:color w:val="212121"/>
                <w:sz w:val="19"/>
              </w:rPr>
              <w:t>Low self-esteem and reduced confidence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sexual and general self-confidence, sometimes with shame and secrecy.</w:t>
            </w:r>
          </w:p>
        </w:tc>
      </w:tr>
      <w:tr>
        <w:trPr>
          <w:cantSplit/>
        </w:trPr>
        <w:tc>
          <w:tcPr>
            <w:tcW w:type="dxa" w:w="2304"/>
            <w:vAlign w:val="top"/>
          </w:tcPr>
          <w:p>
            <w:pPr>
              <w:spacing w:after="40" w:before="0" w:line="259" w:lineRule="auto"/>
            </w:pPr>
            <w:r>
              <w:rPr>
                <w:rFonts w:ascii="Calibri" w:hAnsi="Calibri"/>
                <w:b/>
                <w:i w:val="0"/>
                <w:color w:val="212121"/>
                <w:sz w:val="19"/>
              </w:rPr>
              <w:t>Secondary erectile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Anxiety and rushing can produce or worsen erectile dysfunction, which then aggravates PE.</w:t>
            </w:r>
          </w:p>
        </w:tc>
      </w:tr>
      <w:tr>
        <w:trPr>
          <w:cantSplit/>
        </w:trPr>
        <w:tc>
          <w:tcPr>
            <w:tcW w:type="dxa" w:w="2304"/>
            <w:vAlign w:val="top"/>
          </w:tcPr>
          <w:p>
            <w:pPr>
              <w:spacing w:after="40" w:before="0" w:line="259" w:lineRule="auto"/>
            </w:pPr>
            <w:r>
              <w:rPr>
                <w:rFonts w:ascii="Calibri" w:hAnsi="Calibri"/>
                <w:b/>
                <w:i w:val="0"/>
                <w:color w:val="212121"/>
                <w:sz w:val="19"/>
              </w:rPr>
              <w:t>Relationship discord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Conflict, reduced intimacy and dissatisfaction within the relationship.</w:t>
            </w:r>
          </w:p>
        </w:tc>
      </w:tr>
      <w:tr>
        <w:trPr>
          <w:cantSplit/>
        </w:trPr>
        <w:tc>
          <w:tcPr>
            <w:tcW w:type="dxa" w:w="2304"/>
            <w:vAlign w:val="top"/>
          </w:tcPr>
          <w:p>
            <w:pPr>
              <w:spacing w:after="40" w:before="0" w:line="259" w:lineRule="auto"/>
            </w:pPr>
            <w:r>
              <w:rPr>
                <w:rFonts w:ascii="Calibri" w:hAnsi="Calibri"/>
                <w:b/>
                <w:i w:val="0"/>
                <w:color w:val="212121"/>
                <w:sz w:val="19"/>
              </w:rPr>
              <w:t>Depressive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 mood and hopelessness arising from chronic sexual difficulty and distress.</w:t>
            </w:r>
          </w:p>
        </w:tc>
      </w:tr>
      <w:tr>
        <w:trPr>
          <w:cantSplit/>
        </w:trPr>
        <w:tc>
          <w:tcPr>
            <w:tcW w:type="dxa" w:w="2304"/>
            <w:vAlign w:val="top"/>
          </w:tcPr>
          <w:p>
            <w:pPr>
              <w:spacing w:after="40" w:before="0" w:line="259" w:lineRule="auto"/>
            </w:pPr>
            <w:r>
              <w:rPr>
                <w:rFonts w:ascii="Calibri" w:hAnsi="Calibri"/>
                <w:b/>
                <w:i w:val="0"/>
                <w:color w:val="212121"/>
                <w:sz w:val="19"/>
              </w:rPr>
              <w:t>Ejaculation before penetration (ante portas)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PE in which ejaculation occurs before intromission is possible.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Short measured / estimated IELT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confirmation of rapid ejaculation by self-estimated or stopwatch-timed IELT.</w:t>
            </w:r>
          </w:p>
        </w:tc>
      </w:tr>
      <w:tr>
        <w:trPr>
          <w:cantSplit/>
        </w:trPr>
        <w:tc>
          <w:tcPr>
            <w:tcW w:type="dxa" w:w="3456"/>
            <w:vAlign w:val="top"/>
          </w:tcPr>
          <w:p>
            <w:pPr>
              <w:spacing w:after="40" w:before="0" w:line="259" w:lineRule="auto"/>
            </w:pPr>
            <w:r>
              <w:rPr>
                <w:rFonts w:ascii="Calibri" w:hAnsi="Calibri"/>
                <w:b/>
                <w:i w:val="0"/>
                <w:color w:val="212121"/>
                <w:sz w:val="19"/>
              </w:rPr>
              <w:t>Elevated PEDT score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high Premature Ejaculation Diagnostic Tool score (≥ 11) objectively supports the diagnosis.</w:t>
            </w:r>
          </w:p>
        </w:tc>
      </w:tr>
      <w:tr>
        <w:trPr>
          <w:cantSplit/>
        </w:trPr>
        <w:tc>
          <w:tcPr>
            <w:tcW w:type="dxa" w:w="3456"/>
            <w:vAlign w:val="top"/>
          </w:tcPr>
          <w:p>
            <w:pPr>
              <w:spacing w:after="40" w:before="0" w:line="259" w:lineRule="auto"/>
            </w:pPr>
            <w:r>
              <w:rPr>
                <w:rFonts w:ascii="Calibri" w:hAnsi="Calibri"/>
                <w:b/>
                <w:i w:val="0"/>
                <w:color w:val="212121"/>
                <w:sz w:val="19"/>
              </w:rPr>
              <w:t>Normal genitalia and prostate (lifelong PE)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Physical examination is frequently normal in lifelong PE, which is largely a functional disorder.</w:t>
            </w:r>
          </w:p>
        </w:tc>
      </w:tr>
      <w:tr>
        <w:trPr>
          <w:cantSplit/>
        </w:trPr>
        <w:tc>
          <w:tcPr>
            <w:tcW w:type="dxa" w:w="3456"/>
            <w:vAlign w:val="top"/>
          </w:tcPr>
          <w:p>
            <w:pPr>
              <w:spacing w:after="40" w:before="0" w:line="259" w:lineRule="auto"/>
            </w:pPr>
            <w:r>
              <w:rPr>
                <w:rFonts w:ascii="Calibri" w:hAnsi="Calibri"/>
                <w:b/>
                <w:i w:val="0"/>
                <w:color w:val="212121"/>
                <w:sz w:val="19"/>
              </w:rPr>
              <w:t>Heightened penile sensitivity on biothesiometry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lowered vibratory sensory threshold in some men, supporting the penile-hypersensitivity theory.</w:t>
            </w:r>
          </w:p>
        </w:tc>
      </w:tr>
      <w:tr>
        <w:trPr>
          <w:cantSplit/>
        </w:trPr>
        <w:tc>
          <w:tcPr>
            <w:tcW w:type="dxa" w:w="3456"/>
            <w:vAlign w:val="top"/>
          </w:tcPr>
          <w:p>
            <w:pPr>
              <w:spacing w:after="40" w:before="0" w:line="259" w:lineRule="auto"/>
            </w:pPr>
            <w:r>
              <w:rPr>
                <w:rFonts w:ascii="Calibri" w:hAnsi="Calibri"/>
                <w:b/>
                <w:i w:val="0"/>
                <w:color w:val="212121"/>
                <w:sz w:val="19"/>
              </w:rPr>
              <w:t>Signs of hyperthyroidism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Tremor, tachycardia, warm moist skin or goitre point to a reversible endocrine cause of acquired PE.</w:t>
            </w:r>
          </w:p>
        </w:tc>
      </w:tr>
      <w:tr>
        <w:trPr>
          <w:cantSplit/>
        </w:trPr>
        <w:tc>
          <w:tcPr>
            <w:tcW w:type="dxa" w:w="3456"/>
            <w:vAlign w:val="top"/>
          </w:tcPr>
          <w:p>
            <w:pPr>
              <w:spacing w:after="40" w:before="0" w:line="259" w:lineRule="auto"/>
            </w:pPr>
            <w:r>
              <w:rPr>
                <w:rFonts w:ascii="Calibri" w:hAnsi="Calibri"/>
                <w:b/>
                <w:i w:val="0"/>
                <w:color w:val="212121"/>
                <w:sz w:val="19"/>
              </w:rPr>
              <w:t>Tender or boggy prostate on DRE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chronic prostatitis contributing to acquired PE.</w:t>
            </w:r>
          </w:p>
        </w:tc>
      </w:tr>
      <w:tr>
        <w:trPr>
          <w:cantSplit/>
        </w:trPr>
        <w:tc>
          <w:tcPr>
            <w:tcW w:type="dxa" w:w="3456"/>
            <w:vAlign w:val="top"/>
          </w:tcPr>
          <w:p>
            <w:pPr>
              <w:spacing w:after="40" w:before="0" w:line="259" w:lineRule="auto"/>
            </w:pPr>
            <w:r>
              <w:rPr>
                <w:rFonts w:ascii="Calibri" w:hAnsi="Calibri"/>
                <w:b/>
                <w:i w:val="0"/>
                <w:color w:val="212121"/>
                <w:sz w:val="19"/>
              </w:rPr>
              <w:t>Coexisting erectile dysfunction on assessment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Demonstrable erectile difficulty that commonly accompanies and aggravates PE.</w:t>
            </w:r>
          </w:p>
        </w:tc>
      </w:tr>
      <w:tr>
        <w:trPr>
          <w:cantSplit/>
        </w:trPr>
        <w:tc>
          <w:tcPr>
            <w:tcW w:type="dxa" w:w="3456"/>
            <w:vAlign w:val="top"/>
          </w:tcPr>
          <w:p>
            <w:pPr>
              <w:spacing w:after="40" w:before="0" w:line="259" w:lineRule="auto"/>
            </w:pPr>
            <w:r>
              <w:rPr>
                <w:rFonts w:ascii="Calibri" w:hAnsi="Calibri"/>
                <w:b/>
                <w:i w:val="0"/>
                <w:color w:val="212121"/>
                <w:sz w:val="19"/>
              </w:rPr>
              <w:t>Anxiety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Tachycardia, sweating and restlessness reflecting the performance anxiety that drives PE.</w:t>
            </w:r>
          </w:p>
        </w:tc>
      </w:tr>
      <w:tr>
        <w:trPr>
          <w:cantSplit/>
        </w:trPr>
        <w:tc>
          <w:tcPr>
            <w:tcW w:type="dxa" w:w="3456"/>
            <w:vAlign w:val="top"/>
          </w:tcPr>
          <w:p>
            <w:pPr>
              <w:spacing w:after="40" w:before="0" w:line="259" w:lineRule="auto"/>
            </w:pPr>
            <w:r>
              <w:rPr>
                <w:rFonts w:ascii="Calibri" w:hAnsi="Calibri"/>
                <w:b/>
                <w:i w:val="0"/>
                <w:color w:val="212121"/>
                <w:sz w:val="19"/>
              </w:rPr>
              <w:t>Signs of diabetic autonomic neuropathy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Autonomic features in longstanding diabetes underlying acquired ejaculatory dysfunction.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distress, frustration and bother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Performance and anticipatory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sexual confidence and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sexual satisfaction for the man and his partner</w:t>
            </w:r>
          </w:p>
        </w:tc>
        <w:tc>
          <w:tcPr>
            <w:tcW w:type="dxa" w:w="2980"/>
            <w:vAlign w:val="top"/>
          </w:tcPr>
          <w:p>
            <w:pPr>
              <w:spacing w:after="40" w:before="0" w:line="259" w:lineRule="auto"/>
            </w:pPr>
            <w:r>
              <w:rPr>
                <w:rFonts w:ascii="Calibri" w:hAnsi="Calibri"/>
                <w:b w:val="0"/>
                <w:i w:val="0"/>
                <w:color w:val="212121"/>
                <w:sz w:val="19"/>
              </w:rPr>
              <w:t>Immediate psychological and sexual consequences of poor ejaculatory control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erectile dysfunction from anxiety and rushing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Avoidance of sexual activity and reduced coital frequency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and marital conflict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depressive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chance of conception when ejaculation occurs before or at the introitus</w:t>
            </w:r>
          </w:p>
        </w:tc>
        <w:tc>
          <w:tcPr>
            <w:tcW w:type="dxa" w:w="2980"/>
            <w:vAlign w:val="top"/>
          </w:tcPr>
          <w:p>
            <w:pPr>
              <w:spacing w:after="40" w:before="0" w:line="259" w:lineRule="auto"/>
            </w:pPr>
            <w:r>
              <w:rPr>
                <w:rFonts w:ascii="Calibri" w:hAnsi="Calibri"/>
                <w:b w:val="0"/>
                <w:i w:val="0"/>
                <w:color w:val="212121"/>
                <w:sz w:val="19"/>
              </w:rPr>
              <w:t>Develop as PE persists and interacts with mood, erectile function and the relationship</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psychological morbidity with entrenched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 breakdown, separation or divorce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Male-factor subfertility /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and avoidance of new relationships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Reinforcement of Dhat / semen-loss anxiety and dependence on unproven ‘quack’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 dependence and relapse on stopping pharmacotherapy</w:t>
            </w:r>
          </w:p>
        </w:tc>
        <w:tc>
          <w:tcPr>
            <w:tcW w:type="dxa" w:w="2980"/>
            <w:vAlign w:val="top"/>
          </w:tcPr>
          <w:p>
            <w:pPr>
              <w:spacing w:after="40" w:before="0" w:line="259" w:lineRule="auto"/>
            </w:pPr>
            <w:r>
              <w:rPr>
                <w:rFonts w:ascii="Calibri" w:hAnsi="Calibri"/>
                <w:b w:val="0"/>
                <w:i w:val="0"/>
                <w:color w:val="212121"/>
                <w:sz w:val="19"/>
              </w:rPr>
              <w:t>Long-term, disabling psychosocial and reproductive outcomes of untreated or refractory PE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Erectile dysfunction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Coexists with PE in a large minority of men; fear of losing the erection drives rushing, while PE-related anxiety worsens erections — coexisting ED is often treated first.</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Chronic prostatitis / CPPS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Prostatic and lower-urinary-tract inflammation is a common organic cause of acquired PE, and PE is a frequent sexual symptom of chronic prostatitis; treating the prostatitis can improve control.</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Accelerates the ejaculatory reflex and is a reversible cause of acquired PE; correcting the thyroid state can resolve the PE, so thyroid screening is recommended.</w:t>
            </w:r>
          </w:p>
        </w:tc>
      </w:tr>
      <w:tr>
        <w:trPr>
          <w:cantSplit/>
        </w:trPr>
        <w:tc>
          <w:tcPr>
            <w:tcW w:type="dxa" w:w="2232"/>
            <w:vAlign w:val="top"/>
          </w:tcPr>
          <w:p>
            <w:pPr>
              <w:spacing w:after="40" w:before="0" w:line="259" w:lineRule="auto"/>
            </w:pPr>
            <w:r>
              <w:rPr>
                <w:rFonts w:ascii="Calibri" w:hAnsi="Calibri"/>
                <w:b/>
                <w:i w:val="0"/>
                <w:color w:val="212121"/>
                <w:sz w:val="19"/>
              </w:rPr>
              <w:t>Anxiety disorders / performance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Strongly and bidirectionally linked to PE — anxiety lowers the ejaculatory threshold and is worsened by the distress of PE; a core target of psychosexual therapy.</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Bidirectionally associated with PE; notably, SSRI antidepressants that treat depression also delay ejaculation, a treatment interaction exploited therapeutically in PE.</w:t>
            </w:r>
          </w:p>
        </w:tc>
      </w:tr>
      <w:tr>
        <w:trPr>
          <w:cantSplit/>
        </w:trPr>
        <w:tc>
          <w:tcPr>
            <w:tcW w:type="dxa" w:w="2232"/>
            <w:vAlign w:val="top"/>
          </w:tcPr>
          <w:p>
            <w:pPr>
              <w:spacing w:after="40" w:before="0" w:line="259" w:lineRule="auto"/>
            </w:pPr>
            <w:r>
              <w:rPr>
                <w:rFonts w:ascii="Calibri" w:hAnsi="Calibri"/>
                <w:b/>
                <w:i w:val="0"/>
                <w:color w:val="212121"/>
                <w:sz w:val="19"/>
              </w:rPr>
              <w:t>Dhat syndrome / semen-loss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culture-bound South-Asian presentation that commonly co-exists with PE in Indian men, amplifying anxiety and distress and shaping how the problem is presented and treated.</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autonomic neuropathy and endothelial dysfunction that impair erectile and ejaculatory function; glycaemic and vascular control influence outcomes.</w:t>
            </w:r>
          </w:p>
        </w:tc>
      </w:tr>
      <w:tr>
        <w:trPr>
          <w:cantSplit/>
        </w:trPr>
        <w:tc>
          <w:tcPr>
            <w:tcW w:type="dxa" w:w="2232"/>
            <w:vAlign w:val="top"/>
          </w:tcPr>
          <w:p>
            <w:pPr>
              <w:spacing w:after="40" w:before="0" w:line="259" w:lineRule="auto"/>
            </w:pPr>
            <w:r>
              <w:rPr>
                <w:rFonts w:ascii="Calibri" w:hAnsi="Calibri"/>
                <w:b/>
                <w:i w:val="0"/>
                <w:color w:val="212121"/>
                <w:sz w:val="19"/>
              </w:rPr>
              <w:t>Hypogonadism / low testosterone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testosterone is associated with ejaculatory and erectile dysfunction and is assessed when libido is low or ED coexists, although testosterone does not treat PE itself.</w:t>
            </w:r>
          </w:p>
        </w:tc>
      </w:tr>
      <w:tr>
        <w:trPr>
          <w:cantSplit/>
        </w:trPr>
        <w:tc>
          <w:tcPr>
            <w:tcW w:type="dxa" w:w="2232"/>
            <w:vAlign w:val="top"/>
          </w:tcPr>
          <w:p>
            <w:pPr>
              <w:spacing w:after="40" w:before="0" w:line="259" w:lineRule="auto"/>
            </w:pPr>
            <w:r>
              <w:rPr>
                <w:rFonts w:ascii="Calibri" w:hAnsi="Calibri"/>
                <w:b/>
                <w:i w:val="0"/>
                <w:color w:val="212121"/>
                <w:sz w:val="19"/>
              </w:rPr>
              <w:t>Alcohol / substance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Harmful alcohol and substance use are strongly associated with male sexual dysfunction including PE through neurotoxic, hormonal and psychological pathways.</w:t>
            </w:r>
          </w:p>
        </w:tc>
      </w:tr>
      <w:tr>
        <w:trPr>
          <w:cantSplit/>
        </w:trPr>
        <w:tc>
          <w:tcPr>
            <w:tcW w:type="dxa" w:w="2232"/>
            <w:vAlign w:val="top"/>
          </w:tcPr>
          <w:p>
            <w:pPr>
              <w:spacing w:after="40" w:before="0" w:line="259" w:lineRule="auto"/>
            </w:pPr>
            <w:r>
              <w:rPr>
                <w:rFonts w:ascii="Calibri" w:hAnsi="Calibri"/>
                <w:b/>
                <w:i w:val="0"/>
                <w:color w:val="212121"/>
                <w:sz w:val="19"/>
              </w:rPr>
              <w:t>Metabolic syndrome / 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obesity, dyslipidaemia and insulin resistance promote endothelial and erectile dysfunction that commonly accompany and aggravate acquired PE.</w:t>
            </w:r>
          </w:p>
        </w:tc>
      </w:tr>
      <w:tr>
        <w:trPr>
          <w:cantSplit/>
        </w:trPr>
        <w:tc>
          <w:tcPr>
            <w:tcW w:type="dxa" w:w="2232"/>
            <w:vAlign w:val="top"/>
          </w:tcPr>
          <w:p>
            <w:pPr>
              <w:spacing w:after="40" w:before="0" w:line="259" w:lineRule="auto"/>
            </w:pPr>
            <w:r>
              <w:rPr>
                <w:rFonts w:ascii="Calibri" w:hAnsi="Calibri"/>
                <w:b/>
                <w:i w:val="0"/>
                <w:color w:val="212121"/>
                <w:sz w:val="19"/>
              </w:rPr>
              <w:t>Serotonin-transporter (5-HTTLPR) gene variation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Inherited serotonergic polymorphisms set a low ejaculatory threshold and underlie the neurobiology of lifelong PE.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premature ejaculation is very common (about 1 in 3 men at some time) and highly treatable, so seek qualified care early rather than suffering in silence.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what is normal — the average time to ejaculation is only a few minutes — to counter unrealistic expectations, especially those set by pornography.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set aside myths around semen loss (Dhat) and ‘weakness’, and avoid unproven aphrodisiacs and ‘quack’ remedies that waste time and money.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Communicate openly with the partner and involve them in treatment, as couple involvement markedly improves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treatable causes — erectile dysfunction, chronic prostatitis, thyroid overactivity, diabetes, anxiety and depression — and get them checked.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lifelong PE (usually needs medication plus behavioural therapy) from variable/subjective PE (often needs only reassurance and education).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treatment (behavioural techniques, topical anaesthetics, on-demand dapoxetine or daily SSRIs) controls but does not always cure PE, and that relapse can occur if therapy is stopped.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men with lifelong 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Dhat / semen-loss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delaying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pelvic-floor muscle (Kegel) exercises daily to strengthen the muscles that control ejaculation.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start–stop (Semans) technique — pausing stimulation as climax approaches — to build tolerance and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the squeeze (Masters–Johnson) technique, compressing the glans to reduce arousal and delay ejaculation.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aerobic exercise and aim for gradual weight loss if overweight, to improve erectile function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these behavioural methods with pharmacological or topical treatment, which is more effective than either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techniques consistently over several weeks, as control improves gradually with repetition.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or overweight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coexisting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practising together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grains/millets, pulses, vegetables and fruit to control weight, blood sugar and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fried and ultra-processed foods that drive obesity, diabetes and erectile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caffeine (coffee, tea, energy drinks), which can heighten arousal and anxiety in susceptible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general hydration and cardiometabolic health as part of overall sexual well-being.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 or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High-caffeine consumers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aim for 7–9 hours of restorative sleep to support mood, libido and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lowers testosterone and worsens erectile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pre-sleep stress, screen time and stimulants to improve sleep quality and lower daytime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depression that fragment sleep and feed back into sexual difficulty.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or stressed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anxiety/depression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protect penile vascular and erectile function, which underpins ejaculatory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and nicotine-replacement therapy)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quitting also lowers cardiovascular risk relevant to overall sexual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coexisting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cardiometabolic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avoid heavy or dependent use, which is strongly linked to male sexual dysfunction including 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way to ‘last longer’ — any short-term delay is outweighed by worse erectile and overall sexual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as treating it can improve sexual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harmful/dependent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self-medicating with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coexisting ED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psychosexual therapy and cognitive behavioural therapy to reduce performance and anticipatory anxiety and to change unhelpful beliefs.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sensate-focus and couple-based exercises to rebuild intimacy and shift focus away from ejaculation.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clinician-guided pharmacotherapy — on-demand dapoxetine (the drug licensed specifically for PE and widely available in India), off-label daily SSRIs (e.g., paroxetine, sertraline), or topical lidocaine/prilocaine anaesthetics.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PDE5 inhibitor when erectile dysfunction coexists, treating the ED as part of PE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coexisting depression and anxiety disorders, which are bidirectionally linked to 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stigma and involve the partner, providing reassurance to improve adherence and reduce isolation.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performance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lifelong or acquired PE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yoclinic.org/diseases-conditions/premature-ejaculation/symptoms-causes/syc-20354900" TargetMode="External"/><Relationship Id="rId10" Type="http://schemas.openxmlformats.org/officeDocument/2006/relationships/hyperlink" Target="https://www.ncbi.nlm.nih.gov/books/NBK546701/" TargetMode="External"/><Relationship Id="rId11" Type="http://schemas.openxmlformats.org/officeDocument/2006/relationships/hyperlink" Target="https://pubmed.ncbi.nlm.nih.gov/25668163/" TargetMode="External"/><Relationship Id="rId12" Type="http://schemas.openxmlformats.org/officeDocument/2006/relationships/hyperlink" Target="https://www.healthline.com/health/mens-health/premature-ejaculation" TargetMode="External"/><Relationship Id="rId13" Type="http://schemas.openxmlformats.org/officeDocument/2006/relationships/hyperlink" Target="https://pubmed.ncbi.nlm.nih.gov/20711392/" TargetMode="External"/><Relationship Id="rId14" Type="http://schemas.openxmlformats.org/officeDocument/2006/relationships/hyperlink" Target="https://pubmed.ncbi.nlm.nih.gov/331870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