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Varicocele</w:t>
      </w:r>
    </w:p>
    <w:p>
      <w:pPr>
        <w:spacing w:before="0" w:after="160"/>
      </w:pPr>
      <w:r>
        <w:rPr>
          <w:rFonts w:ascii="Calibri" w:hAnsi="Calibri"/>
          <w:b/>
          <w:i w:val="0"/>
          <w:color w:val="212121"/>
          <w:sz w:val="22"/>
        </w:rPr>
        <w:t xml:space="preserve">AKA </w:t>
      </w:r>
      <w:r>
        <w:rPr>
          <w:rFonts w:ascii="Calibri" w:hAnsi="Calibri"/>
          <w:b w:val="0"/>
          <w:i w:val="0"/>
          <w:color w:val="212121"/>
          <w:sz w:val="22"/>
        </w:rPr>
        <w:t>i.e., Varicocoele, Pampiniform plexus varicosity, Scrotal / testicular varicose veins, “Bag of worms”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 varicocele is an abnormal dilatation and tortuosity of the veins of the pampiniform plexus within the spermatic cord — in effect, varicose veins of the scrotum — arising from incompetent or absent valves in the internal spermatic (testicular) vein and retrograde venous flow (reflux). About 90% are left-sided because the left testicular vein is longer and drains into the left renal vein at a near right angle, creating a higher venous column. Venous pooling raises intrascrotal temperature and causes stasis, hypoxia and oxidative stress that impair spermatogenesis and Leydig-cell function; varicocele is therefore the most common surgically correctable cause of male infertility.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Varicocele affects roughly 15% of the general adult male population and is the commonest correctable cause of male infertility, being found in about 35–40% of men with primary infertility and up to 75–80% of those with secondary infertility; around 90% are left-sided. Indian hospital series show the same pattern: in a north-Indian epidemiological study grade II disease was commonest (57%) and 80% were left-sided, with a marked excess among men in physically strenuous, prolonged-standing occupations (farmers 42%, coolies and rickshaw-pullers 22%). Notably, a New Delhi tertiary-centre infertility cohort detected clinical varicocele in only 4.7% of men with abnormal semen, well below the usual 30–40% quoted in the literature — underscoring wide variation and probable under-diagnosis in routine Indian practice.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Varicocele is fundamentally a clinical diagnosis made by scrotal palpation, supported by colour-Doppler ultrasonography in equivocal, subclinical or research settings. Diagnosis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physical examination with the man standing in a warm room, both at rest and during a Valsalva manoeuvre — a palpable, compressible “bag of worms” in the spermatic cord above and around the testis defines a clinical varicocele;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severity by the Dubin–Amelar grade — Grade 1 (small): palpable only on Valsalva; Grade 2 (moderate): palpable at rest without Valsalva; Grade 3 (large): visible through the scrotal skin;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subclinical varicocele — neither visible nor palpable, detected only on imaging;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scrotal colour-Doppler ultrasonography (the imaging investigation of choice): a pampiniform vein diameter ≥ 2–3 mm with demonstrable venous reflux lasting &gt; 1 second on Valsalva is diagnostic, and reflux is graded 1–5 by the Sarteschi system;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of testicular volume (orchidometer or ultrasound), with an ipsilateral volume loss of ≥ 20% or ≥ 2 mL being significant, especially in adolescents;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semen analysis (WHO 6th edition) in the infertility work-up, classically showing a “stress pattern” of oligo-astheno-teratozoospermia; serum total testosterone, FSH and LH are added where hypogonadism or spermatogenic failure is suspected.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Varicocele is classified clinically by the Dubin–Amelar palpation grade, sonographically by the Sarteschi colour-Doppler grade, and aetiologically as primary or secondary:</w:t>
      </w:r>
    </w:p>
    <w:p>
      <w:pPr>
        <w:spacing w:before="0" w:after="80"/>
      </w:pPr>
      <w:r>
        <w:rPr>
          <w:rFonts w:ascii="Calibri" w:hAnsi="Calibri"/>
          <w:b w:val="0"/>
          <w:i w:val="0"/>
          <w:color w:val="212121"/>
          <w:sz w:val="21"/>
        </w:rPr>
        <w:t>(1) Subclinical varicocele — neither visible nor palpable even on Valsalva, detected only on colour-Doppler ultrasonography (pampiniform veins ≥ 2–3 mm with reflux); its clinical significance and any benefit from repair remain debated and it is generally not treated in isolation.</w:t>
      </w:r>
    </w:p>
    <w:p>
      <w:pPr>
        <w:spacing w:before="0" w:after="80"/>
      </w:pPr>
      <w:r>
        <w:rPr>
          <w:rFonts w:ascii="Calibri" w:hAnsi="Calibri"/>
          <w:b w:val="0"/>
          <w:i w:val="0"/>
          <w:color w:val="212121"/>
          <w:sz w:val="21"/>
        </w:rPr>
        <w:t>(2) Grade 1 (small) — palpable only during a Valsalva manoeuvre with the patient standing.</w:t>
      </w:r>
    </w:p>
    <w:p>
      <w:pPr>
        <w:spacing w:before="0" w:after="80"/>
      </w:pPr>
      <w:r>
        <w:rPr>
          <w:rFonts w:ascii="Calibri" w:hAnsi="Calibri"/>
          <w:b w:val="0"/>
          <w:i w:val="0"/>
          <w:color w:val="212121"/>
          <w:sz w:val="21"/>
        </w:rPr>
        <w:t>(3) Grade 2 (moderate) — palpable at rest in the standing position without Valsalva, but not visible.</w:t>
      </w:r>
    </w:p>
    <w:p>
      <w:pPr>
        <w:spacing w:before="0" w:after="80"/>
      </w:pPr>
      <w:r>
        <w:rPr>
          <w:rFonts w:ascii="Calibri" w:hAnsi="Calibri"/>
          <w:b w:val="0"/>
          <w:i w:val="0"/>
          <w:color w:val="212121"/>
          <w:sz w:val="21"/>
        </w:rPr>
        <w:t>(4) Grade 3 (large) — visible through the scrotal skin and readily palpable at rest, classically giving the ‘bag-of-worms’ appearance.</w:t>
      </w:r>
    </w:p>
    <w:p>
      <w:pPr>
        <w:spacing w:before="0" w:after="80"/>
      </w:pPr>
      <w:r>
        <w:rPr>
          <w:rFonts w:ascii="Calibri" w:hAnsi="Calibri"/>
          <w:b w:val="0"/>
          <w:i w:val="0"/>
          <w:color w:val="212121"/>
          <w:sz w:val="21"/>
        </w:rPr>
        <w:t>(5) Sonographic (Sarteschi) grades 1–5 further stratify reflux by its site and whether it occurs only on Valsalva or continuously at rest, and separate primary (idiopathic, valvular-incompetence) varicocele — which decompresses when the man lies supine — from secondary varicocele due to venous obstruction (e.g. a retroperitoneal or renal tumour, renal-vein thrombus, or the left-renal-vein ‘nutcracker’); a new, isolated right-sided or a non-decompressing varicocele is a red flag mandating abdominal imaging.</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Venous valvular incompetence: Absent or incompetent valves in the internal spermatic (testicular) vein allow retrograde flow (reflux) and progressive dilatation of the pampiniform plexus — the core mechanism of primary varicocele.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Left-sided venous anatomy: The left testicular vein is longer and drains into the left renal vein at a near right angle (versus oblique drainage of the right vein into the inferior vena cava), producing a higher hydrostatic column and explaining the ~90% left-sided predominance.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Nutcracker phenomenon: Compression of the left renal vein between the superior mesenteric artery and the aorta raises pressure transmitted to the left testicular vein, promoting reflux.</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Raised intra-abdominal / venous pressure: Prolonged standing, heavy lifting, chronic straining or constipation and repetitive Valsalva increase venous pressure and can precipitate or worsen a varicocele — consistent with the Indian occupational excess among farmers and manual labourers.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Tall, lean body habitus: Greater height lengthens the hydrostatic venous column and low body fat gives less retroperitoneal cushioning of the renal vein, so varicoceles are paradoxically more common in tall, thin men and less common in the obese.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Genetic / familial predisposition: Varicocele clusters in families and is associated with a generalised tendency to venous valvular incompetence (varicose veins), implying an inherited connective-tissue / venous component.</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Secondary obstruction: A retroperitoneal mass, renal tumour with renal-vein thrombus, or bulky lymphadenopathy can obstruct venous drainage and cause a secondary varicocele — suggested by new onset, right-sided location, or failure to decompress when supine.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&amp; young adults (~15–25 years)</w:t>
            </w:r>
          </w:p>
        </w:tc>
        <w:tc>
          <w:tcPr>
            <w:tcW w:type="dxa" w:w="4276"/>
            <w:vAlign w:val="top"/>
          </w:tcPr>
          <w:p>
            <w:pPr>
              <w:spacing w:after="60" w:line="259" w:lineRule="auto"/>
            </w:pPr>
            <w:r>
              <w:rPr>
                <w:rFonts w:ascii="Calibri" w:hAnsi="Calibri"/>
                <w:b w:val="0"/>
                <w:i w:val="0"/>
                <w:color w:val="212121"/>
                <w:sz w:val="19"/>
              </w:rPr>
              <w:t>Varicoceles typically appear at puberty as the testes and their blood supply enlarge, and are usually first detected in the teens and twenties; untreated high-grade disease can arrest ipsilateral testicular growth during this window.</w:t>
            </w:r>
          </w:p>
          <w:p>
            <w:pPr>
              <w:spacing w:after="40" w:before="60" w:line="259" w:lineRule="auto"/>
            </w:pPr>
            <w:r>
              <w:rPr>
                <w:rFonts w:ascii="Calibri" w:hAnsi="Calibri"/>
                <w:b w:val="0"/>
                <w:i w:val="0"/>
                <w:color w:val="212121"/>
                <w:sz w:val="19"/>
              </w:rPr>
              <w:t>In an Indian series, 42% of varicocele patients were aged 11–20 years and 38% were 21–30 years (mean age 25.1 years); risk factor sources place typical onset at 15–25 years.</w:t>
            </w:r>
          </w:p>
          <w:p>
            <w:pPr>
              <w:spacing w:after="40" w:line="252" w:lineRule="auto"/>
            </w:pPr>
            <w:hyperlink r:id="rId9">
              <w:r>
                <w:rPr>
                  <w:rFonts w:ascii="Calibri" w:hAnsi="Calibri" w:cs="Calibri"/>
                  <w:sz w:val="18"/>
                  <w:color w:val="1155CC"/>
                  <w:u w:val="single"/>
                </w:rPr>
                <w:t xml:space="preserve">semanticscholar.org — epidemiological study of varicocele (India)</w:t>
              </w:r>
            </w:hyperlink>
          </w:p>
          <w:p>
            <w:pPr>
              <w:spacing w:before="60" w:after="40"/>
            </w:pPr>
            <w:r>
              <w:rPr>
                <w:rFonts w:ascii="Calibri" w:hAnsi="Calibri"/>
                <w:b w:val="0"/>
                <w:i w:val="0"/>
                <w:color w:val="5A5A5A"/>
                <w:sz w:val="18"/>
              </w:rPr>
              <w:t>#adolescentvaricocele  #puberty  #testiculargrowth  #youngmen  #earlydetection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 of reproductive age (infertility work-up)</w:t>
            </w:r>
          </w:p>
        </w:tc>
        <w:tc>
          <w:tcPr>
            <w:tcW w:type="dxa" w:w="4276"/>
            <w:vAlign w:val="top"/>
          </w:tcPr>
          <w:p>
            <w:pPr>
              <w:spacing w:after="60" w:line="259" w:lineRule="auto"/>
            </w:pPr>
            <w:r>
              <w:rPr>
                <w:rFonts w:ascii="Calibri" w:hAnsi="Calibri"/>
                <w:b w:val="0"/>
                <w:i w:val="0"/>
                <w:color w:val="212121"/>
                <w:sz w:val="19"/>
              </w:rPr>
              <w:t>Most clinically important varicoceles present when couples seek fertility care; the venous reflux has by then had years to raise scrotal temperature and generate oxidative sperm damage.</w:t>
            </w:r>
          </w:p>
          <w:p>
            <w:pPr>
              <w:spacing w:after="40" w:before="60" w:line="259" w:lineRule="auto"/>
            </w:pPr>
            <w:r>
              <w:rPr>
                <w:rFonts w:ascii="Calibri" w:hAnsi="Calibri"/>
                <w:b w:val="0"/>
                <w:i w:val="0"/>
                <w:color w:val="212121"/>
                <w:sz w:val="19"/>
              </w:rPr>
              <w:t>About 35–40% of men with primary infertility and up to 75–80% of those with secondary infertility have a varicocele.</w:t>
            </w:r>
          </w:p>
          <w:p>
            <w:pPr>
              <w:spacing w:after="40" w:line="252" w:lineRule="auto"/>
            </w:pPr>
            <w:hyperlink r:id="rId10">
              <w:r>
                <w:rPr>
                  <w:rFonts w:ascii="Calibri" w:hAnsi="Calibri" w:cs="Calibri"/>
                  <w:sz w:val="18"/>
                  <w:color w:val="1155CC"/>
                  <w:u w:val="single"/>
                </w:rPr>
                <w:t xml:space="preserve">emedicine.medscape.com — varicocele</w:t>
              </w:r>
            </w:hyperlink>
          </w:p>
          <w:p>
            <w:pPr>
              <w:spacing w:before="60" w:after="40"/>
            </w:pPr>
            <w:r>
              <w:rPr>
                <w:rFonts w:ascii="Calibri" w:hAnsi="Calibri"/>
                <w:b w:val="0"/>
                <w:i w:val="0"/>
                <w:color w:val="5A5A5A"/>
                <w:sz w:val="18"/>
              </w:rPr>
              <w:t>#malefertility  #reproductiveage  #stresspattern  #semenquality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Older / ageing men</w:t>
            </w:r>
          </w:p>
        </w:tc>
        <w:tc>
          <w:tcPr>
            <w:tcW w:type="dxa" w:w="4276"/>
            <w:vAlign w:val="top"/>
          </w:tcPr>
          <w:p>
            <w:pPr>
              <w:spacing w:after="60" w:line="259" w:lineRule="auto"/>
            </w:pPr>
            <w:r>
              <w:rPr>
                <w:rFonts w:ascii="Calibri" w:hAnsi="Calibri"/>
                <w:b w:val="0"/>
                <w:i w:val="0"/>
                <w:color w:val="212121"/>
                <w:sz w:val="19"/>
              </w:rPr>
              <w:t>Varicocele prevalence rises with age and, in older men, contributes to progressive Leydig-cell dysfunction and falling testosterone, so late presentation with hypogonadal symptoms is increasingly recognised.</w:t>
            </w:r>
          </w:p>
          <w:p>
            <w:pPr>
              <w:spacing w:after="40" w:before="60" w:line="259" w:lineRule="auto"/>
            </w:pPr>
            <w:r>
              <w:rPr>
                <w:rFonts w:ascii="Calibri" w:hAnsi="Calibri"/>
                <w:b w:val="0"/>
                <w:i w:val="0"/>
                <w:color w:val="212121"/>
                <w:sz w:val="19"/>
              </w:rPr>
              <w:t>Varicocelectomy raises serum total testosterone by a mean of ~107 ng/dL, the benefit being greatest in hypogonadal (lower-baseline) men — evidence that varicocele burdens Leydig-cell function.</w:t>
            </w:r>
          </w:p>
          <w:p>
            <w:pPr>
              <w:spacing w:after="40" w:line="252" w:lineRule="auto"/>
            </w:pPr>
            <w:hyperlink r:id="rId11">
              <w:r>
                <w:rPr>
                  <w:rFonts w:ascii="Calibri" w:hAnsi="Calibri" w:cs="Calibri"/>
                  <w:sz w:val="18"/>
                  <w:color w:val="1155CC"/>
                  <w:u w:val="single"/>
                </w:rPr>
                <w:t xml:space="preserve">mdpi.com — varicocele and male hypogonadism (meta-analysis)</w:t>
              </w:r>
            </w:hyperlink>
          </w:p>
          <w:p>
            <w:pPr>
              <w:spacing w:before="60" w:after="40"/>
            </w:pPr>
            <w:r>
              <w:rPr>
                <w:rFonts w:ascii="Calibri" w:hAnsi="Calibri"/>
                <w:b w:val="0"/>
                <w:i w:val="0"/>
                <w:color w:val="5A5A5A"/>
                <w:sz w:val="18"/>
              </w:rPr>
              <w:t>#ageing  #lowtestosterone  #leydigcell  #hypogonadism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(exclusively)</w:t>
            </w:r>
          </w:p>
        </w:tc>
        <w:tc>
          <w:tcPr>
            <w:tcW w:type="dxa" w:w="4276"/>
            <w:vAlign w:val="top"/>
          </w:tcPr>
          <w:p>
            <w:pPr>
              <w:spacing w:after="60" w:line="259" w:lineRule="auto"/>
            </w:pPr>
            <w:r>
              <w:rPr>
                <w:rFonts w:ascii="Calibri" w:hAnsi="Calibri"/>
                <w:b w:val="0"/>
                <w:i w:val="0"/>
                <w:color w:val="212121"/>
                <w:sz w:val="19"/>
              </w:rPr>
              <w:t>Varicocele is by definition a disease of the male spermatic-cord venous plexus and affects only biological males; it is a leading correctable factor in male-factor subfertility.</w:t>
            </w:r>
          </w:p>
          <w:p>
            <w:pPr>
              <w:spacing w:after="40" w:before="60" w:line="259" w:lineRule="auto"/>
            </w:pPr>
            <w:r>
              <w:rPr>
                <w:rFonts w:ascii="Calibri" w:hAnsi="Calibri"/>
                <w:b w:val="0"/>
                <w:i w:val="0"/>
                <w:color w:val="212121"/>
                <w:sz w:val="19"/>
              </w:rPr>
              <w:t>Varicocele is present in roughly 15% of all adult men and is the single most common identifiable cause of abnormal semen analysis.</w:t>
            </w:r>
          </w:p>
          <w:p>
            <w:pPr>
              <w:spacing w:after="40" w:line="252" w:lineRule="auto"/>
            </w:pPr>
            <w:hyperlink r:id="rId12">
              <w:r>
                <w:rPr>
                  <w:rFonts w:ascii="Calibri" w:hAnsi="Calibri" w:cs="Calibri"/>
                  <w:sz w:val="18"/>
                  <w:color w:val="1155CC"/>
                  <w:u w:val="single"/>
                </w:rPr>
                <w:t xml:space="preserve">ncbi.nlm.nih.gov — Varicocele (StatPearls)</w:t>
              </w:r>
            </w:hyperlink>
          </w:p>
          <w:p>
            <w:pPr>
              <w:spacing w:before="60" w:after="40"/>
            </w:pPr>
            <w:r>
              <w:rPr>
                <w:rFonts w:ascii="Calibri" w:hAnsi="Calibri"/>
                <w:b w:val="0"/>
                <w:i w:val="0"/>
                <w:color w:val="5A5A5A"/>
                <w:sz w:val="18"/>
              </w:rPr>
              <w:t>#malehealth  #andrology  #scrotum  #malefactor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 occupation</w:t>
            </w:r>
          </w:p>
        </w:tc>
        <w:tc>
          <w:tcPr>
            <w:tcW w:type="dxa" w:w="2160"/>
            <w:vAlign w:val="top"/>
          </w:tcPr>
          <w:p>
            <w:pPr>
              <w:spacing w:after="40" w:before="0" w:line="259" w:lineRule="auto"/>
            </w:pPr>
            <w:r>
              <w:rPr>
                <w:rFonts w:ascii="Calibri" w:hAnsi="Calibri"/>
                <w:b w:val="0"/>
                <w:i w:val="0"/>
                <w:color w:val="212121"/>
                <w:sz w:val="19"/>
              </w:rPr>
              <w:t>Manual labourers &amp; prolonged-standing workers</w:t>
            </w:r>
          </w:p>
        </w:tc>
        <w:tc>
          <w:tcPr>
            <w:tcW w:type="dxa" w:w="4276"/>
            <w:vAlign w:val="top"/>
          </w:tcPr>
          <w:p>
            <w:pPr>
              <w:spacing w:after="60" w:line="259" w:lineRule="auto"/>
            </w:pPr>
            <w:r>
              <w:rPr>
                <w:rFonts w:ascii="Calibri" w:hAnsi="Calibri"/>
                <w:b w:val="0"/>
                <w:i w:val="0"/>
                <w:color w:val="212121"/>
                <w:sz w:val="19"/>
              </w:rPr>
              <w:t>Work involving heavy lifting, physical exertion and hours of standing raises intra-abdominal and venous pressure, favouring reflux and varicocele formation; such workers also present later.</w:t>
            </w:r>
          </w:p>
          <w:p>
            <w:pPr>
              <w:spacing w:after="40" w:before="60" w:line="259" w:lineRule="auto"/>
            </w:pPr>
            <w:r>
              <w:rPr>
                <w:rFonts w:ascii="Calibri" w:hAnsi="Calibri"/>
                <w:b w:val="0"/>
                <w:i w:val="0"/>
                <w:color w:val="212121"/>
                <w:sz w:val="19"/>
              </w:rPr>
              <w:t>In the Indian epidemiological series, farmers made up 42% and coolies/rickshaw-pullers 22% of varicocele patients — occupations dominated by prolonged standing and strain.</w:t>
            </w:r>
          </w:p>
          <w:p>
            <w:pPr>
              <w:spacing w:after="40" w:line="252" w:lineRule="auto"/>
            </w:pPr>
            <w:hyperlink r:id="rId9">
              <w:r>
                <w:rPr>
                  <w:rFonts w:ascii="Calibri" w:hAnsi="Calibri" w:cs="Calibri"/>
                  <w:sz w:val="18"/>
                  <w:color w:val="1155CC"/>
                  <w:u w:val="single"/>
                </w:rPr>
                <w:t xml:space="preserve">semanticscholar.org — epidemiological study of varicocele (India)</w:t>
              </w:r>
            </w:hyperlink>
          </w:p>
          <w:p>
            <w:pPr>
              <w:spacing w:before="60" w:after="40"/>
            </w:pPr>
            <w:r>
              <w:rPr>
                <w:rFonts w:ascii="Calibri" w:hAnsi="Calibri"/>
                <w:b w:val="0"/>
                <w:i w:val="0"/>
                <w:color w:val="5A5A5A"/>
                <w:sz w:val="18"/>
              </w:rPr>
              <w:t>#manuallabour  #prolongedstanding  #heavylifting  #occupationalrisk</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&amp; South Asian men</w:t>
            </w:r>
          </w:p>
        </w:tc>
        <w:tc>
          <w:tcPr>
            <w:tcW w:type="dxa" w:w="4276"/>
            <w:vAlign w:val="top"/>
          </w:tcPr>
          <w:p>
            <w:pPr>
              <w:spacing w:after="60" w:line="259" w:lineRule="auto"/>
            </w:pPr>
            <w:r>
              <w:rPr>
                <w:rFonts w:ascii="Calibri" w:hAnsi="Calibri"/>
                <w:b w:val="0"/>
                <w:i w:val="0"/>
                <w:color w:val="212121"/>
                <w:sz w:val="19"/>
              </w:rPr>
              <w:t>Indian men carry a substantial varicocele and male-infertility burden, though detection varies widely between centres; agrarian and manual-labour livelihoods with heat and standing exposure contribute.</w:t>
            </w:r>
          </w:p>
          <w:p>
            <w:pPr>
              <w:spacing w:after="40" w:before="60" w:line="259" w:lineRule="auto"/>
            </w:pPr>
            <w:r>
              <w:rPr>
                <w:rFonts w:ascii="Calibri" w:hAnsi="Calibri"/>
                <w:b w:val="0"/>
                <w:i w:val="0"/>
                <w:color w:val="212121"/>
                <w:sz w:val="19"/>
              </w:rPr>
              <w:t>An Indian epidemiological series reported 80% left-sided, 13% bilateral and 7% right-sided disease, with grade II commonest (57%).</w:t>
            </w:r>
          </w:p>
          <w:p>
            <w:pPr>
              <w:spacing w:after="40" w:line="252" w:lineRule="auto"/>
            </w:pPr>
            <w:hyperlink r:id="rId9">
              <w:r>
                <w:rPr>
                  <w:rFonts w:ascii="Calibri" w:hAnsi="Calibri" w:cs="Calibri"/>
                  <w:sz w:val="18"/>
                  <w:color w:val="1155CC"/>
                  <w:u w:val="single"/>
                </w:rPr>
                <w:t xml:space="preserve">semanticscholar.org — epidemiological study of varicocele (India)</w:t>
              </w:r>
            </w:hyperlink>
          </w:p>
          <w:p>
            <w:pPr>
              <w:spacing w:before="60" w:after="40"/>
            </w:pPr>
            <w:r>
              <w:rPr>
                <w:rFonts w:ascii="Calibri" w:hAnsi="Calibri"/>
                <w:b w:val="0"/>
                <w:i w:val="0"/>
                <w:color w:val="5A5A5A"/>
                <w:sz w:val="18"/>
              </w:rPr>
              <w:t>#India  #southasia  #leftsided  #gradeII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 / heat exposure</w:t>
            </w:r>
          </w:p>
        </w:tc>
        <w:tc>
          <w:tcPr>
            <w:tcW w:type="dxa" w:w="2160"/>
            <w:vAlign w:val="top"/>
          </w:tcPr>
          <w:p>
            <w:pPr>
              <w:spacing w:after="40" w:before="0" w:line="259" w:lineRule="auto"/>
            </w:pPr>
            <w:r>
              <w:rPr>
                <w:rFonts w:ascii="Calibri" w:hAnsi="Calibri"/>
                <w:b w:val="0"/>
                <w:i w:val="0"/>
                <w:color w:val="212121"/>
                <w:sz w:val="19"/>
              </w:rPr>
              <w:t>Men in hot climates &amp; hot-work environments</w:t>
            </w:r>
          </w:p>
        </w:tc>
        <w:tc>
          <w:tcPr>
            <w:tcW w:type="dxa" w:w="4276"/>
            <w:vAlign w:val="top"/>
          </w:tcPr>
          <w:p>
            <w:pPr>
              <w:spacing w:after="60" w:line="259" w:lineRule="auto"/>
            </w:pPr>
            <w:r>
              <w:rPr>
                <w:rFonts w:ascii="Calibri" w:hAnsi="Calibri"/>
                <w:b w:val="0"/>
                <w:i w:val="0"/>
                <w:color w:val="212121"/>
                <w:sz w:val="19"/>
              </w:rPr>
              <w:t>High ambient and occupational heat (foundries, kitchens, outdoor field work) adds to the venous pooling of a varicocele to raise scrotal temperature further, compounding thermal injury to spermatogenesis.</w:t>
            </w:r>
          </w:p>
          <w:p>
            <w:pPr>
              <w:spacing w:after="40" w:before="60" w:line="259" w:lineRule="auto"/>
            </w:pPr>
            <w:r>
              <w:rPr>
                <w:rFonts w:ascii="Calibri" w:hAnsi="Calibri"/>
                <w:b w:val="0"/>
                <w:i w:val="0"/>
                <w:color w:val="212121"/>
                <w:sz w:val="19"/>
              </w:rPr>
              <w:t>Increased intratesticular temperature is the most reproducible mechanism by which varicocele harms sperm concentration, motility and morphology.</w:t>
            </w:r>
          </w:p>
          <w:p>
            <w:pPr>
              <w:spacing w:after="40" w:line="252" w:lineRule="auto"/>
            </w:pPr>
            <w:hyperlink r:id="rId10">
              <w:r>
                <w:rPr>
                  <w:rFonts w:ascii="Calibri" w:hAnsi="Calibri" w:cs="Calibri"/>
                  <w:sz w:val="18"/>
                  <w:color w:val="1155CC"/>
                  <w:u w:val="single"/>
                </w:rPr>
                <w:t xml:space="preserve">emedicine.medscape.com — varicocele (thermoregulation)</w:t>
              </w:r>
            </w:hyperlink>
          </w:p>
          <w:p>
            <w:pPr>
              <w:spacing w:before="60" w:after="40"/>
            </w:pPr>
            <w:r>
              <w:rPr>
                <w:rFonts w:ascii="Calibri" w:hAnsi="Calibri"/>
                <w:b w:val="0"/>
                <w:i w:val="0"/>
                <w:color w:val="5A5A5A"/>
                <w:sz w:val="18"/>
              </w:rPr>
              <w:t>#scrotalheat  #thermoregulation  #hotclimate  #spermdamage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Physical strain</w:t>
            </w:r>
          </w:p>
        </w:tc>
        <w:tc>
          <w:tcPr>
            <w:tcW w:type="dxa" w:w="2160"/>
            <w:vAlign w:val="top"/>
          </w:tcPr>
          <w:p>
            <w:pPr>
              <w:spacing w:after="40" w:before="0" w:line="259" w:lineRule="auto"/>
            </w:pPr>
            <w:r>
              <w:rPr>
                <w:rFonts w:ascii="Calibri" w:hAnsi="Calibri"/>
                <w:b w:val="0"/>
                <w:i w:val="0"/>
                <w:color w:val="212121"/>
                <w:sz w:val="19"/>
              </w:rPr>
              <w:t>Heavy lifters, athletes &amp; chronic strainers</w:t>
            </w:r>
          </w:p>
        </w:tc>
        <w:tc>
          <w:tcPr>
            <w:tcW w:type="dxa" w:w="4276"/>
            <w:vAlign w:val="top"/>
          </w:tcPr>
          <w:p>
            <w:pPr>
              <w:spacing w:after="60" w:line="259" w:lineRule="auto"/>
            </w:pPr>
            <w:r>
              <w:rPr>
                <w:rFonts w:ascii="Calibri" w:hAnsi="Calibri"/>
                <w:b w:val="0"/>
                <w:i w:val="0"/>
                <w:color w:val="212121"/>
                <w:sz w:val="19"/>
              </w:rPr>
              <w:t>Repetitive heavy lifting, weight-training with breath-holding, and chronic straining (constipation, chronic cough) raise venous pressure through sustained Valsalva and can precipitate or worsen reflux.</w:t>
            </w:r>
          </w:p>
          <w:p>
            <w:pPr>
              <w:spacing w:after="40" w:before="60" w:line="259" w:lineRule="auto"/>
            </w:pPr>
            <w:r>
              <w:rPr>
                <w:rFonts w:ascii="Calibri" w:hAnsi="Calibri"/>
                <w:b w:val="0"/>
                <w:i w:val="0"/>
                <w:color w:val="212121"/>
                <w:sz w:val="19"/>
              </w:rPr>
              <w:t>Physically strenuous, prolonged-standing occupations were over-represented among Indian varicocele patients, consistent with a strain-related mechanism.</w:t>
            </w:r>
          </w:p>
          <w:p>
            <w:pPr>
              <w:spacing w:after="40" w:line="252" w:lineRule="auto"/>
            </w:pPr>
            <w:hyperlink r:id="rId9">
              <w:r>
                <w:rPr>
                  <w:rFonts w:ascii="Calibri" w:hAnsi="Calibri" w:cs="Calibri"/>
                  <w:sz w:val="18"/>
                  <w:color w:val="1155CC"/>
                  <w:u w:val="single"/>
                </w:rPr>
                <w:t xml:space="preserve">semanticscholar.org — epidemiological study of varicocele (India)</w:t>
              </w:r>
            </w:hyperlink>
          </w:p>
          <w:p>
            <w:pPr>
              <w:spacing w:before="60" w:after="40"/>
            </w:pPr>
            <w:r>
              <w:rPr>
                <w:rFonts w:ascii="Calibri" w:hAnsi="Calibri"/>
                <w:b w:val="0"/>
                <w:i w:val="0"/>
                <w:color w:val="5A5A5A"/>
                <w:sz w:val="18"/>
              </w:rPr>
              <w:t>#valsalva  #heavylifting  #weighttraining  #venouspressure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smokers</w:t>
            </w:r>
          </w:p>
        </w:tc>
        <w:tc>
          <w:tcPr>
            <w:tcW w:type="dxa" w:w="4276"/>
            <w:vAlign w:val="top"/>
          </w:tcPr>
          <w:p>
            <w:pPr>
              <w:spacing w:after="60" w:line="259" w:lineRule="auto"/>
            </w:pPr>
            <w:r>
              <w:rPr>
                <w:rFonts w:ascii="Calibri" w:hAnsi="Calibri"/>
                <w:b w:val="0"/>
                <w:i w:val="0"/>
                <w:color w:val="212121"/>
                <w:sz w:val="19"/>
              </w:rPr>
              <w:t>Smoking compounds varicocele-related oxidative sperm damage, worsens baseline semen parameters and is a recognised negative predictor of improvement after varicocelectomy.</w:t>
            </w:r>
          </w:p>
          <w:p>
            <w:pPr>
              <w:spacing w:after="40" w:before="60" w:line="259" w:lineRule="auto"/>
            </w:pPr>
            <w:r>
              <w:rPr>
                <w:rFonts w:ascii="Calibri" w:hAnsi="Calibri"/>
                <w:b w:val="0"/>
                <w:i w:val="0"/>
                <w:color w:val="212121"/>
                <w:sz w:val="19"/>
              </w:rPr>
              <w:t>Smoking (and obesity) negatively affect semen outcomes following varicocele repair.</w:t>
            </w:r>
          </w:p>
          <w:p>
            <w:pPr>
              <w:spacing w:after="40" w:line="252" w:lineRule="auto"/>
            </w:pPr>
            <w:hyperlink r:id="rId12">
              <w:r>
                <w:rPr>
                  <w:rFonts w:ascii="Calibri" w:hAnsi="Calibri" w:cs="Calibri"/>
                  <w:sz w:val="18"/>
                  <w:color w:val="1155CC"/>
                  <w:u w:val="single"/>
                </w:rPr>
                <w:t xml:space="preserve">ncbi.nlm.nih.gov — Varicocele (StatPearls)</w:t>
              </w:r>
            </w:hyperlink>
          </w:p>
          <w:p>
            <w:pPr>
              <w:spacing w:before="60" w:after="40"/>
            </w:pPr>
            <w:r>
              <w:rPr>
                <w:rFonts w:ascii="Calibri" w:hAnsi="Calibri"/>
                <w:b w:val="0"/>
                <w:i w:val="0"/>
                <w:color w:val="5A5A5A"/>
                <w:sz w:val="18"/>
              </w:rPr>
              <w:t>#smoking  #oxidativestress  #semenquality  #surgicaloutcome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Body habitus / BMI</w:t>
            </w:r>
          </w:p>
        </w:tc>
        <w:tc>
          <w:tcPr>
            <w:tcW w:type="dxa" w:w="2160"/>
            <w:vAlign w:val="top"/>
          </w:tcPr>
          <w:p>
            <w:pPr>
              <w:spacing w:after="40" w:before="0" w:line="259" w:lineRule="auto"/>
            </w:pPr>
            <w:r>
              <w:rPr>
                <w:rFonts w:ascii="Calibri" w:hAnsi="Calibri"/>
                <w:b w:val="0"/>
                <w:i w:val="0"/>
                <w:color w:val="212121"/>
                <w:sz w:val="19"/>
              </w:rPr>
              <w:t>Tall, lean men (low BMI)</w:t>
            </w:r>
          </w:p>
        </w:tc>
        <w:tc>
          <w:tcPr>
            <w:tcW w:type="dxa" w:w="4276"/>
            <w:vAlign w:val="top"/>
          </w:tcPr>
          <w:p>
            <w:pPr>
              <w:spacing w:after="60" w:line="259" w:lineRule="auto"/>
            </w:pPr>
            <w:r>
              <w:rPr>
                <w:rFonts w:ascii="Calibri" w:hAnsi="Calibri"/>
                <w:b w:val="0"/>
                <w:i w:val="0"/>
                <w:color w:val="212121"/>
                <w:sz w:val="19"/>
              </w:rPr>
              <w:t>A taller stature lengthens the hydrostatic venous column and lower body fat provides less retroperitoneal cushioning of the left renal vein, so varicoceles are paradoxically commoner in tall, thin men — the so-called varicocele ‘obesity paradox’.</w:t>
            </w:r>
          </w:p>
          <w:p>
            <w:pPr>
              <w:spacing w:after="40" w:before="60" w:line="259" w:lineRule="auto"/>
            </w:pPr>
            <w:r>
              <w:rPr>
                <w:rFonts w:ascii="Calibri" w:hAnsi="Calibri"/>
                <w:b w:val="0"/>
                <w:i w:val="0"/>
                <w:color w:val="212121"/>
                <w:sz w:val="19"/>
              </w:rPr>
              <w:t>Population studies show an inverse relationship between body-mass index and varicocele, with higher prevalence in leaner, taller young men.</w:t>
            </w:r>
          </w:p>
          <w:p>
            <w:pPr>
              <w:spacing w:after="40" w:line="252" w:lineRule="auto"/>
            </w:pPr>
            <w:hyperlink r:id="rId13">
              <w:r>
                <w:rPr>
                  <w:rFonts w:ascii="Calibri" w:hAnsi="Calibri" w:cs="Calibri"/>
                  <w:sz w:val="18"/>
                  <w:color w:val="1155CC"/>
                  <w:u w:val="single"/>
                </w:rPr>
                <w:t xml:space="preserve">pubmed.ncbi.nlm.nih.gov/19515176 — varicoceles and obesity</w:t>
              </w:r>
            </w:hyperlink>
          </w:p>
          <w:p>
            <w:pPr>
              <w:spacing w:before="60" w:after="40"/>
            </w:pPr>
            <w:r>
              <w:rPr>
                <w:rFonts w:ascii="Calibri" w:hAnsi="Calibri"/>
                <w:b w:val="0"/>
                <w:i w:val="0"/>
                <w:color w:val="5A5A5A"/>
                <w:sz w:val="18"/>
              </w:rPr>
              <w:t>#obesityparadox  #tallstature  #lowBMI  #leanbody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Antioxidant intake</w:t>
            </w:r>
          </w:p>
        </w:tc>
        <w:tc>
          <w:tcPr>
            <w:tcW w:type="dxa" w:w="2160"/>
            <w:vAlign w:val="top"/>
          </w:tcPr>
          <w:p>
            <w:pPr>
              <w:spacing w:after="40" w:before="0" w:line="259" w:lineRule="auto"/>
            </w:pPr>
            <w:r>
              <w:rPr>
                <w:rFonts w:ascii="Calibri" w:hAnsi="Calibri"/>
                <w:b w:val="0"/>
                <w:i w:val="0"/>
                <w:color w:val="212121"/>
                <w:sz w:val="19"/>
              </w:rPr>
              <w:t>Men on antioxidant-poor diets</w:t>
            </w:r>
          </w:p>
        </w:tc>
        <w:tc>
          <w:tcPr>
            <w:tcW w:type="dxa" w:w="4276"/>
            <w:vAlign w:val="top"/>
          </w:tcPr>
          <w:p>
            <w:pPr>
              <w:spacing w:after="60" w:line="259" w:lineRule="auto"/>
            </w:pPr>
            <w:r>
              <w:rPr>
                <w:rFonts w:ascii="Calibri" w:hAnsi="Calibri"/>
                <w:b w:val="0"/>
                <w:i w:val="0"/>
                <w:color w:val="212121"/>
                <w:sz w:val="19"/>
              </w:rPr>
              <w:t>Varicocele generates high seminal reactive oxygen species; a diet poor in fruit, vegetables and antioxidant micronutrients offers less buffering and may aggravate oxidative sperm DNA damage.</w:t>
            </w:r>
          </w:p>
          <w:p>
            <w:pPr>
              <w:spacing w:after="40" w:before="60" w:line="259" w:lineRule="auto"/>
            </w:pPr>
            <w:r>
              <w:rPr>
                <w:rFonts w:ascii="Calibri" w:hAnsi="Calibri"/>
                <w:b w:val="0"/>
                <w:i w:val="0"/>
                <w:color w:val="212121"/>
                <w:sz w:val="19"/>
              </w:rPr>
              <w:t>Oxidative stress and reduced testicular oxygenation are core mechanisms of varicocele-related sperm impairment, including raised DNA fragmentation.</w:t>
            </w:r>
          </w:p>
          <w:p>
            <w:pPr>
              <w:spacing w:after="40" w:line="252" w:lineRule="auto"/>
            </w:pPr>
            <w:hyperlink r:id="rId12">
              <w:r>
                <w:rPr>
                  <w:rFonts w:ascii="Calibri" w:hAnsi="Calibri" w:cs="Calibri"/>
                  <w:sz w:val="18"/>
                  <w:color w:val="1155CC"/>
                  <w:u w:val="single"/>
                </w:rPr>
                <w:t xml:space="preserve">ncbi.nlm.nih.gov — Varicocele (StatPearls)</w:t>
              </w:r>
            </w:hyperlink>
          </w:p>
          <w:p>
            <w:pPr>
              <w:spacing w:before="60" w:after="40"/>
            </w:pPr>
            <w:r>
              <w:rPr>
                <w:rFonts w:ascii="Calibri" w:hAnsi="Calibri"/>
                <w:b w:val="0"/>
                <w:i w:val="0"/>
                <w:color w:val="5A5A5A"/>
                <w:sz w:val="18"/>
              </w:rPr>
              <w:t>#antioxidants  #seminalROS  #DNAfragmentation  #diet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affected men</w:t>
            </w:r>
          </w:p>
        </w:tc>
        <w:tc>
          <w:tcPr>
            <w:tcW w:type="dxa" w:w="4276"/>
            <w:vAlign w:val="top"/>
          </w:tcPr>
          <w:p>
            <w:pPr>
              <w:spacing w:after="60" w:line="259" w:lineRule="auto"/>
            </w:pPr>
            <w:r>
              <w:rPr>
                <w:rFonts w:ascii="Calibri" w:hAnsi="Calibri"/>
                <w:b w:val="0"/>
                <w:i w:val="0"/>
                <w:color w:val="212121"/>
                <w:sz w:val="19"/>
              </w:rPr>
              <w:t>A father or brother with varicocele (or with varicose veins) markedly raises risk, reflecting an inherited tendency to venous valvular incompetence and connective-tissue laxity.</w:t>
            </w:r>
          </w:p>
          <w:p>
            <w:pPr>
              <w:spacing w:after="40" w:before="60" w:line="259" w:lineRule="auto"/>
            </w:pPr>
            <w:r>
              <w:rPr>
                <w:rFonts w:ascii="Calibri" w:hAnsi="Calibri"/>
                <w:b w:val="0"/>
                <w:i w:val="0"/>
                <w:color w:val="212121"/>
                <w:sz w:val="19"/>
              </w:rPr>
              <w:t>Having a close male relative with varicocele is a recognised risk factor, indicating genetic predisposition.</w:t>
            </w:r>
          </w:p>
          <w:p>
            <w:pPr>
              <w:spacing w:after="40" w:line="252" w:lineRule="auto"/>
            </w:pPr>
            <w:hyperlink r:id="rId14">
              <w:r>
                <w:rPr>
                  <w:rFonts w:ascii="Calibri" w:hAnsi="Calibri" w:cs="Calibri"/>
                  <w:sz w:val="18"/>
                  <w:color w:val="1155CC"/>
                  <w:u w:val="single"/>
                </w:rPr>
                <w:t xml:space="preserve">endovascularexpert.com — risk factors of varicoceles</w:t>
              </w:r>
            </w:hyperlink>
          </w:p>
          <w:p>
            <w:pPr>
              <w:spacing w:before="60" w:after="40"/>
            </w:pPr>
            <w:r>
              <w:rPr>
                <w:rFonts w:ascii="Calibri" w:hAnsi="Calibri"/>
                <w:b w:val="0"/>
                <w:i w:val="0"/>
                <w:color w:val="5A5A5A"/>
                <w:sz w:val="18"/>
              </w:rPr>
              <w:t>#familyhistory  #genetics  #venousincompetence  #inherited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Connective-tissue / venous phenotype</w:t>
            </w:r>
          </w:p>
        </w:tc>
        <w:tc>
          <w:tcPr>
            <w:tcW w:type="dxa" w:w="2160"/>
            <w:vAlign w:val="top"/>
          </w:tcPr>
          <w:p>
            <w:pPr>
              <w:spacing w:after="40" w:before="0" w:line="259" w:lineRule="auto"/>
            </w:pPr>
            <w:r>
              <w:rPr>
                <w:rFonts w:ascii="Calibri" w:hAnsi="Calibri"/>
                <w:b w:val="0"/>
                <w:i w:val="0"/>
                <w:color w:val="212121"/>
                <w:sz w:val="19"/>
              </w:rPr>
              <w:t>Men with varicose veins or venous insufficiency</w:t>
            </w:r>
          </w:p>
        </w:tc>
        <w:tc>
          <w:tcPr>
            <w:tcW w:type="dxa" w:w="4276"/>
            <w:vAlign w:val="top"/>
          </w:tcPr>
          <w:p>
            <w:pPr>
              <w:spacing w:after="60" w:line="259" w:lineRule="auto"/>
            </w:pPr>
            <w:r>
              <w:rPr>
                <w:rFonts w:ascii="Calibri" w:hAnsi="Calibri"/>
                <w:b w:val="0"/>
                <w:i w:val="0"/>
                <w:color w:val="212121"/>
                <w:sz w:val="19"/>
              </w:rPr>
              <w:t>A systemic predisposition to weak venous valves manifests as leg varicose veins, flat feet and haemorrhoids as well as varicocele, so these coexisting venous disorders flag increased risk.</w:t>
            </w:r>
          </w:p>
          <w:p>
            <w:pPr>
              <w:spacing w:after="40" w:before="60" w:line="259" w:lineRule="auto"/>
            </w:pPr>
            <w:r>
              <w:rPr>
                <w:rFonts w:ascii="Calibri" w:hAnsi="Calibri"/>
                <w:b w:val="0"/>
                <w:i w:val="0"/>
                <w:color w:val="212121"/>
                <w:sz w:val="19"/>
              </w:rPr>
              <w:t>Varicocele shares a valvular-incompetence mechanism with other varicose disorders, supporting a common connective-tissue basis.</w:t>
            </w:r>
          </w:p>
          <w:p>
            <w:pPr>
              <w:spacing w:before="60" w:after="40"/>
            </w:pPr>
            <w:r>
              <w:rPr>
                <w:rFonts w:ascii="Calibri" w:hAnsi="Calibri"/>
                <w:b w:val="0"/>
                <w:i w:val="0"/>
                <w:color w:val="5A5A5A"/>
                <w:sz w:val="18"/>
              </w:rPr>
              <w:t>#varicoseveins  #connectivetissue  #valveincompetence  #venousphenotype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Male infertility / subfertility</w:t>
            </w:r>
          </w:p>
        </w:tc>
        <w:tc>
          <w:tcPr>
            <w:tcW w:type="dxa" w:w="2160"/>
            <w:vAlign w:val="top"/>
          </w:tcPr>
          <w:p>
            <w:pPr>
              <w:spacing w:after="40" w:before="0" w:line="259" w:lineRule="auto"/>
            </w:pPr>
            <w:r>
              <w:rPr>
                <w:rFonts w:ascii="Calibri" w:hAnsi="Calibri"/>
                <w:b w:val="0"/>
                <w:i w:val="0"/>
                <w:color w:val="212121"/>
                <w:sz w:val="19"/>
              </w:rPr>
              <w:t>Men in infertility work-up</w:t>
            </w:r>
          </w:p>
        </w:tc>
        <w:tc>
          <w:tcPr>
            <w:tcW w:type="dxa" w:w="4276"/>
            <w:vAlign w:val="top"/>
          </w:tcPr>
          <w:p>
            <w:pPr>
              <w:spacing w:after="60" w:line="259" w:lineRule="auto"/>
            </w:pPr>
            <w:r>
              <w:rPr>
                <w:rFonts w:ascii="Calibri" w:hAnsi="Calibri"/>
                <w:b w:val="0"/>
                <w:i w:val="0"/>
                <w:color w:val="212121"/>
                <w:sz w:val="19"/>
              </w:rPr>
              <w:t>Varicocele is the most common correctable cause of male infertility; venous reflux raises scrotal temperature and oxidative stress, degrading sperm count, motility and morphology.</w:t>
            </w:r>
          </w:p>
          <w:p>
            <w:pPr>
              <w:spacing w:after="40" w:before="60" w:line="259" w:lineRule="auto"/>
            </w:pPr>
            <w:r>
              <w:rPr>
                <w:rFonts w:ascii="Calibri" w:hAnsi="Calibri"/>
                <w:b w:val="0"/>
                <w:i w:val="0"/>
                <w:color w:val="212121"/>
                <w:sz w:val="19"/>
              </w:rPr>
              <w:t>Varicocele is found in ~35–40% of men with primary infertility; repair improves semen parameters in about 70% and conception in 40–60% of couples.</w:t>
            </w:r>
          </w:p>
          <w:p>
            <w:pPr>
              <w:spacing w:after="40" w:line="252" w:lineRule="auto"/>
            </w:pPr>
            <w:hyperlink r:id="rId12">
              <w:r>
                <w:rPr>
                  <w:rFonts w:ascii="Calibri" w:hAnsi="Calibri" w:cs="Calibri"/>
                  <w:sz w:val="18"/>
                  <w:color w:val="1155CC"/>
                  <w:u w:val="single"/>
                </w:rPr>
                <w:t xml:space="preserve">ncbi.nlm.nih.gov — Varicocele (StatPearls)</w:t>
              </w:r>
            </w:hyperlink>
          </w:p>
          <w:p>
            <w:pPr>
              <w:spacing w:before="60" w:after="40"/>
            </w:pPr>
            <w:r>
              <w:rPr>
                <w:rFonts w:ascii="Calibri" w:hAnsi="Calibri"/>
                <w:b w:val="0"/>
                <w:i w:val="0"/>
                <w:color w:val="5A5A5A"/>
                <w:sz w:val="18"/>
              </w:rPr>
              <w:t>#malefertility  #varicocelectomy  #semenparameters  #conception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Testicular hypotrophy / atrophy</w:t>
            </w:r>
          </w:p>
        </w:tc>
        <w:tc>
          <w:tcPr>
            <w:tcW w:type="dxa" w:w="2160"/>
            <w:vAlign w:val="top"/>
          </w:tcPr>
          <w:p>
            <w:pPr>
              <w:spacing w:after="40" w:before="0" w:line="259" w:lineRule="auto"/>
            </w:pPr>
            <w:r>
              <w:rPr>
                <w:rFonts w:ascii="Calibri" w:hAnsi="Calibri"/>
                <w:b w:val="0"/>
                <w:i w:val="0"/>
                <w:color w:val="212121"/>
                <w:sz w:val="19"/>
              </w:rPr>
              <w:t>Adolescents &amp; men with a small ipsilateral testis</w:t>
            </w:r>
          </w:p>
        </w:tc>
        <w:tc>
          <w:tcPr>
            <w:tcW w:type="dxa" w:w="4276"/>
            <w:vAlign w:val="top"/>
          </w:tcPr>
          <w:p>
            <w:pPr>
              <w:spacing w:after="60" w:line="259" w:lineRule="auto"/>
            </w:pPr>
            <w:r>
              <w:rPr>
                <w:rFonts w:ascii="Calibri" w:hAnsi="Calibri"/>
                <w:b w:val="0"/>
                <w:i w:val="0"/>
                <w:color w:val="212121"/>
                <w:sz w:val="19"/>
              </w:rPr>
              <w:t>Chronic venous pooling can arrest or reverse ipsilateral testicular growth; a significant volume differential is a key indication for repair, particularly in adolescents.</w:t>
            </w:r>
          </w:p>
          <w:p>
            <w:pPr>
              <w:spacing w:after="40" w:before="60" w:line="259" w:lineRule="auto"/>
            </w:pPr>
            <w:r>
              <w:rPr>
                <w:rFonts w:ascii="Calibri" w:hAnsi="Calibri"/>
                <w:b w:val="0"/>
                <w:i w:val="0"/>
                <w:color w:val="212121"/>
                <w:sz w:val="19"/>
              </w:rPr>
              <w:t>Ipsilateral testicular hypotrophy of &gt; 20% (or ≥ 2 mL) is a recognised surgical indication in adolescent varicocele.</w:t>
            </w:r>
          </w:p>
          <w:p>
            <w:pPr>
              <w:spacing w:after="40" w:line="252" w:lineRule="auto"/>
            </w:pPr>
            <w:hyperlink r:id="rId12">
              <w:r>
                <w:rPr>
                  <w:rFonts w:ascii="Calibri" w:hAnsi="Calibri" w:cs="Calibri"/>
                  <w:sz w:val="18"/>
                  <w:color w:val="1155CC"/>
                  <w:u w:val="single"/>
                </w:rPr>
                <w:t xml:space="preserve">ncbi.nlm.nih.gov — Varicocele (StatPearls)</w:t>
              </w:r>
            </w:hyperlink>
          </w:p>
          <w:p>
            <w:pPr>
              <w:spacing w:before="60" w:after="40"/>
            </w:pPr>
            <w:r>
              <w:rPr>
                <w:rFonts w:ascii="Calibri" w:hAnsi="Calibri"/>
                <w:b w:val="0"/>
                <w:i w:val="0"/>
                <w:color w:val="5A5A5A"/>
                <w:sz w:val="18"/>
              </w:rPr>
              <w:t>#testicularatrophy  #hypotrophy  #volumeasymmetry  #adolescent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Hypogonadism / low testosterone</w:t>
            </w:r>
          </w:p>
        </w:tc>
        <w:tc>
          <w:tcPr>
            <w:tcW w:type="dxa" w:w="2160"/>
            <w:vAlign w:val="top"/>
          </w:tcPr>
          <w:p>
            <w:pPr>
              <w:spacing w:after="40" w:before="0" w:line="259" w:lineRule="auto"/>
            </w:pPr>
            <w:r>
              <w:rPr>
                <w:rFonts w:ascii="Calibri" w:hAnsi="Calibri"/>
                <w:b w:val="0"/>
                <w:i w:val="0"/>
                <w:color w:val="212121"/>
                <w:sz w:val="19"/>
              </w:rPr>
              <w:t>Men with low serum testosterone</w:t>
            </w:r>
          </w:p>
        </w:tc>
        <w:tc>
          <w:tcPr>
            <w:tcW w:type="dxa" w:w="4276"/>
            <w:vAlign w:val="top"/>
          </w:tcPr>
          <w:p>
            <w:pPr>
              <w:spacing w:after="60" w:line="259" w:lineRule="auto"/>
            </w:pPr>
            <w:r>
              <w:rPr>
                <w:rFonts w:ascii="Calibri" w:hAnsi="Calibri"/>
                <w:b w:val="0"/>
                <w:i w:val="0"/>
                <w:color w:val="212121"/>
                <w:sz w:val="19"/>
              </w:rPr>
              <w:t>Varicocele impairs Leydig-cell steroidogenesis; affected men, especially older ones, may develop biochemical or symptomatic hypogonadism that can improve after repair.</w:t>
            </w:r>
          </w:p>
          <w:p>
            <w:pPr>
              <w:spacing w:after="40" w:before="60" w:line="259" w:lineRule="auto"/>
            </w:pPr>
            <w:r>
              <w:rPr>
                <w:rFonts w:ascii="Calibri" w:hAnsi="Calibri"/>
                <w:b w:val="0"/>
                <w:i w:val="0"/>
                <w:color w:val="212121"/>
                <w:sz w:val="19"/>
              </w:rPr>
              <w:t>Meta-analysis shows total testosterone rises by a mean of ~107 ng/dL after varicocelectomy, most in hypogonadal men.</w:t>
            </w:r>
          </w:p>
          <w:p>
            <w:pPr>
              <w:spacing w:after="40" w:line="252" w:lineRule="auto"/>
            </w:pPr>
            <w:hyperlink r:id="rId11">
              <w:r>
                <w:rPr>
                  <w:rFonts w:ascii="Calibri" w:hAnsi="Calibri" w:cs="Calibri"/>
                  <w:sz w:val="18"/>
                  <w:color w:val="1155CC"/>
                  <w:u w:val="single"/>
                </w:rPr>
                <w:t xml:space="preserve">mdpi.com — varicocele and male hypogonadism (meta-analysis)</w:t>
              </w:r>
            </w:hyperlink>
          </w:p>
          <w:p>
            <w:pPr>
              <w:spacing w:before="60" w:after="40"/>
            </w:pPr>
            <w:r>
              <w:rPr>
                <w:rFonts w:ascii="Calibri" w:hAnsi="Calibri"/>
                <w:b w:val="0"/>
                <w:i w:val="0"/>
                <w:color w:val="5A5A5A"/>
                <w:sz w:val="18"/>
              </w:rPr>
              <w:t>#hypogonadism  #testosterone  #leydigcell  #lowT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Elevated sperm DNA fragmentation</w:t>
            </w:r>
          </w:p>
        </w:tc>
        <w:tc>
          <w:tcPr>
            <w:tcW w:type="dxa" w:w="2160"/>
            <w:vAlign w:val="top"/>
          </w:tcPr>
          <w:p>
            <w:pPr>
              <w:spacing w:after="40" w:before="0" w:line="259" w:lineRule="auto"/>
            </w:pPr>
            <w:r>
              <w:rPr>
                <w:rFonts w:ascii="Calibri" w:hAnsi="Calibri"/>
                <w:b w:val="0"/>
                <w:i w:val="0"/>
                <w:color w:val="212121"/>
                <w:sz w:val="19"/>
              </w:rPr>
              <w:t>Men with high sperm DNA fragmentation index</w:t>
            </w:r>
          </w:p>
        </w:tc>
        <w:tc>
          <w:tcPr>
            <w:tcW w:type="dxa" w:w="4276"/>
            <w:vAlign w:val="top"/>
          </w:tcPr>
          <w:p>
            <w:pPr>
              <w:spacing w:after="60" w:line="259" w:lineRule="auto"/>
            </w:pPr>
            <w:r>
              <w:rPr>
                <w:rFonts w:ascii="Calibri" w:hAnsi="Calibri"/>
                <w:b w:val="0"/>
                <w:i w:val="0"/>
                <w:color w:val="212121"/>
                <w:sz w:val="19"/>
              </w:rPr>
              <w:t>Reflux-driven oxidative stress damages sperm DNA; varicocele is a leading cause of raised DNA fragmentation, which correlates with poorer natural and assisted-conception outcomes.</w:t>
            </w:r>
          </w:p>
          <w:p>
            <w:pPr>
              <w:spacing w:after="40" w:before="60" w:line="259" w:lineRule="auto"/>
            </w:pPr>
            <w:r>
              <w:rPr>
                <w:rFonts w:ascii="Calibri" w:hAnsi="Calibri"/>
                <w:b w:val="0"/>
                <w:i w:val="0"/>
                <w:color w:val="212121"/>
                <w:sz w:val="19"/>
              </w:rPr>
              <w:t>Varicocele reduces sperm DNA integrity and raises fragmentation, part of the oxidative-stress pathway of injury.</w:t>
            </w:r>
          </w:p>
          <w:p>
            <w:pPr>
              <w:spacing w:after="40" w:line="252" w:lineRule="auto"/>
            </w:pPr>
            <w:hyperlink r:id="rId12">
              <w:r>
                <w:rPr>
                  <w:rFonts w:ascii="Calibri" w:hAnsi="Calibri" w:cs="Calibri"/>
                  <w:sz w:val="18"/>
                  <w:color w:val="1155CC"/>
                  <w:u w:val="single"/>
                </w:rPr>
                <w:t xml:space="preserve">ncbi.nlm.nih.gov — Varicocele (StatPearls)</w:t>
              </w:r>
            </w:hyperlink>
          </w:p>
          <w:p>
            <w:pPr>
              <w:spacing w:before="60" w:after="40"/>
            </w:pPr>
            <w:r>
              <w:rPr>
                <w:rFonts w:ascii="Calibri" w:hAnsi="Calibri"/>
                <w:b w:val="0"/>
                <w:i w:val="0"/>
                <w:color w:val="5A5A5A"/>
                <w:sz w:val="18"/>
              </w:rPr>
              <w:t>#DNAfragmentation  #DFI  #oxidativestress  #ART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Retroperitoneal / renal mass (secondary varicocele)</w:t>
            </w:r>
          </w:p>
        </w:tc>
        <w:tc>
          <w:tcPr>
            <w:tcW w:type="dxa" w:w="2160"/>
            <w:vAlign w:val="top"/>
          </w:tcPr>
          <w:p>
            <w:pPr>
              <w:spacing w:after="40" w:before="0" w:line="259" w:lineRule="auto"/>
            </w:pPr>
            <w:r>
              <w:rPr>
                <w:rFonts w:ascii="Calibri" w:hAnsi="Calibri"/>
                <w:b w:val="0"/>
                <w:i w:val="0"/>
                <w:color w:val="212121"/>
                <w:sz w:val="19"/>
              </w:rPr>
              <w:t>Men with new right-sided or non-decompressing varicocele</w:t>
            </w:r>
          </w:p>
        </w:tc>
        <w:tc>
          <w:tcPr>
            <w:tcW w:type="dxa" w:w="4276"/>
            <w:vAlign w:val="top"/>
          </w:tcPr>
          <w:p>
            <w:pPr>
              <w:spacing w:after="60" w:line="259" w:lineRule="auto"/>
            </w:pPr>
            <w:r>
              <w:rPr>
                <w:rFonts w:ascii="Calibri" w:hAnsi="Calibri"/>
                <w:b w:val="0"/>
                <w:i w:val="0"/>
                <w:color w:val="212121"/>
                <w:sz w:val="19"/>
              </w:rPr>
              <w:t>A varicocele that is new in adulthood, isolated to the right side, or that fails to empty on lying down may be secondary to venous obstruction by a renal or retroperitoneal tumour and demands abdominal imaging.</w:t>
            </w:r>
          </w:p>
          <w:p>
            <w:pPr>
              <w:spacing w:after="40" w:before="60" w:line="259" w:lineRule="auto"/>
            </w:pPr>
            <w:r>
              <w:rPr>
                <w:rFonts w:ascii="Calibri" w:hAnsi="Calibri"/>
                <w:b w:val="0"/>
                <w:i w:val="0"/>
                <w:color w:val="212121"/>
                <w:sz w:val="19"/>
              </w:rPr>
              <w:t>Non-decompressing or isolated right-sided varicocele is a recognised red flag for an underlying retroperitoneal or renal mass.</w:t>
            </w:r>
          </w:p>
          <w:p>
            <w:pPr>
              <w:spacing w:after="40" w:line="252" w:lineRule="auto"/>
            </w:pPr>
            <w:hyperlink r:id="rId10">
              <w:r>
                <w:rPr>
                  <w:rFonts w:ascii="Calibri" w:hAnsi="Calibri" w:cs="Calibri"/>
                  <w:sz w:val="18"/>
                  <w:color w:val="1155CC"/>
                  <w:u w:val="single"/>
                </w:rPr>
                <w:t xml:space="preserve">emedicine.medscape.com — varicocele</w:t>
              </w:r>
            </w:hyperlink>
          </w:p>
          <w:p>
            <w:pPr>
              <w:spacing w:before="60" w:after="40"/>
            </w:pPr>
            <w:r>
              <w:rPr>
                <w:rFonts w:ascii="Calibri" w:hAnsi="Calibri"/>
                <w:b w:val="0"/>
                <w:i w:val="0"/>
                <w:color w:val="5A5A5A"/>
                <w:sz w:val="18"/>
              </w:rPr>
              <w:t>#secondaryvaricocele  #renaltumour  #redflag  #rightsided</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lifting, weight-training with breath-holding and prolonged standing raise intra-abdominal and venous pressure and can precipitate or aggravate reflux; Indian data show a clear excess of varicocele in physically strenuous, standing occupations. Moderate general activity is not harmful and supports fertility.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 taller, leaner body habitus (low BMI) is paradoxically associated with higher varicocele prevalence, while antioxidant-rich diets may buffer the high seminal reactive-oxygen-species load that drives sperm DNA damage in varicocele.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direct link between sleep and varicocele formation, though poor sleep can lower testosterone and worsen general semen quality, and chronic scrotal pain may disturb sleep.</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compounds varicocele-related oxidative sperm damage, worsens baseline semen parameters and is a negative predictor of improvement after varicocelectomy.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use can independently lower testosterone and impair spermatogenesis, adding to varicocele injury, but there is no direct evidence it causes varicocele.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Varicocele-related infertility, chronic scrotal pain and low testosterone contribute to anxiety, depression, reduced libido and relationship stress; the association is bidirectional and affects treatment adherence.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association between hydration and varicocele.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association between caffeine intake and varicocele.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Genital hygiene has no direct role in varicocele formation or progression.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Sustained increases in venous pressure — prolonged standing, heavy lifting, repetitive Valsalva, chronic constipation or cough — and hot environments provoke or worsen reflux; secondary obstruction (renal/retroperitoneal mass, nutcracker) provokes secondary varicocele.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Upright (standing) posture markedly increases the venous hydrostatic column and reflux, so varicoceles enlarge on standing and Valsalva and characteristically decompress when supine — the basis of clinical examination; failure to decompress supine is a red flag for a secondary cause.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Young adult men</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Low BMI / very lean, tall habitus (higher varicocele prevalence)</w:t>
            </w:r>
          </w:p>
        </w:tc>
        <w:tc>
          <w:tcPr>
            <w:tcW w:type="dxa" w:w="1468"/>
            <w:vAlign w:val="top"/>
          </w:tcPr>
          <w:p>
            <w:pPr>
              <w:spacing w:after="60" w:line="259" w:lineRule="auto"/>
            </w:pPr>
            <w:r>
              <w:rPr>
                <w:rFonts w:ascii="Calibri" w:hAnsi="Calibri"/>
                <w:b w:val="0"/>
                <w:i w:val="0"/>
                <w:color w:val="212121"/>
                <w:sz w:val="19"/>
              </w:rPr>
              <w:t>Inverse (obesity-paradox) association with varicocele</w:t>
            </w:r>
          </w:p>
          <w:p>
            <w:pPr>
              <w:spacing w:after="40" w:line="252" w:lineRule="auto"/>
            </w:pPr>
            <w:hyperlink r:id="rId15">
              <w:r>
                <w:rPr>
                  <w:rFonts w:ascii="Calibri" w:hAnsi="Calibri" w:cs="Calibri"/>
                  <w:sz w:val="18"/>
                  <w:color w:val="1155CC"/>
                  <w:u w:val="single"/>
                </w:rPr>
                <w:t xml:space="preserve">https://pubmed.ncbi.nlm.nih.gov/26276662/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Prolonged standing (hours/day)</w:t>
            </w:r>
          </w:p>
        </w:tc>
        <w:tc>
          <w:tcPr>
            <w:tcW w:type="dxa" w:w="1655"/>
            <w:vAlign w:val="top"/>
          </w:tcPr>
          <w:p>
            <w:pPr>
              <w:spacing w:after="40" w:before="0" w:line="259" w:lineRule="auto"/>
            </w:pPr>
            <w:r>
              <w:rPr>
                <w:rFonts w:ascii="Calibri" w:hAnsi="Calibri"/>
                <w:b w:val="0"/>
                <w:i w:val="0"/>
                <w:color w:val="212121"/>
                <w:sz w:val="19"/>
              </w:rPr>
              <w:t>Manual labourers, farmers, field workers</w:t>
            </w:r>
          </w:p>
        </w:tc>
        <w:tc>
          <w:tcPr>
            <w:tcW w:type="dxa" w:w="1512"/>
            <w:vAlign w:val="top"/>
          </w:tcPr>
          <w:p>
            <w:pPr>
              <w:spacing w:after="40" w:before="0" w:line="259" w:lineRule="auto"/>
            </w:pPr>
            <w:r>
              <w:rPr>
                <w:rFonts w:ascii="Calibri" w:hAnsi="Calibri"/>
                <w:b w:val="0"/>
                <w:i w:val="0"/>
                <w:color w:val="212121"/>
                <w:sz w:val="19"/>
              </w:rPr>
              <w:t>Regular position changes; avoid static standing</w:t>
            </w:r>
          </w:p>
        </w:tc>
        <w:tc>
          <w:tcPr>
            <w:tcW w:type="dxa" w:w="1512"/>
            <w:vAlign w:val="top"/>
          </w:tcPr>
          <w:p>
            <w:pPr>
              <w:spacing w:after="40" w:before="0" w:line="259" w:lineRule="auto"/>
            </w:pPr>
            <w:r>
              <w:rPr>
                <w:rFonts w:ascii="Calibri" w:hAnsi="Calibri"/>
                <w:b w:val="0"/>
                <w:i w:val="0"/>
                <w:color w:val="212121"/>
                <w:sz w:val="19"/>
              </w:rPr>
              <w:t>Prolonged occupational standing</w:t>
            </w:r>
          </w:p>
        </w:tc>
        <w:tc>
          <w:tcPr>
            <w:tcW w:type="dxa" w:w="1468"/>
            <w:vAlign w:val="top"/>
          </w:tcPr>
          <w:p>
            <w:pPr>
              <w:spacing w:after="60" w:line="259" w:lineRule="auto"/>
            </w:pPr>
            <w:r>
              <w:rPr>
                <w:rFonts w:ascii="Calibri" w:hAnsi="Calibri"/>
                <w:b w:val="0"/>
                <w:i w:val="0"/>
                <w:color w:val="212121"/>
                <w:sz w:val="19"/>
              </w:rPr>
              <w:t>Raises venous column and reflux</w:t>
            </w:r>
          </w:p>
          <w:p>
            <w:pPr>
              <w:spacing w:after="40" w:line="252" w:lineRule="auto"/>
            </w:pPr>
            <w:hyperlink r:id="rId9">
              <w:r>
                <w:rPr>
                  <w:rFonts w:ascii="Calibri" w:hAnsi="Calibri" w:cs="Calibri"/>
                  <w:sz w:val="18"/>
                  <w:color w:val="1155CC"/>
                  <w:u w:val="single"/>
                </w:rPr>
                <w:t xml:space="preserve">https://pdfs.semanticscholar.org/6a5a/740bc20678db6f99148edecb6b7ff3077496.pdf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Heavy lifting / straining</w:t>
            </w:r>
          </w:p>
        </w:tc>
        <w:tc>
          <w:tcPr>
            <w:tcW w:type="dxa" w:w="1655"/>
            <w:vAlign w:val="top"/>
          </w:tcPr>
          <w:p>
            <w:pPr>
              <w:spacing w:after="40" w:before="0" w:line="259" w:lineRule="auto"/>
            </w:pPr>
            <w:r>
              <w:rPr>
                <w:rFonts w:ascii="Calibri" w:hAnsi="Calibri"/>
                <w:b w:val="0"/>
                <w:i w:val="0"/>
                <w:color w:val="212121"/>
                <w:sz w:val="19"/>
              </w:rPr>
              <w:t>Weight-lifters, labourers</w:t>
            </w:r>
          </w:p>
        </w:tc>
        <w:tc>
          <w:tcPr>
            <w:tcW w:type="dxa" w:w="1512"/>
            <w:vAlign w:val="top"/>
          </w:tcPr>
          <w:p>
            <w:pPr>
              <w:spacing w:after="40" w:before="0" w:line="259" w:lineRule="auto"/>
            </w:pPr>
            <w:r>
              <w:rPr>
                <w:rFonts w:ascii="Calibri" w:hAnsi="Calibri"/>
                <w:b w:val="0"/>
                <w:i w:val="0"/>
                <w:color w:val="212121"/>
                <w:sz w:val="19"/>
              </w:rPr>
              <w:t>Correct technique; avoid breath-holding Valsalva</w:t>
            </w:r>
          </w:p>
        </w:tc>
        <w:tc>
          <w:tcPr>
            <w:tcW w:type="dxa" w:w="1512"/>
            <w:vAlign w:val="top"/>
          </w:tcPr>
          <w:p>
            <w:pPr>
              <w:spacing w:after="40" w:before="0" w:line="259" w:lineRule="auto"/>
            </w:pPr>
            <w:r>
              <w:rPr>
                <w:rFonts w:ascii="Calibri" w:hAnsi="Calibri"/>
                <w:b w:val="0"/>
                <w:i w:val="0"/>
                <w:color w:val="212121"/>
                <w:sz w:val="19"/>
              </w:rPr>
              <w:t>Repetitive heavy lifting, chronic straining</w:t>
            </w:r>
          </w:p>
        </w:tc>
        <w:tc>
          <w:tcPr>
            <w:tcW w:type="dxa" w:w="1468"/>
            <w:vAlign w:val="top"/>
          </w:tcPr>
          <w:p>
            <w:pPr>
              <w:spacing w:after="40" w:before="0" w:line="259" w:lineRule="auto"/>
            </w:pPr>
            <w:r>
              <w:rPr>
                <w:rFonts w:ascii="Calibri" w:hAnsi="Calibri"/>
                <w:b w:val="0"/>
                <w:i w:val="0"/>
                <w:color w:val="212121"/>
                <w:sz w:val="19"/>
              </w:rPr>
              <w:t>Sustained Valsalva precipitates/worsens reflux</w:t>
            </w:r>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Venous decompression on lying supine</w:t>
            </w:r>
          </w:p>
        </w:tc>
        <w:tc>
          <w:tcPr>
            <w:tcW w:type="dxa" w:w="1655"/>
            <w:vAlign w:val="top"/>
          </w:tcPr>
          <w:p>
            <w:pPr>
              <w:spacing w:after="40" w:before="0" w:line="259" w:lineRule="auto"/>
            </w:pPr>
            <w:r>
              <w:rPr>
                <w:rFonts w:ascii="Calibri" w:hAnsi="Calibri"/>
                <w:b w:val="0"/>
                <w:i w:val="0"/>
                <w:color w:val="212121"/>
                <w:sz w:val="19"/>
              </w:rPr>
              <w:t>All men with varicocele</w:t>
            </w:r>
          </w:p>
        </w:tc>
        <w:tc>
          <w:tcPr>
            <w:tcW w:type="dxa" w:w="1512"/>
            <w:vAlign w:val="top"/>
          </w:tcPr>
          <w:p>
            <w:pPr>
              <w:spacing w:after="40" w:before="0" w:line="259" w:lineRule="auto"/>
            </w:pPr>
            <w:r>
              <w:rPr>
                <w:rFonts w:ascii="Calibri" w:hAnsi="Calibri"/>
                <w:b w:val="0"/>
                <w:i w:val="0"/>
                <w:color w:val="212121"/>
                <w:sz w:val="19"/>
              </w:rPr>
              <w:t>Varicocele empties when supine (primary)</w:t>
            </w:r>
          </w:p>
        </w:tc>
        <w:tc>
          <w:tcPr>
            <w:tcW w:type="dxa" w:w="1512"/>
            <w:vAlign w:val="top"/>
          </w:tcPr>
          <w:p>
            <w:pPr>
              <w:spacing w:after="40" w:before="0" w:line="259" w:lineRule="auto"/>
            </w:pPr>
            <w:r>
              <w:rPr>
                <w:rFonts w:ascii="Calibri" w:hAnsi="Calibri"/>
                <w:b w:val="0"/>
                <w:i w:val="0"/>
                <w:color w:val="212121"/>
                <w:sz w:val="19"/>
              </w:rPr>
              <w:t>Persists supine (suspect secondary cause)</w:t>
            </w:r>
          </w:p>
        </w:tc>
        <w:tc>
          <w:tcPr>
            <w:tcW w:type="dxa" w:w="1468"/>
            <w:vAlign w:val="top"/>
          </w:tcPr>
          <w:p>
            <w:pPr>
              <w:spacing w:after="60" w:line="259" w:lineRule="auto"/>
            </w:pPr>
            <w:r>
              <w:rPr>
                <w:rFonts w:ascii="Calibri" w:hAnsi="Calibri"/>
                <w:b w:val="0"/>
                <w:i w:val="0"/>
                <w:color w:val="212121"/>
                <w:sz w:val="19"/>
              </w:rPr>
              <w:t>Non-decompression is a red flag for renal/retroperitoneal mass</w:t>
            </w:r>
          </w:p>
          <w:p>
            <w:pPr>
              <w:spacing w:after="40" w:line="252" w:lineRule="auto"/>
            </w:pPr>
            <w:hyperlink r:id="rId10">
              <w:r>
                <w:rPr>
                  <w:rFonts w:ascii="Calibri" w:hAnsi="Calibri" w:cs="Calibri"/>
                  <w:sz w:val="18"/>
                  <w:color w:val="1155CC"/>
                  <w:u w:val="single"/>
                </w:rPr>
                <w:t xml:space="preserve">https://emedicine.medscape.com/article/438591-overview</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Pampiniform vein diameter (colour Doppler, mm)</w:t>
            </w:r>
          </w:p>
        </w:tc>
        <w:tc>
          <w:tcPr>
            <w:tcW w:type="dxa" w:w="1655"/>
            <w:vAlign w:val="top"/>
          </w:tcPr>
          <w:p>
            <w:pPr>
              <w:spacing w:after="40" w:before="0" w:line="259" w:lineRule="auto"/>
            </w:pPr>
            <w:r>
              <w:rPr>
                <w:rFonts w:ascii="Calibri" w:hAnsi="Calibri"/>
                <w:b w:val="0"/>
                <w:i w:val="0"/>
                <w:color w:val="212121"/>
                <w:sz w:val="19"/>
              </w:rPr>
              <w:t>Infertile / symptomatic men</w:t>
            </w:r>
          </w:p>
        </w:tc>
        <w:tc>
          <w:tcPr>
            <w:tcW w:type="dxa" w:w="1512"/>
            <w:vAlign w:val="top"/>
          </w:tcPr>
          <w:p>
            <w:pPr>
              <w:spacing w:after="40" w:before="0" w:line="259" w:lineRule="auto"/>
            </w:pPr>
            <w:r>
              <w:rPr>
                <w:rFonts w:ascii="Calibri" w:hAnsi="Calibri"/>
                <w:b w:val="0"/>
                <w:i w:val="0"/>
                <w:color w:val="212121"/>
                <w:sz w:val="19"/>
              </w:rPr>
              <w:t>&lt; 2 mm, no reflux</w:t>
            </w:r>
          </w:p>
        </w:tc>
        <w:tc>
          <w:tcPr>
            <w:tcW w:type="dxa" w:w="1512"/>
            <w:vAlign w:val="top"/>
          </w:tcPr>
          <w:p>
            <w:pPr>
              <w:spacing w:after="40" w:before="0" w:line="259" w:lineRule="auto"/>
            </w:pPr>
            <w:r>
              <w:rPr>
                <w:rFonts w:ascii="Calibri" w:hAnsi="Calibri"/>
                <w:b w:val="0"/>
                <w:i w:val="0"/>
                <w:color w:val="212121"/>
                <w:sz w:val="19"/>
              </w:rPr>
              <w:t>≥ 2–3 mm with reflux</w:t>
            </w:r>
          </w:p>
        </w:tc>
        <w:tc>
          <w:tcPr>
            <w:tcW w:type="dxa" w:w="1468"/>
            <w:vAlign w:val="top"/>
          </w:tcPr>
          <w:p>
            <w:pPr>
              <w:spacing w:after="60" w:line="259" w:lineRule="auto"/>
            </w:pPr>
            <w:r>
              <w:rPr>
                <w:rFonts w:ascii="Calibri" w:hAnsi="Calibri"/>
                <w:b w:val="0"/>
                <w:i w:val="0"/>
                <w:color w:val="212121"/>
                <w:sz w:val="19"/>
              </w:rPr>
              <w:t>Sonographic threshold defining varicocele</w:t>
            </w:r>
          </w:p>
          <w:p>
            <w:pPr>
              <w:spacing w:after="40" w:line="252" w:lineRule="auto"/>
            </w:pPr>
            <w:hyperlink r:id="rId16">
              <w:r>
                <w:rPr>
                  <w:rFonts w:ascii="Calibri" w:hAnsi="Calibri" w:cs="Calibri"/>
                  <w:sz w:val="18"/>
                  <w:color w:val="1155CC"/>
                  <w:u w:val="single"/>
                </w:rPr>
                <w:t xml:space="preserve">https://elearnrad.com/sarteschi-grading-of-varicocele/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Venous reflux duration on Valsalva (seconds)</w:t>
            </w:r>
          </w:p>
        </w:tc>
        <w:tc>
          <w:tcPr>
            <w:tcW w:type="dxa" w:w="1655"/>
            <w:vAlign w:val="top"/>
          </w:tcPr>
          <w:p>
            <w:pPr>
              <w:spacing w:after="40" w:before="0" w:line="259" w:lineRule="auto"/>
            </w:pPr>
            <w:r>
              <w:rPr>
                <w:rFonts w:ascii="Calibri" w:hAnsi="Calibri"/>
                <w:b w:val="0"/>
                <w:i w:val="0"/>
                <w:color w:val="212121"/>
                <w:sz w:val="19"/>
              </w:rPr>
              <w:t>Men on scrotal Doppler</w:t>
            </w:r>
          </w:p>
        </w:tc>
        <w:tc>
          <w:tcPr>
            <w:tcW w:type="dxa" w:w="1512"/>
            <w:vAlign w:val="top"/>
          </w:tcPr>
          <w:p>
            <w:pPr>
              <w:spacing w:after="40" w:before="0" w:line="259" w:lineRule="auto"/>
            </w:pPr>
            <w:r>
              <w:rPr>
                <w:rFonts w:ascii="Calibri" w:hAnsi="Calibri"/>
                <w:b w:val="0"/>
                <w:i w:val="0"/>
                <w:color w:val="212121"/>
                <w:sz w:val="19"/>
              </w:rPr>
              <w:t>None / &lt; 1 s</w:t>
            </w:r>
          </w:p>
        </w:tc>
        <w:tc>
          <w:tcPr>
            <w:tcW w:type="dxa" w:w="1512"/>
            <w:vAlign w:val="top"/>
          </w:tcPr>
          <w:p>
            <w:pPr>
              <w:spacing w:after="40" w:before="0" w:line="259" w:lineRule="auto"/>
            </w:pPr>
            <w:r>
              <w:rPr>
                <w:rFonts w:ascii="Calibri" w:hAnsi="Calibri"/>
                <w:b w:val="0"/>
                <w:i w:val="0"/>
                <w:color w:val="212121"/>
                <w:sz w:val="19"/>
              </w:rPr>
              <w:t>&gt; 1 s (continuous reflux = higher grade)</w:t>
            </w:r>
          </w:p>
        </w:tc>
        <w:tc>
          <w:tcPr>
            <w:tcW w:type="dxa" w:w="1468"/>
            <w:vAlign w:val="top"/>
          </w:tcPr>
          <w:p>
            <w:pPr>
              <w:spacing w:after="60" w:line="259" w:lineRule="auto"/>
            </w:pPr>
            <w:r>
              <w:rPr>
                <w:rFonts w:ascii="Calibri" w:hAnsi="Calibri"/>
                <w:b w:val="0"/>
                <w:i w:val="0"/>
                <w:color w:val="212121"/>
                <w:sz w:val="19"/>
              </w:rPr>
              <w:t>Reflux duration underpins Sarteschi grading</w:t>
            </w:r>
          </w:p>
          <w:p>
            <w:pPr>
              <w:spacing w:after="40" w:line="252" w:lineRule="auto"/>
            </w:pPr>
            <w:hyperlink r:id="rId16">
              <w:r>
                <w:rPr>
                  <w:rFonts w:ascii="Calibri" w:hAnsi="Calibri" w:cs="Calibri"/>
                  <w:sz w:val="18"/>
                  <w:color w:val="1155CC"/>
                  <w:u w:val="single"/>
                </w:rPr>
                <w:t xml:space="preserve">https://elearnrad.com/sarteschi-grading-of-varicocele/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Testicular volume asymmetry (%)</w:t>
            </w:r>
          </w:p>
        </w:tc>
        <w:tc>
          <w:tcPr>
            <w:tcW w:type="dxa" w:w="1655"/>
            <w:vAlign w:val="top"/>
          </w:tcPr>
          <w:p>
            <w:pPr>
              <w:spacing w:after="40" w:before="0" w:line="259" w:lineRule="auto"/>
            </w:pPr>
            <w:r>
              <w:rPr>
                <w:rFonts w:ascii="Calibri" w:hAnsi="Calibri"/>
                <w:b w:val="0"/>
                <w:i w:val="0"/>
                <w:color w:val="212121"/>
                <w:sz w:val="19"/>
              </w:rPr>
              <w:t>Adolescents, men with a small testis</w:t>
            </w:r>
          </w:p>
        </w:tc>
        <w:tc>
          <w:tcPr>
            <w:tcW w:type="dxa" w:w="1512"/>
            <w:vAlign w:val="top"/>
          </w:tcPr>
          <w:p>
            <w:pPr>
              <w:spacing w:after="40" w:before="0" w:line="259" w:lineRule="auto"/>
            </w:pPr>
            <w:r>
              <w:rPr>
                <w:rFonts w:ascii="Calibri" w:hAnsi="Calibri"/>
                <w:b w:val="0"/>
                <w:i w:val="0"/>
                <w:color w:val="212121"/>
                <w:sz w:val="19"/>
              </w:rPr>
              <w:t>&lt; 20% / &lt; 2 mL difference</w:t>
            </w:r>
          </w:p>
        </w:tc>
        <w:tc>
          <w:tcPr>
            <w:tcW w:type="dxa" w:w="1512"/>
            <w:vAlign w:val="top"/>
          </w:tcPr>
          <w:p>
            <w:pPr>
              <w:spacing w:after="40" w:before="0" w:line="259" w:lineRule="auto"/>
            </w:pPr>
            <w:r>
              <w:rPr>
                <w:rFonts w:ascii="Calibri" w:hAnsi="Calibri"/>
                <w:b w:val="0"/>
                <w:i w:val="0"/>
                <w:color w:val="212121"/>
                <w:sz w:val="19"/>
              </w:rPr>
              <w:t>≥ 20% or ≥ 2 mL ipsilateral loss</w:t>
            </w:r>
          </w:p>
        </w:tc>
        <w:tc>
          <w:tcPr>
            <w:tcW w:type="dxa" w:w="1468"/>
            <w:vAlign w:val="top"/>
          </w:tcPr>
          <w:p>
            <w:pPr>
              <w:spacing w:after="60" w:line="259" w:lineRule="auto"/>
            </w:pPr>
            <w:r>
              <w:rPr>
                <w:rFonts w:ascii="Calibri" w:hAnsi="Calibri"/>
                <w:b w:val="0"/>
                <w:i w:val="0"/>
                <w:color w:val="212121"/>
                <w:sz w:val="19"/>
              </w:rPr>
              <w:t>Key surgical indication in adolescents</w:t>
            </w:r>
          </w:p>
          <w:p>
            <w:pPr>
              <w:spacing w:after="40" w:line="252" w:lineRule="auto"/>
            </w:pPr>
            <w:hyperlink r:id="rId12">
              <w:r>
                <w:rPr>
                  <w:rFonts w:ascii="Calibri" w:hAnsi="Calibri" w:cs="Calibri"/>
                  <w:sz w:val="18"/>
                  <w:color w:val="1155CC"/>
                  <w:u w:val="single"/>
                </w:rPr>
                <w:t xml:space="preserve">https://www.ncbi.nlm.nih.gov/books/NBK448113/</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All men, especially subfertile</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Worsens semen and varicocelectomy outcomes</w:t>
            </w:r>
          </w:p>
          <w:p>
            <w:pPr>
              <w:spacing w:after="40" w:line="252" w:lineRule="auto"/>
            </w:pPr>
            <w:hyperlink r:id="rId12">
              <w:r>
                <w:rPr>
                  <w:rFonts w:ascii="Calibri" w:hAnsi="Calibri" w:cs="Calibri"/>
                  <w:sz w:val="18"/>
                  <w:color w:val="1155CC"/>
                  <w:u w:val="single"/>
                </w:rPr>
                <w:t xml:space="preserve">https://www.ncbi.nlm.nih.gov/books/NBK448113/</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Subfertile men</w:t>
            </w:r>
          </w:p>
        </w:tc>
        <w:tc>
          <w:tcPr>
            <w:tcW w:type="dxa" w:w="1512"/>
            <w:vAlign w:val="top"/>
          </w:tcPr>
          <w:p>
            <w:pPr>
              <w:spacing w:after="40" w:before="0" w:line="259" w:lineRule="auto"/>
            </w:pPr>
            <w:r>
              <w:rPr>
                <w:rFonts w:ascii="Calibri" w:hAnsi="Calibri"/>
                <w:b w:val="0"/>
                <w:i w:val="0"/>
                <w:color w:val="212121"/>
                <w:sz w:val="19"/>
              </w:rPr>
              <w:t>Minimal / none</w:t>
            </w:r>
          </w:p>
        </w:tc>
        <w:tc>
          <w:tcPr>
            <w:tcW w:type="dxa" w:w="1512"/>
            <w:vAlign w:val="top"/>
          </w:tcPr>
          <w:p>
            <w:pPr>
              <w:spacing w:after="40" w:before="0" w:line="259" w:lineRule="auto"/>
            </w:pPr>
            <w:r>
              <w:rPr>
                <w:rFonts w:ascii="Calibri" w:hAnsi="Calibri"/>
                <w:b w:val="0"/>
                <w:i w:val="0"/>
                <w:color w:val="212121"/>
                <w:sz w:val="19"/>
              </w:rPr>
              <w:t>Regular heavy intake</w:t>
            </w:r>
          </w:p>
        </w:tc>
        <w:tc>
          <w:tcPr>
            <w:tcW w:type="dxa" w:w="1468"/>
            <w:vAlign w:val="top"/>
          </w:tcPr>
          <w:p>
            <w:pPr>
              <w:spacing w:after="40" w:before="0" w:line="259" w:lineRule="auto"/>
            </w:pPr>
            <w:r>
              <w:rPr>
                <w:rFonts w:ascii="Calibri" w:hAnsi="Calibri"/>
                <w:b w:val="0"/>
                <w:i w:val="0"/>
                <w:color w:val="212121"/>
                <w:sz w:val="19"/>
              </w:rPr>
              <w:t>Lowers testosterone and impairs spermatogenesis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Antioxidant-rich food intake</w:t>
            </w:r>
          </w:p>
        </w:tc>
        <w:tc>
          <w:tcPr>
            <w:tcW w:type="dxa" w:w="1655"/>
            <w:vAlign w:val="top"/>
          </w:tcPr>
          <w:p>
            <w:pPr>
              <w:spacing w:after="40" w:before="0" w:line="259" w:lineRule="auto"/>
            </w:pPr>
            <w:r>
              <w:rPr>
                <w:rFonts w:ascii="Calibri" w:hAnsi="Calibri"/>
                <w:b w:val="0"/>
                <w:i w:val="0"/>
                <w:color w:val="212121"/>
                <w:sz w:val="19"/>
              </w:rPr>
              <w:t>Men with high seminal oxidative stress</w:t>
            </w:r>
          </w:p>
        </w:tc>
        <w:tc>
          <w:tcPr>
            <w:tcW w:type="dxa" w:w="1512"/>
            <w:vAlign w:val="top"/>
          </w:tcPr>
          <w:p>
            <w:pPr>
              <w:spacing w:after="40" w:before="0" w:line="259" w:lineRule="auto"/>
            </w:pPr>
            <w:r>
              <w:rPr>
                <w:rFonts w:ascii="Calibri" w:hAnsi="Calibri"/>
                <w:b w:val="0"/>
                <w:i w:val="0"/>
                <w:color w:val="212121"/>
                <w:sz w:val="19"/>
              </w:rPr>
              <w:t>Daily fruit, vegetables, adequate zinc/selenium</w:t>
            </w:r>
          </w:p>
        </w:tc>
        <w:tc>
          <w:tcPr>
            <w:tcW w:type="dxa" w:w="1512"/>
            <w:vAlign w:val="top"/>
          </w:tcPr>
          <w:p>
            <w:pPr>
              <w:spacing w:after="40" w:before="0" w:line="259" w:lineRule="auto"/>
            </w:pPr>
            <w:r>
              <w:rPr>
                <w:rFonts w:ascii="Calibri" w:hAnsi="Calibri"/>
                <w:b w:val="0"/>
                <w:i w:val="0"/>
                <w:color w:val="212121"/>
                <w:sz w:val="19"/>
              </w:rPr>
              <w:t>Antioxidant-poor diet</w:t>
            </w:r>
          </w:p>
        </w:tc>
        <w:tc>
          <w:tcPr>
            <w:tcW w:type="dxa" w:w="1468"/>
            <w:vAlign w:val="top"/>
          </w:tcPr>
          <w:p>
            <w:pPr>
              <w:spacing w:after="40" w:before="0" w:line="259" w:lineRule="auto"/>
            </w:pPr>
            <w:r>
              <w:rPr>
                <w:rFonts w:ascii="Calibri" w:hAnsi="Calibri"/>
                <w:b w:val="0"/>
                <w:i w:val="0"/>
                <w:color w:val="212121"/>
                <w:sz w:val="19"/>
              </w:rPr>
              <w:t>May buffer varicocele-related seminal ROS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Pampiniform vein diameter &amp; Valsalva reflux</w:t>
            </w:r>
          </w:p>
        </w:tc>
        <w:tc>
          <w:tcPr>
            <w:tcW w:type="dxa" w:w="892"/>
            <w:vAlign w:val="top"/>
          </w:tcPr>
          <w:p>
            <w:pPr>
              <w:spacing w:after="40" w:before="0" w:line="259" w:lineRule="auto"/>
            </w:pPr>
            <w:r>
              <w:rPr>
                <w:rFonts w:ascii="Calibri" w:hAnsi="Calibri"/>
                <w:b w:val="0"/>
                <w:i w:val="0"/>
                <w:color w:val="212121"/>
                <w:sz w:val="16"/>
              </w:rPr>
              <w:t>Scrotal colour-Doppler ultrasonography</w:t>
            </w:r>
          </w:p>
        </w:tc>
        <w:tc>
          <w:tcPr>
            <w:tcW w:type="dxa" w:w="950"/>
            <w:vAlign w:val="top"/>
          </w:tcPr>
          <w:p>
            <w:pPr>
              <w:spacing w:after="40" w:before="0" w:line="259" w:lineRule="auto"/>
            </w:pPr>
            <w:r>
              <w:rPr>
                <w:rFonts w:ascii="Calibri" w:hAnsi="Calibri"/>
                <w:b w:val="0"/>
                <w:i w:val="0"/>
                <w:color w:val="212121"/>
                <w:sz w:val="16"/>
              </w:rPr>
              <w:t>Vein &lt; 2 mm; no reflux</w:t>
            </w:r>
          </w:p>
        </w:tc>
        <w:tc>
          <w:tcPr>
            <w:tcW w:type="dxa" w:w="950"/>
            <w:vAlign w:val="top"/>
          </w:tcPr>
          <w:p>
            <w:pPr>
              <w:spacing w:after="40" w:before="0" w:line="259" w:lineRule="auto"/>
            </w:pPr>
            <w:r>
              <w:rPr>
                <w:rFonts w:ascii="Calibri" w:hAnsi="Calibri"/>
                <w:b w:val="0"/>
                <w:i w:val="0"/>
                <w:color w:val="212121"/>
                <w:sz w:val="16"/>
              </w:rPr>
              <w:t>≥ 2–3 mm with reflux &gt; 1 s</w:t>
            </w:r>
          </w:p>
        </w:tc>
        <w:tc>
          <w:tcPr>
            <w:tcW w:type="dxa" w:w="1036"/>
            <w:vAlign w:val="top"/>
          </w:tcPr>
          <w:p>
            <w:pPr>
              <w:spacing w:after="40" w:before="0" w:line="259" w:lineRule="auto"/>
            </w:pPr>
            <w:r>
              <w:rPr>
                <w:rFonts w:ascii="Calibri" w:hAnsi="Calibri"/>
                <w:b w:val="0"/>
                <w:i w:val="0"/>
                <w:color w:val="212121"/>
                <w:sz w:val="16"/>
              </w:rPr>
              <w:t>Confirms and grades varicocele (Sarteschi 1–5); detects subclinical disease</w:t>
            </w:r>
          </w:p>
        </w:tc>
        <w:tc>
          <w:tcPr>
            <w:tcW w:type="dxa" w:w="1036"/>
            <w:vAlign w:val="top"/>
          </w:tcPr>
          <w:p>
            <w:pPr>
              <w:spacing w:after="40" w:before="0" w:line="259" w:lineRule="auto"/>
            </w:pPr>
            <w:r>
              <w:rPr>
                <w:rFonts w:ascii="Calibri" w:hAnsi="Calibri"/>
                <w:b w:val="0"/>
                <w:i w:val="0"/>
                <w:color w:val="212121"/>
                <w:sz w:val="16"/>
              </w:rPr>
              <w:t>Infertile, symptomatic or equivocal-exam men</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Imaging gold standard</w:t>
            </w:r>
          </w:p>
        </w:tc>
        <w:tc>
          <w:tcPr>
            <w:tcW w:type="dxa" w:w="720"/>
            <w:vAlign w:val="top"/>
          </w:tcPr>
          <w:p>
            <w:pPr>
              <w:spacing w:after="40" w:before="0" w:line="259" w:lineRule="auto"/>
            </w:pPr>
            <w:r>
              <w:rPr>
                <w:rFonts w:ascii="Calibri" w:hAnsi="Calibri"/>
                <w:b w:val="0"/>
                <w:i w:val="0"/>
                <w:color w:val="212121"/>
                <w:sz w:val="16"/>
              </w:rPr>
              <w:t>Examine standing and supine, at rest and on Valsalva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Andrology</w:t>
            </w:r>
          </w:p>
        </w:tc>
        <w:tc>
          <w:tcPr>
            <w:tcW w:type="dxa" w:w="1036"/>
            <w:vAlign w:val="top"/>
          </w:tcPr>
          <w:p>
            <w:pPr>
              <w:spacing w:after="40" w:before="0" w:line="259" w:lineRule="auto"/>
            </w:pPr>
            <w:r>
              <w:rPr>
                <w:rFonts w:ascii="Calibri" w:hAnsi="Calibri"/>
                <w:b w:val="0"/>
                <w:i w:val="0"/>
                <w:color w:val="212121"/>
                <w:sz w:val="16"/>
              </w:rPr>
              <w:t>Sperm concentration, motility, morphology</w:t>
            </w:r>
          </w:p>
        </w:tc>
        <w:tc>
          <w:tcPr>
            <w:tcW w:type="dxa" w:w="892"/>
            <w:vAlign w:val="top"/>
          </w:tcPr>
          <w:p>
            <w:pPr>
              <w:spacing w:after="40" w:before="0" w:line="259" w:lineRule="auto"/>
            </w:pPr>
            <w:r>
              <w:rPr>
                <w:rFonts w:ascii="Calibri" w:hAnsi="Calibri"/>
                <w:b w:val="0"/>
                <w:i w:val="0"/>
                <w:color w:val="212121"/>
                <w:sz w:val="16"/>
              </w:rPr>
              <w:t>Semen analysis (WHO 6th edition)</w:t>
            </w:r>
          </w:p>
        </w:tc>
        <w:tc>
          <w:tcPr>
            <w:tcW w:type="dxa" w:w="950"/>
            <w:vAlign w:val="top"/>
          </w:tcPr>
          <w:p>
            <w:pPr>
              <w:spacing w:after="40" w:before="0" w:line="259" w:lineRule="auto"/>
            </w:pPr>
            <w:r>
              <w:rPr>
                <w:rFonts w:ascii="Calibri" w:hAnsi="Calibri"/>
                <w:b w:val="0"/>
                <w:i w:val="0"/>
                <w:color w:val="212121"/>
                <w:sz w:val="16"/>
              </w:rPr>
              <w:t>≥ 16 million/mL; total motility ≥ 42%; normal forms ≥ 4%</w:t>
            </w:r>
          </w:p>
        </w:tc>
        <w:tc>
          <w:tcPr>
            <w:tcW w:type="dxa" w:w="950"/>
            <w:vAlign w:val="top"/>
          </w:tcPr>
          <w:p>
            <w:pPr>
              <w:spacing w:after="40" w:before="0" w:line="259" w:lineRule="auto"/>
            </w:pPr>
            <w:r>
              <w:rPr>
                <w:rFonts w:ascii="Calibri" w:hAnsi="Calibri"/>
                <w:b w:val="0"/>
                <w:i w:val="0"/>
                <w:color w:val="212121"/>
                <w:sz w:val="16"/>
              </w:rPr>
              <w:t>Below reference limits (‘stress pattern’)</w:t>
            </w:r>
          </w:p>
        </w:tc>
        <w:tc>
          <w:tcPr>
            <w:tcW w:type="dxa" w:w="1036"/>
            <w:vAlign w:val="top"/>
          </w:tcPr>
          <w:p>
            <w:pPr>
              <w:spacing w:after="40" w:before="0" w:line="259" w:lineRule="auto"/>
            </w:pPr>
            <w:r>
              <w:rPr>
                <w:rFonts w:ascii="Calibri" w:hAnsi="Calibri"/>
                <w:b w:val="0"/>
                <w:i w:val="0"/>
                <w:color w:val="212121"/>
                <w:sz w:val="16"/>
              </w:rPr>
              <w:t>Oligo-astheno-teratozoospermia indicates varicocele impact on spermatogenesis</w:t>
            </w:r>
          </w:p>
        </w:tc>
        <w:tc>
          <w:tcPr>
            <w:tcW w:type="dxa" w:w="1036"/>
            <w:vAlign w:val="top"/>
          </w:tcPr>
          <w:p>
            <w:pPr>
              <w:spacing w:after="40" w:before="0" w:line="259" w:lineRule="auto"/>
            </w:pPr>
            <w:r>
              <w:rPr>
                <w:rFonts w:ascii="Calibri" w:hAnsi="Calibri"/>
                <w:b w:val="0"/>
                <w:i w:val="0"/>
                <w:color w:val="212121"/>
                <w:sz w:val="16"/>
              </w:rPr>
              <w:t>All men in infertility work-up</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Diagnostic / monitoring</w:t>
            </w:r>
          </w:p>
        </w:tc>
        <w:tc>
          <w:tcPr>
            <w:tcW w:type="dxa" w:w="720"/>
            <w:vAlign w:val="top"/>
          </w:tcPr>
          <w:p>
            <w:pPr>
              <w:spacing w:after="40" w:before="0" w:line="259" w:lineRule="auto"/>
            </w:pPr>
            <w:r>
              <w:rPr>
                <w:rFonts w:ascii="Calibri" w:hAnsi="Calibri"/>
                <w:b w:val="0"/>
                <w:i w:val="0"/>
                <w:color w:val="212121"/>
                <w:sz w:val="16"/>
              </w:rPr>
              <w:t>Confirm on a repeat sample after 2–3 weeks abstinence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total testosterone</w:t>
            </w:r>
          </w:p>
        </w:tc>
        <w:tc>
          <w:tcPr>
            <w:tcW w:type="dxa" w:w="892"/>
            <w:vAlign w:val="top"/>
          </w:tcPr>
          <w:p>
            <w:pPr>
              <w:spacing w:after="40" w:before="0" w:line="259" w:lineRule="auto"/>
            </w:pPr>
            <w:r>
              <w:rPr>
                <w:rFonts w:ascii="Calibri" w:hAnsi="Calibri"/>
                <w:b w:val="0"/>
                <w:i w:val="0"/>
                <w:color w:val="212121"/>
                <w:sz w:val="16"/>
              </w:rPr>
              <w:t>Morning total testosterone</w:t>
            </w:r>
          </w:p>
        </w:tc>
        <w:tc>
          <w:tcPr>
            <w:tcW w:type="dxa" w:w="950"/>
            <w:vAlign w:val="top"/>
          </w:tcPr>
          <w:p>
            <w:pPr>
              <w:spacing w:after="40" w:before="0" w:line="259" w:lineRule="auto"/>
            </w:pPr>
            <w:r>
              <w:rPr>
                <w:rFonts w:ascii="Calibri" w:hAnsi="Calibri"/>
                <w:b w:val="0"/>
                <w:i w:val="0"/>
                <w:color w:val="212121"/>
                <w:sz w:val="16"/>
              </w:rPr>
              <w:t>≥ 300 ng/dL</w:t>
            </w:r>
          </w:p>
        </w:tc>
        <w:tc>
          <w:tcPr>
            <w:tcW w:type="dxa" w:w="950"/>
            <w:vAlign w:val="top"/>
          </w:tcPr>
          <w:p>
            <w:pPr>
              <w:spacing w:after="40" w:before="0" w:line="259" w:lineRule="auto"/>
            </w:pPr>
            <w:r>
              <w:rPr>
                <w:rFonts w:ascii="Calibri" w:hAnsi="Calibri"/>
                <w:b w:val="0"/>
                <w:i w:val="0"/>
                <w:color w:val="212121"/>
                <w:sz w:val="16"/>
              </w:rPr>
              <w:t>&lt; 300 ng/dL</w:t>
            </w:r>
          </w:p>
        </w:tc>
        <w:tc>
          <w:tcPr>
            <w:tcW w:type="dxa" w:w="1036"/>
            <w:vAlign w:val="top"/>
          </w:tcPr>
          <w:p>
            <w:pPr>
              <w:spacing w:after="40" w:before="0" w:line="259" w:lineRule="auto"/>
            </w:pPr>
            <w:r>
              <w:rPr>
                <w:rFonts w:ascii="Calibri" w:hAnsi="Calibri"/>
                <w:b w:val="0"/>
                <w:i w:val="0"/>
                <w:color w:val="212121"/>
                <w:sz w:val="16"/>
              </w:rPr>
              <w:t>Assesses Leydig-cell function; may improve after repair</w:t>
            </w:r>
          </w:p>
        </w:tc>
        <w:tc>
          <w:tcPr>
            <w:tcW w:type="dxa" w:w="1036"/>
            <w:vAlign w:val="top"/>
          </w:tcPr>
          <w:p>
            <w:pPr>
              <w:spacing w:after="40" w:before="0" w:line="259" w:lineRule="auto"/>
            </w:pPr>
            <w:r>
              <w:rPr>
                <w:rFonts w:ascii="Calibri" w:hAnsi="Calibri"/>
                <w:b w:val="0"/>
                <w:i w:val="0"/>
                <w:color w:val="212121"/>
                <w:sz w:val="16"/>
              </w:rPr>
              <w:t>Men with hypogonadal symptoms, older 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Draw 07:00–10:00; confirm low value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FSH (± LH)</w:t>
            </w:r>
          </w:p>
        </w:tc>
        <w:tc>
          <w:tcPr>
            <w:tcW w:type="dxa" w:w="892"/>
            <w:vAlign w:val="top"/>
          </w:tcPr>
          <w:p>
            <w:pPr>
              <w:spacing w:after="40" w:before="0" w:line="259" w:lineRule="auto"/>
            </w:pPr>
            <w:r>
              <w:rPr>
                <w:rFonts w:ascii="Calibri" w:hAnsi="Calibri"/>
                <w:b w:val="0"/>
                <w:i w:val="0"/>
                <w:color w:val="212121"/>
                <w:sz w:val="16"/>
              </w:rPr>
              <w:t>Gonadotrophin assay</w:t>
            </w:r>
          </w:p>
        </w:tc>
        <w:tc>
          <w:tcPr>
            <w:tcW w:type="dxa" w:w="950"/>
            <w:vAlign w:val="top"/>
          </w:tcPr>
          <w:p>
            <w:pPr>
              <w:spacing w:after="40" w:before="0" w:line="259" w:lineRule="auto"/>
            </w:pPr>
            <w:r>
              <w:rPr>
                <w:rFonts w:ascii="Calibri" w:hAnsi="Calibri"/>
                <w:b w:val="0"/>
                <w:i w:val="0"/>
                <w:color w:val="212121"/>
                <w:sz w:val="16"/>
              </w:rPr>
              <w:t>FSH ~1.5–12.4 mIU/mL</w:t>
            </w:r>
          </w:p>
        </w:tc>
        <w:tc>
          <w:tcPr>
            <w:tcW w:type="dxa" w:w="950"/>
            <w:vAlign w:val="top"/>
          </w:tcPr>
          <w:p>
            <w:pPr>
              <w:spacing w:after="40" w:before="0" w:line="259" w:lineRule="auto"/>
            </w:pPr>
            <w:r>
              <w:rPr>
                <w:rFonts w:ascii="Calibri" w:hAnsi="Calibri"/>
                <w:b w:val="0"/>
                <w:i w:val="0"/>
                <w:color w:val="212121"/>
                <w:sz w:val="16"/>
              </w:rPr>
              <w:t>Elevated FSH</w:t>
            </w:r>
          </w:p>
        </w:tc>
        <w:tc>
          <w:tcPr>
            <w:tcW w:type="dxa" w:w="1036"/>
            <w:vAlign w:val="top"/>
          </w:tcPr>
          <w:p>
            <w:pPr>
              <w:spacing w:after="40" w:before="0" w:line="259" w:lineRule="auto"/>
            </w:pPr>
            <w:r>
              <w:rPr>
                <w:rFonts w:ascii="Calibri" w:hAnsi="Calibri"/>
                <w:b w:val="0"/>
                <w:i w:val="0"/>
                <w:color w:val="212121"/>
                <w:sz w:val="16"/>
              </w:rPr>
              <w:t>Raised FSH signals impaired spermatogenesis / testicular failure</w:t>
            </w:r>
          </w:p>
        </w:tc>
        <w:tc>
          <w:tcPr>
            <w:tcW w:type="dxa" w:w="1036"/>
            <w:vAlign w:val="top"/>
          </w:tcPr>
          <w:p>
            <w:pPr>
              <w:spacing w:after="40" w:before="0" w:line="259" w:lineRule="auto"/>
            </w:pPr>
            <w:r>
              <w:rPr>
                <w:rFonts w:ascii="Calibri" w:hAnsi="Calibri"/>
                <w:b w:val="0"/>
                <w:i w:val="0"/>
                <w:color w:val="212121"/>
                <w:sz w:val="16"/>
              </w:rPr>
              <w:t>Men with oligo/azoospermia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expectation from repair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Andrology</w:t>
            </w:r>
          </w:p>
        </w:tc>
        <w:tc>
          <w:tcPr>
            <w:tcW w:type="dxa" w:w="1036"/>
            <w:vAlign w:val="top"/>
          </w:tcPr>
          <w:p>
            <w:pPr>
              <w:spacing w:after="40" w:before="0" w:line="259" w:lineRule="auto"/>
            </w:pPr>
            <w:r>
              <w:rPr>
                <w:rFonts w:ascii="Calibri" w:hAnsi="Calibri"/>
                <w:b w:val="0"/>
                <w:i w:val="0"/>
                <w:color w:val="212121"/>
                <w:sz w:val="16"/>
              </w:rPr>
              <w:t>Sperm DNA fragmentation index (DFI)</w:t>
            </w:r>
          </w:p>
        </w:tc>
        <w:tc>
          <w:tcPr>
            <w:tcW w:type="dxa" w:w="892"/>
            <w:vAlign w:val="top"/>
          </w:tcPr>
          <w:p>
            <w:pPr>
              <w:spacing w:after="40" w:before="0" w:line="259" w:lineRule="auto"/>
            </w:pPr>
            <w:r>
              <w:rPr>
                <w:rFonts w:ascii="Calibri" w:hAnsi="Calibri"/>
                <w:b w:val="0"/>
                <w:i w:val="0"/>
                <w:color w:val="212121"/>
                <w:sz w:val="16"/>
              </w:rPr>
              <w:t>DNA fragmentation assay (e.g. SCSA)</w:t>
            </w:r>
          </w:p>
        </w:tc>
        <w:tc>
          <w:tcPr>
            <w:tcW w:type="dxa" w:w="950"/>
            <w:vAlign w:val="top"/>
          </w:tcPr>
          <w:p>
            <w:pPr>
              <w:spacing w:after="40" w:before="0" w:line="259" w:lineRule="auto"/>
            </w:pPr>
            <w:r>
              <w:rPr>
                <w:rFonts w:ascii="Calibri" w:hAnsi="Calibri"/>
                <w:b w:val="0"/>
                <w:i w:val="0"/>
                <w:color w:val="212121"/>
                <w:sz w:val="16"/>
              </w:rPr>
              <w:t>&lt; 15%</w:t>
            </w:r>
          </w:p>
        </w:tc>
        <w:tc>
          <w:tcPr>
            <w:tcW w:type="dxa" w:w="950"/>
            <w:vAlign w:val="top"/>
          </w:tcPr>
          <w:p>
            <w:pPr>
              <w:spacing w:after="40" w:before="0" w:line="259" w:lineRule="auto"/>
            </w:pPr>
            <w:r>
              <w:rPr>
                <w:rFonts w:ascii="Calibri" w:hAnsi="Calibri"/>
                <w:b w:val="0"/>
                <w:i w:val="0"/>
                <w:color w:val="212121"/>
                <w:sz w:val="16"/>
              </w:rPr>
              <w:t>&gt; 30%</w:t>
            </w:r>
          </w:p>
        </w:tc>
        <w:tc>
          <w:tcPr>
            <w:tcW w:type="dxa" w:w="1036"/>
            <w:vAlign w:val="top"/>
          </w:tcPr>
          <w:p>
            <w:pPr>
              <w:spacing w:after="40" w:before="0" w:line="259" w:lineRule="auto"/>
            </w:pPr>
            <w:r>
              <w:rPr>
                <w:rFonts w:ascii="Calibri" w:hAnsi="Calibri"/>
                <w:b w:val="0"/>
                <w:i w:val="0"/>
                <w:color w:val="212121"/>
                <w:sz w:val="16"/>
              </w:rPr>
              <w:t>High DFI reflects oxidative sperm DNA damage typical of varicocele</w:t>
            </w:r>
          </w:p>
        </w:tc>
        <w:tc>
          <w:tcPr>
            <w:tcW w:type="dxa" w:w="1036"/>
            <w:vAlign w:val="top"/>
          </w:tcPr>
          <w:p>
            <w:pPr>
              <w:spacing w:after="40" w:before="0" w:line="259" w:lineRule="auto"/>
            </w:pPr>
            <w:r>
              <w:rPr>
                <w:rFonts w:ascii="Calibri" w:hAnsi="Calibri"/>
                <w:b w:val="0"/>
                <w:i w:val="0"/>
                <w:color w:val="212121"/>
                <w:sz w:val="16"/>
              </w:rPr>
              <w:t>Men with recurrent ART failure or unexplained poor outcomes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Thresholds are assay-dependent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Testicular volume</w:t>
            </w:r>
          </w:p>
        </w:tc>
        <w:tc>
          <w:tcPr>
            <w:tcW w:type="dxa" w:w="892"/>
            <w:vAlign w:val="top"/>
          </w:tcPr>
          <w:p>
            <w:pPr>
              <w:spacing w:after="40" w:before="0" w:line="259" w:lineRule="auto"/>
            </w:pPr>
            <w:r>
              <w:rPr>
                <w:rFonts w:ascii="Calibri" w:hAnsi="Calibri"/>
                <w:b w:val="0"/>
                <w:i w:val="0"/>
                <w:color w:val="212121"/>
                <w:sz w:val="16"/>
              </w:rPr>
              <w:t>Ultrasound / orchidometry</w:t>
            </w:r>
          </w:p>
        </w:tc>
        <w:tc>
          <w:tcPr>
            <w:tcW w:type="dxa" w:w="950"/>
            <w:vAlign w:val="top"/>
          </w:tcPr>
          <w:p>
            <w:pPr>
              <w:spacing w:after="40" w:before="0" w:line="259" w:lineRule="auto"/>
            </w:pPr>
            <w:r>
              <w:rPr>
                <w:rFonts w:ascii="Calibri" w:hAnsi="Calibri"/>
                <w:b w:val="0"/>
                <w:i w:val="0"/>
                <w:color w:val="212121"/>
                <w:sz w:val="16"/>
              </w:rPr>
              <w:t>Adult 15–25 mL; symmetric</w:t>
            </w:r>
          </w:p>
        </w:tc>
        <w:tc>
          <w:tcPr>
            <w:tcW w:type="dxa" w:w="950"/>
            <w:vAlign w:val="top"/>
          </w:tcPr>
          <w:p>
            <w:pPr>
              <w:spacing w:after="40" w:before="0" w:line="259" w:lineRule="auto"/>
            </w:pPr>
            <w:r>
              <w:rPr>
                <w:rFonts w:ascii="Calibri" w:hAnsi="Calibri"/>
                <w:b w:val="0"/>
                <w:i w:val="0"/>
                <w:color w:val="212121"/>
                <w:sz w:val="16"/>
              </w:rPr>
              <w:t>Ipsilateral loss ≥ 20% or ≥ 2 mL</w:t>
            </w:r>
          </w:p>
        </w:tc>
        <w:tc>
          <w:tcPr>
            <w:tcW w:type="dxa" w:w="1036"/>
            <w:vAlign w:val="top"/>
          </w:tcPr>
          <w:p>
            <w:pPr>
              <w:spacing w:after="40" w:before="0" w:line="259" w:lineRule="auto"/>
            </w:pPr>
            <w:r>
              <w:rPr>
                <w:rFonts w:ascii="Calibri" w:hAnsi="Calibri"/>
                <w:b w:val="0"/>
                <w:i w:val="0"/>
                <w:color w:val="212121"/>
                <w:sz w:val="16"/>
              </w:rPr>
              <w:t>Hypotrophy indicates varicocele-related growth impairment</w:t>
            </w:r>
          </w:p>
        </w:tc>
        <w:tc>
          <w:tcPr>
            <w:tcW w:type="dxa" w:w="1036"/>
            <w:vAlign w:val="top"/>
          </w:tcPr>
          <w:p>
            <w:pPr>
              <w:spacing w:after="40" w:before="0" w:line="259" w:lineRule="auto"/>
            </w:pPr>
            <w:r>
              <w:rPr>
                <w:rFonts w:ascii="Calibri" w:hAnsi="Calibri"/>
                <w:b w:val="0"/>
                <w:i w:val="0"/>
                <w:color w:val="212121"/>
                <w:sz w:val="16"/>
              </w:rPr>
              <w:t>Adolescents, men with a small testis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surgical indication</w:t>
            </w:r>
          </w:p>
        </w:tc>
        <w:tc>
          <w:tcPr>
            <w:tcW w:type="dxa" w:w="720"/>
            <w:vAlign w:val="top"/>
          </w:tcPr>
          <w:p>
            <w:pPr>
              <w:spacing w:after="40" w:before="0" w:line="259" w:lineRule="auto"/>
            </w:pPr>
            <w:r>
              <w:rPr>
                <w:rFonts w:ascii="Calibri" w:hAnsi="Calibri"/>
                <w:b w:val="0"/>
                <w:i w:val="0"/>
                <w:color w:val="212121"/>
                <w:sz w:val="16"/>
              </w:rPr>
              <w:t>Serial measurement in adolescents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Abdominal / renal imaging</w:t>
            </w:r>
          </w:p>
        </w:tc>
        <w:tc>
          <w:tcPr>
            <w:tcW w:type="dxa" w:w="892"/>
            <w:vAlign w:val="top"/>
          </w:tcPr>
          <w:p>
            <w:pPr>
              <w:spacing w:after="40" w:before="0" w:line="259" w:lineRule="auto"/>
            </w:pPr>
            <w:r>
              <w:rPr>
                <w:rFonts w:ascii="Calibri" w:hAnsi="Calibri"/>
                <w:b w:val="0"/>
                <w:i w:val="0"/>
                <w:color w:val="212121"/>
                <w:sz w:val="16"/>
              </w:rPr>
              <w:t>Abdominal ultrasound or CT</w:t>
            </w:r>
          </w:p>
        </w:tc>
        <w:tc>
          <w:tcPr>
            <w:tcW w:type="dxa" w:w="950"/>
            <w:vAlign w:val="top"/>
          </w:tcPr>
          <w:p>
            <w:pPr>
              <w:spacing w:after="40" w:before="0" w:line="259" w:lineRule="auto"/>
            </w:pPr>
            <w:r>
              <w:rPr>
                <w:rFonts w:ascii="Calibri" w:hAnsi="Calibri"/>
                <w:b w:val="0"/>
                <w:i w:val="0"/>
                <w:color w:val="212121"/>
                <w:sz w:val="16"/>
              </w:rPr>
              <w:t>No mass; normal renal veins</w:t>
            </w:r>
          </w:p>
        </w:tc>
        <w:tc>
          <w:tcPr>
            <w:tcW w:type="dxa" w:w="950"/>
            <w:vAlign w:val="top"/>
          </w:tcPr>
          <w:p>
            <w:pPr>
              <w:spacing w:after="40" w:before="0" w:line="259" w:lineRule="auto"/>
            </w:pPr>
            <w:r>
              <w:rPr>
                <w:rFonts w:ascii="Calibri" w:hAnsi="Calibri"/>
                <w:b w:val="0"/>
                <w:i w:val="0"/>
                <w:color w:val="212121"/>
                <w:sz w:val="16"/>
              </w:rPr>
              <w:t>Retroperitoneal / renal mass or renal-vein obstruction</w:t>
            </w:r>
          </w:p>
        </w:tc>
        <w:tc>
          <w:tcPr>
            <w:tcW w:type="dxa" w:w="1036"/>
            <w:vAlign w:val="top"/>
          </w:tcPr>
          <w:p>
            <w:pPr>
              <w:spacing w:after="40" w:before="0" w:line="259" w:lineRule="auto"/>
            </w:pPr>
            <w:r>
              <w:rPr>
                <w:rFonts w:ascii="Calibri" w:hAnsi="Calibri"/>
                <w:b w:val="0"/>
                <w:i w:val="0"/>
                <w:color w:val="212121"/>
                <w:sz w:val="16"/>
              </w:rPr>
              <w:t>Excludes secondary varicocele in red-flag presentations</w:t>
            </w:r>
          </w:p>
        </w:tc>
        <w:tc>
          <w:tcPr>
            <w:tcW w:type="dxa" w:w="1036"/>
            <w:vAlign w:val="top"/>
          </w:tcPr>
          <w:p>
            <w:pPr>
              <w:spacing w:after="40" w:before="0" w:line="259" w:lineRule="auto"/>
            </w:pPr>
            <w:r>
              <w:rPr>
                <w:rFonts w:ascii="Calibri" w:hAnsi="Calibri"/>
                <w:b w:val="0"/>
                <w:i w:val="0"/>
                <w:color w:val="212121"/>
                <w:sz w:val="16"/>
              </w:rPr>
              <w:t>New, right-sided or non-decompressing varicocele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(selected cases)</w:t>
            </w:r>
          </w:p>
        </w:tc>
        <w:tc>
          <w:tcPr>
            <w:tcW w:type="dxa" w:w="720"/>
            <w:vAlign w:val="top"/>
          </w:tcPr>
          <w:p>
            <w:pPr>
              <w:spacing w:after="40" w:before="0" w:line="259" w:lineRule="auto"/>
            </w:pPr>
            <w:r>
              <w:rPr>
                <w:rFonts w:ascii="Calibri" w:hAnsi="Calibri"/>
                <w:b w:val="0"/>
                <w:i w:val="0"/>
                <w:color w:val="212121"/>
                <w:sz w:val="16"/>
              </w:rPr>
              <w:t>Mandatory when varicocele does not decompress supine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Dull dragging scrotal ache / heaviness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Ache worse on standing/exertion, relieved lying down</w:t>
            </w:r>
          </w:p>
        </w:tc>
        <w:tc>
          <w:tcPr>
            <w:tcW w:type="dxa" w:w="1036"/>
            <w:vAlign w:val="top"/>
          </w:tcPr>
          <w:p>
            <w:pPr>
              <w:spacing w:after="40" w:before="0" w:line="259" w:lineRule="auto"/>
            </w:pPr>
            <w:r>
              <w:rPr>
                <w:rFonts w:ascii="Calibri" w:hAnsi="Calibri"/>
                <w:b w:val="0"/>
                <w:i w:val="0"/>
                <w:color w:val="212121"/>
                <w:sz w:val="16"/>
              </w:rPr>
              <w:t>Typical varicocele discomfort pattern</w:t>
            </w:r>
          </w:p>
        </w:tc>
        <w:tc>
          <w:tcPr>
            <w:tcW w:type="dxa" w:w="1036"/>
            <w:vAlign w:val="top"/>
          </w:tcPr>
          <w:p>
            <w:pPr>
              <w:spacing w:after="40" w:before="0" w:line="259" w:lineRule="auto"/>
            </w:pPr>
            <w:r>
              <w:rPr>
                <w:rFonts w:ascii="Calibri" w:hAnsi="Calibri"/>
                <w:b w:val="0"/>
                <w:i w:val="0"/>
                <w:color w:val="212121"/>
                <w:sz w:val="16"/>
              </w:rPr>
              <w:t>Symptomatic men (2–10%)</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Most varicoceles are asymptomatic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Infertility history</w:t>
            </w:r>
          </w:p>
        </w:tc>
        <w:tc>
          <w:tcPr>
            <w:tcW w:type="dxa" w:w="979"/>
            <w:vAlign w:val="top"/>
          </w:tcPr>
          <w:p>
            <w:pPr>
              <w:spacing w:after="40" w:before="0" w:line="259" w:lineRule="auto"/>
            </w:pPr>
            <w:r>
              <w:rPr>
                <w:rFonts w:ascii="Calibri" w:hAnsi="Calibri"/>
                <w:b w:val="0"/>
                <w:i w:val="0"/>
                <w:color w:val="212121"/>
                <w:sz w:val="16"/>
              </w:rPr>
              <w:t>Duration of subfertility; prior conceptions</w:t>
            </w:r>
          </w:p>
        </w:tc>
        <w:tc>
          <w:tcPr>
            <w:tcW w:type="dxa" w:w="950"/>
            <w:vAlign w:val="top"/>
          </w:tcPr>
          <w:p>
            <w:pPr>
              <w:spacing w:after="40" w:before="0" w:line="259" w:lineRule="auto"/>
            </w:pPr>
            <w:r>
              <w:rPr>
                <w:rFonts w:ascii="Calibri" w:hAnsi="Calibri"/>
                <w:b w:val="0"/>
                <w:i w:val="0"/>
                <w:color w:val="212121"/>
                <w:sz w:val="16"/>
              </w:rPr>
              <w:t>No fertility concern</w:t>
            </w:r>
          </w:p>
        </w:tc>
        <w:tc>
          <w:tcPr>
            <w:tcW w:type="dxa" w:w="950"/>
            <w:vAlign w:val="top"/>
          </w:tcPr>
          <w:p>
            <w:pPr>
              <w:spacing w:after="40" w:before="0" w:line="259" w:lineRule="auto"/>
            </w:pPr>
            <w:r>
              <w:rPr>
                <w:rFonts w:ascii="Calibri" w:hAnsi="Calibri"/>
                <w:b w:val="0"/>
                <w:i w:val="0"/>
                <w:color w:val="212121"/>
                <w:sz w:val="16"/>
              </w:rPr>
              <w:t>Primary or secondary infertility</w:t>
            </w:r>
          </w:p>
        </w:tc>
        <w:tc>
          <w:tcPr>
            <w:tcW w:type="dxa" w:w="1036"/>
            <w:vAlign w:val="top"/>
          </w:tcPr>
          <w:p>
            <w:pPr>
              <w:spacing w:after="40" w:before="0" w:line="259" w:lineRule="auto"/>
            </w:pPr>
            <w:r>
              <w:rPr>
                <w:rFonts w:ascii="Calibri" w:hAnsi="Calibri"/>
                <w:b w:val="0"/>
                <w:i w:val="0"/>
                <w:color w:val="212121"/>
                <w:sz w:val="16"/>
              </w:rPr>
              <w:t>Frames varicocele within couple work-up</w:t>
            </w:r>
          </w:p>
        </w:tc>
        <w:tc>
          <w:tcPr>
            <w:tcW w:type="dxa" w:w="1036"/>
            <w:vAlign w:val="top"/>
          </w:tcPr>
          <w:p>
            <w:pPr>
              <w:spacing w:after="40" w:before="0" w:line="259" w:lineRule="auto"/>
            </w:pPr>
            <w:r>
              <w:rPr>
                <w:rFonts w:ascii="Calibri" w:hAnsi="Calibri"/>
                <w:b w:val="0"/>
                <w:i w:val="0"/>
                <w:color w:val="212121"/>
                <w:sz w:val="16"/>
              </w:rPr>
              <w:t>Men presenting for fertility care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Assess female-partner fertility in parallel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 strain history</w:t>
            </w:r>
          </w:p>
        </w:tc>
        <w:tc>
          <w:tcPr>
            <w:tcW w:type="dxa" w:w="979"/>
            <w:vAlign w:val="top"/>
          </w:tcPr>
          <w:p>
            <w:pPr>
              <w:spacing w:after="40" w:before="0" w:line="259" w:lineRule="auto"/>
            </w:pPr>
            <w:r>
              <w:rPr>
                <w:rFonts w:ascii="Calibri" w:hAnsi="Calibri"/>
                <w:b w:val="0"/>
                <w:i w:val="0"/>
                <w:color w:val="212121"/>
                <w:sz w:val="16"/>
              </w:rPr>
              <w:t>Prolonged standing, heavy lifting, straining</w:t>
            </w:r>
          </w:p>
        </w:tc>
        <w:tc>
          <w:tcPr>
            <w:tcW w:type="dxa" w:w="950"/>
            <w:vAlign w:val="top"/>
          </w:tcPr>
          <w:p>
            <w:pPr>
              <w:spacing w:after="40" w:before="0" w:line="259" w:lineRule="auto"/>
            </w:pPr>
            <w:r>
              <w:rPr>
                <w:rFonts w:ascii="Calibri" w:hAnsi="Calibri"/>
                <w:b w:val="0"/>
                <w:i w:val="0"/>
                <w:color w:val="212121"/>
                <w:sz w:val="16"/>
              </w:rPr>
              <w:t>No sustained strain</w:t>
            </w:r>
          </w:p>
        </w:tc>
        <w:tc>
          <w:tcPr>
            <w:tcW w:type="dxa" w:w="950"/>
            <w:vAlign w:val="top"/>
          </w:tcPr>
          <w:p>
            <w:pPr>
              <w:spacing w:after="40" w:before="0" w:line="259" w:lineRule="auto"/>
            </w:pPr>
            <w:r>
              <w:rPr>
                <w:rFonts w:ascii="Calibri" w:hAnsi="Calibri"/>
                <w:b w:val="0"/>
                <w:i w:val="0"/>
                <w:color w:val="212121"/>
                <w:sz w:val="16"/>
              </w:rPr>
              <w:t>Physically strenuous, standing occupation</w:t>
            </w:r>
          </w:p>
        </w:tc>
        <w:tc>
          <w:tcPr>
            <w:tcW w:type="dxa" w:w="1036"/>
            <w:vAlign w:val="top"/>
          </w:tcPr>
          <w:p>
            <w:pPr>
              <w:spacing w:after="40" w:before="0" w:line="259" w:lineRule="auto"/>
            </w:pPr>
            <w:r>
              <w:rPr>
                <w:rFonts w:ascii="Calibri" w:hAnsi="Calibri"/>
                <w:b w:val="0"/>
                <w:i w:val="0"/>
                <w:color w:val="212121"/>
                <w:sz w:val="16"/>
              </w:rPr>
              <w:t>Identifies pressure-related provoking factors</w:t>
            </w:r>
          </w:p>
        </w:tc>
        <w:tc>
          <w:tcPr>
            <w:tcW w:type="dxa" w:w="1036"/>
            <w:vAlign w:val="top"/>
          </w:tcPr>
          <w:p>
            <w:pPr>
              <w:spacing w:after="40" w:before="0" w:line="259" w:lineRule="auto"/>
            </w:pPr>
            <w:r>
              <w:rPr>
                <w:rFonts w:ascii="Calibri" w:hAnsi="Calibri"/>
                <w:b w:val="0"/>
                <w:i w:val="0"/>
                <w:color w:val="212121"/>
                <w:sz w:val="16"/>
              </w:rPr>
              <w:t>Farmers, labourers, weight-lifters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Common in Indian series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Standing scrotal palpation with Valsalva</w:t>
            </w:r>
          </w:p>
        </w:tc>
        <w:tc>
          <w:tcPr>
            <w:tcW w:type="dxa" w:w="979"/>
            <w:vAlign w:val="top"/>
          </w:tcPr>
          <w:p>
            <w:pPr>
              <w:spacing w:after="40" w:before="0" w:line="259" w:lineRule="auto"/>
            </w:pPr>
            <w:r>
              <w:rPr>
                <w:rFonts w:ascii="Calibri" w:hAnsi="Calibri"/>
                <w:b w:val="0"/>
                <w:i w:val="0"/>
                <w:color w:val="212121"/>
                <w:sz w:val="16"/>
              </w:rPr>
              <w:t>Palpable ‘bag of worms’ above/around testis</w:t>
            </w:r>
          </w:p>
        </w:tc>
        <w:tc>
          <w:tcPr>
            <w:tcW w:type="dxa" w:w="950"/>
            <w:vAlign w:val="top"/>
          </w:tcPr>
          <w:p>
            <w:pPr>
              <w:spacing w:after="40" w:before="0" w:line="259" w:lineRule="auto"/>
            </w:pPr>
            <w:r>
              <w:rPr>
                <w:rFonts w:ascii="Calibri" w:hAnsi="Calibri"/>
                <w:b w:val="0"/>
                <w:i w:val="0"/>
                <w:color w:val="212121"/>
                <w:sz w:val="16"/>
              </w:rPr>
              <w:t>No palpable veins</w:t>
            </w:r>
          </w:p>
        </w:tc>
        <w:tc>
          <w:tcPr>
            <w:tcW w:type="dxa" w:w="950"/>
            <w:vAlign w:val="top"/>
          </w:tcPr>
          <w:p>
            <w:pPr>
              <w:spacing w:after="40" w:before="0" w:line="259" w:lineRule="auto"/>
            </w:pPr>
            <w:r>
              <w:rPr>
                <w:rFonts w:ascii="Calibri" w:hAnsi="Calibri"/>
                <w:b w:val="0"/>
                <w:i w:val="0"/>
                <w:color w:val="212121"/>
                <w:sz w:val="16"/>
              </w:rPr>
              <w:t>Palpable/visible dilated plexus; graded 1–3</w:t>
            </w:r>
          </w:p>
        </w:tc>
        <w:tc>
          <w:tcPr>
            <w:tcW w:type="dxa" w:w="1036"/>
            <w:vAlign w:val="top"/>
          </w:tcPr>
          <w:p>
            <w:pPr>
              <w:spacing w:after="40" w:before="0" w:line="259" w:lineRule="auto"/>
            </w:pPr>
            <w:r>
              <w:rPr>
                <w:rFonts w:ascii="Calibri" w:hAnsi="Calibri"/>
                <w:b w:val="0"/>
                <w:i w:val="0"/>
                <w:color w:val="212121"/>
                <w:sz w:val="16"/>
              </w:rPr>
              <w:t>Establishes clinical varicocele and Dubin–Amelar grade</w:t>
            </w:r>
          </w:p>
        </w:tc>
        <w:tc>
          <w:tcPr>
            <w:tcW w:type="dxa" w:w="1036"/>
            <w:vAlign w:val="top"/>
          </w:tcPr>
          <w:p>
            <w:pPr>
              <w:spacing w:after="40" w:before="0" w:line="259" w:lineRule="auto"/>
            </w:pPr>
            <w:r>
              <w:rPr>
                <w:rFonts w:ascii="Calibri" w:hAnsi="Calibri"/>
                <w:b w:val="0"/>
                <w:i w:val="0"/>
                <w:color w:val="212121"/>
                <w:sz w:val="16"/>
              </w:rPr>
              <w:t>All men being examined</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Examine in a warm room, standing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Supine re-examination</w:t>
            </w:r>
          </w:p>
        </w:tc>
        <w:tc>
          <w:tcPr>
            <w:tcW w:type="dxa" w:w="979"/>
            <w:vAlign w:val="top"/>
          </w:tcPr>
          <w:p>
            <w:pPr>
              <w:spacing w:after="40" w:before="0" w:line="259" w:lineRule="auto"/>
            </w:pPr>
            <w:r>
              <w:rPr>
                <w:rFonts w:ascii="Calibri" w:hAnsi="Calibri"/>
                <w:b w:val="0"/>
                <w:i w:val="0"/>
                <w:color w:val="212121"/>
                <w:sz w:val="16"/>
              </w:rPr>
              <w:t>Decompression of varicocele on lying down</w:t>
            </w:r>
          </w:p>
        </w:tc>
        <w:tc>
          <w:tcPr>
            <w:tcW w:type="dxa" w:w="950"/>
            <w:vAlign w:val="top"/>
          </w:tcPr>
          <w:p>
            <w:pPr>
              <w:spacing w:after="40" w:before="0" w:line="259" w:lineRule="auto"/>
            </w:pPr>
            <w:r>
              <w:rPr>
                <w:rFonts w:ascii="Calibri" w:hAnsi="Calibri"/>
                <w:b w:val="0"/>
                <w:i w:val="0"/>
                <w:color w:val="212121"/>
                <w:sz w:val="16"/>
              </w:rPr>
              <w:t>Empties when supine (primary)</w:t>
            </w:r>
          </w:p>
        </w:tc>
        <w:tc>
          <w:tcPr>
            <w:tcW w:type="dxa" w:w="950"/>
            <w:vAlign w:val="top"/>
          </w:tcPr>
          <w:p>
            <w:pPr>
              <w:spacing w:after="40" w:before="0" w:line="259" w:lineRule="auto"/>
            </w:pPr>
            <w:r>
              <w:rPr>
                <w:rFonts w:ascii="Calibri" w:hAnsi="Calibri"/>
                <w:b w:val="0"/>
                <w:i w:val="0"/>
                <w:color w:val="212121"/>
                <w:sz w:val="16"/>
              </w:rPr>
              <w:t>Persists supine (possible secondary)</w:t>
            </w:r>
          </w:p>
        </w:tc>
        <w:tc>
          <w:tcPr>
            <w:tcW w:type="dxa" w:w="1036"/>
            <w:vAlign w:val="top"/>
          </w:tcPr>
          <w:p>
            <w:pPr>
              <w:spacing w:after="40" w:before="0" w:line="259" w:lineRule="auto"/>
            </w:pPr>
            <w:r>
              <w:rPr>
                <w:rFonts w:ascii="Calibri" w:hAnsi="Calibri"/>
                <w:b w:val="0"/>
                <w:i w:val="0"/>
                <w:color w:val="212121"/>
                <w:sz w:val="16"/>
              </w:rPr>
              <w:t>Distinguishes primary from secondary varicocele</w:t>
            </w:r>
          </w:p>
        </w:tc>
        <w:tc>
          <w:tcPr>
            <w:tcW w:type="dxa" w:w="1036"/>
            <w:vAlign w:val="top"/>
          </w:tcPr>
          <w:p>
            <w:pPr>
              <w:spacing w:after="40" w:before="0" w:line="259" w:lineRule="auto"/>
            </w:pPr>
            <w:r>
              <w:rPr>
                <w:rFonts w:ascii="Calibri" w:hAnsi="Calibri"/>
                <w:b w:val="0"/>
                <w:i w:val="0"/>
                <w:color w:val="212121"/>
                <w:sz w:val="16"/>
              </w:rPr>
              <w:t>All men with a varicocele</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Non-decompression triggers abdominal imaging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Testicular size &amp; consistency</w:t>
            </w:r>
          </w:p>
        </w:tc>
        <w:tc>
          <w:tcPr>
            <w:tcW w:type="dxa" w:w="979"/>
            <w:vAlign w:val="top"/>
          </w:tcPr>
          <w:p>
            <w:pPr>
              <w:spacing w:after="40" w:before="0" w:line="259" w:lineRule="auto"/>
            </w:pPr>
            <w:r>
              <w:rPr>
                <w:rFonts w:ascii="Calibri" w:hAnsi="Calibri"/>
                <w:b w:val="0"/>
                <w:i w:val="0"/>
                <w:color w:val="212121"/>
                <w:sz w:val="16"/>
              </w:rPr>
              <w:t>Ipsilateral testicular volume / asymmetry</w:t>
            </w:r>
          </w:p>
        </w:tc>
        <w:tc>
          <w:tcPr>
            <w:tcW w:type="dxa" w:w="950"/>
            <w:vAlign w:val="top"/>
          </w:tcPr>
          <w:p>
            <w:pPr>
              <w:spacing w:after="40" w:before="0" w:line="259" w:lineRule="auto"/>
            </w:pPr>
            <w:r>
              <w:rPr>
                <w:rFonts w:ascii="Calibri" w:hAnsi="Calibri"/>
                <w:b w:val="0"/>
                <w:i w:val="0"/>
                <w:color w:val="212121"/>
                <w:sz w:val="16"/>
              </w:rPr>
              <w:t>Symmetric, normal volume</w:t>
            </w:r>
          </w:p>
        </w:tc>
        <w:tc>
          <w:tcPr>
            <w:tcW w:type="dxa" w:w="950"/>
            <w:vAlign w:val="top"/>
          </w:tcPr>
          <w:p>
            <w:pPr>
              <w:spacing w:after="40" w:before="0" w:line="259" w:lineRule="auto"/>
            </w:pPr>
            <w:r>
              <w:rPr>
                <w:rFonts w:ascii="Calibri" w:hAnsi="Calibri"/>
                <w:b w:val="0"/>
                <w:i w:val="0"/>
                <w:color w:val="212121"/>
                <w:sz w:val="16"/>
              </w:rPr>
              <w:t>Ipsilateral hypotrophy / soft testis</w:t>
            </w:r>
          </w:p>
        </w:tc>
        <w:tc>
          <w:tcPr>
            <w:tcW w:type="dxa" w:w="1036"/>
            <w:vAlign w:val="top"/>
          </w:tcPr>
          <w:p>
            <w:pPr>
              <w:spacing w:after="40" w:before="0" w:line="259" w:lineRule="auto"/>
            </w:pPr>
            <w:r>
              <w:rPr>
                <w:rFonts w:ascii="Calibri" w:hAnsi="Calibri"/>
                <w:b w:val="0"/>
                <w:i w:val="0"/>
                <w:color w:val="212121"/>
                <w:sz w:val="16"/>
              </w:rPr>
              <w:t>Hypotrophy indicates varicocele impact and supports repair</w:t>
            </w:r>
          </w:p>
        </w:tc>
        <w:tc>
          <w:tcPr>
            <w:tcW w:type="dxa" w:w="1036"/>
            <w:vAlign w:val="top"/>
          </w:tcPr>
          <w:p>
            <w:pPr>
              <w:spacing w:after="40" w:before="0" w:line="259" w:lineRule="auto"/>
            </w:pPr>
            <w:r>
              <w:rPr>
                <w:rFonts w:ascii="Calibri" w:hAnsi="Calibri"/>
                <w:b w:val="0"/>
                <w:i w:val="0"/>
                <w:color w:val="212121"/>
                <w:sz w:val="16"/>
              </w:rPr>
              <w:t>Adolescents, subfertile 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Use orchidometer or ultrasound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Relatives with varicocele / varicose veins</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First-degree relative affected</w:t>
            </w:r>
          </w:p>
        </w:tc>
        <w:tc>
          <w:tcPr>
            <w:tcW w:type="dxa" w:w="1036"/>
            <w:vAlign w:val="top"/>
          </w:tcPr>
          <w:p>
            <w:pPr>
              <w:spacing w:after="40" w:before="0" w:line="259" w:lineRule="auto"/>
            </w:pPr>
            <w:r>
              <w:rPr>
                <w:rFonts w:ascii="Calibri" w:hAnsi="Calibri"/>
                <w:b w:val="0"/>
                <w:i w:val="0"/>
                <w:color w:val="212121"/>
                <w:sz w:val="16"/>
              </w:rPr>
              <w:t>Supports inherited venous predisposition</w:t>
            </w:r>
          </w:p>
        </w:tc>
        <w:tc>
          <w:tcPr>
            <w:tcW w:type="dxa" w:w="1036"/>
            <w:vAlign w:val="top"/>
          </w:tcPr>
          <w:p>
            <w:pPr>
              <w:spacing w:after="40" w:before="0" w:line="259" w:lineRule="auto"/>
            </w:pPr>
            <w:r>
              <w:rPr>
                <w:rFonts w:ascii="Calibri" w:hAnsi="Calibri"/>
                <w:b w:val="0"/>
                <w:i w:val="0"/>
                <w:color w:val="212121"/>
                <w:sz w:val="16"/>
              </w:rPr>
              <w:t>Men with a positive family history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Ask about leg varicose veins too</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Asymptomatic (incidental finding)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Most varicoceles cause no symptoms and are found on routine examination or infertility work-up.</w:t>
            </w:r>
          </w:p>
        </w:tc>
      </w:tr>
      <w:tr>
        <w:trPr>
          <w:cantSplit/>
        </w:trPr>
        <w:tc>
          <w:tcPr>
            <w:tcW w:type="dxa" w:w="2304"/>
            <w:vAlign w:val="top"/>
          </w:tcPr>
          <w:p>
            <w:pPr>
              <w:spacing w:after="40" w:before="0" w:line="259" w:lineRule="auto"/>
            </w:pPr>
            <w:r>
              <w:rPr>
                <w:rFonts w:ascii="Calibri" w:hAnsi="Calibri"/>
                <w:b/>
                <w:i w:val="0"/>
                <w:color w:val="212121"/>
                <w:sz w:val="19"/>
              </w:rPr>
              <w:t>Difficulty conceiving / infertility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the presenting concern; varicocele impairs sperm count, motility and morphology.</w:t>
            </w:r>
          </w:p>
        </w:tc>
      </w:tr>
      <w:tr>
        <w:trPr>
          <w:cantSplit/>
        </w:trPr>
        <w:tc>
          <w:tcPr>
            <w:tcW w:type="dxa" w:w="2304"/>
            <w:vAlign w:val="top"/>
          </w:tcPr>
          <w:p>
            <w:pPr>
              <w:spacing w:after="40" w:before="0" w:line="259" w:lineRule="auto"/>
            </w:pPr>
            <w:r>
              <w:rPr>
                <w:rFonts w:ascii="Calibri" w:hAnsi="Calibri"/>
                <w:b/>
                <w:i w:val="0"/>
                <w:color w:val="212121"/>
                <w:sz w:val="19"/>
              </w:rPr>
              <w:t>Dull, dragging scrotal or groin 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or throbbing discomfort, typically worse through the day and on exertion (about 2–10% of men).</w:t>
            </w:r>
          </w:p>
        </w:tc>
      </w:tr>
      <w:tr>
        <w:trPr>
          <w:cantSplit/>
        </w:trPr>
        <w:tc>
          <w:tcPr>
            <w:tcW w:type="dxa" w:w="2304"/>
            <w:vAlign w:val="top"/>
          </w:tcPr>
          <w:p>
            <w:pPr>
              <w:spacing w:after="40" w:before="0" w:line="259" w:lineRule="auto"/>
            </w:pPr>
            <w:r>
              <w:rPr>
                <w:rFonts w:ascii="Calibri" w:hAnsi="Calibri"/>
                <w:b/>
                <w:i w:val="0"/>
                <w:color w:val="212121"/>
                <w:sz w:val="19"/>
              </w:rPr>
              <w:t>Scrotal heaviness worse on standing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sensation of fullness or weight that increases on standing and is relieved by lying down.</w:t>
            </w:r>
          </w:p>
        </w:tc>
      </w:tr>
      <w:tr>
        <w:trPr>
          <w:cantSplit/>
        </w:trPr>
        <w:tc>
          <w:tcPr>
            <w:tcW w:type="dxa" w:w="2304"/>
            <w:vAlign w:val="top"/>
          </w:tcPr>
          <w:p>
            <w:pPr>
              <w:spacing w:after="40" w:before="0" w:line="259" w:lineRule="auto"/>
            </w:pPr>
            <w:r>
              <w:rPr>
                <w:rFonts w:ascii="Calibri" w:hAnsi="Calibri"/>
                <w:b/>
                <w:i w:val="0"/>
                <w:color w:val="212121"/>
                <w:sz w:val="19"/>
              </w:rPr>
              <w:t>Palpable scrotal swelling / lump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patient may notice soft, worm-like veins, most often on the left side of the scrotum.</w:t>
            </w:r>
          </w:p>
        </w:tc>
      </w:tr>
      <w:tr>
        <w:trPr>
          <w:cantSplit/>
        </w:trPr>
        <w:tc>
          <w:tcPr>
            <w:tcW w:type="dxa" w:w="2304"/>
            <w:vAlign w:val="top"/>
          </w:tcPr>
          <w:p>
            <w:pPr>
              <w:spacing w:after="40" w:before="0" w:line="259" w:lineRule="auto"/>
            </w:pPr>
            <w:r>
              <w:rPr>
                <w:rFonts w:ascii="Calibri" w:hAnsi="Calibri"/>
                <w:b/>
                <w:i w:val="0"/>
                <w:color w:val="212121"/>
                <w:sz w:val="19"/>
              </w:rPr>
              <w:t>Visible dilated scrotal veins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 large (grade 3) varicoceles the tortuous veins are visible through the scrotal skin.</w:t>
            </w:r>
          </w:p>
        </w:tc>
      </w:tr>
      <w:tr>
        <w:trPr>
          <w:cantSplit/>
        </w:trPr>
        <w:tc>
          <w:tcPr>
            <w:tcW w:type="dxa" w:w="2304"/>
            <w:vAlign w:val="top"/>
          </w:tcPr>
          <w:p>
            <w:pPr>
              <w:spacing w:after="40" w:before="0" w:line="259" w:lineRule="auto"/>
            </w:pPr>
            <w:r>
              <w:rPr>
                <w:rFonts w:ascii="Calibri" w:hAnsi="Calibri"/>
                <w:b/>
                <w:i w:val="0"/>
                <w:color w:val="212121"/>
                <w:sz w:val="19"/>
              </w:rPr>
              <w:t>Noticed asymmetry / smaller testis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Especially in adolescents, the affected testis may appear or feel smaller.</w:t>
            </w:r>
          </w:p>
        </w:tc>
      </w:tr>
      <w:tr>
        <w:trPr>
          <w:cantSplit/>
        </w:trPr>
        <w:tc>
          <w:tcPr>
            <w:tcW w:type="dxa" w:w="2304"/>
            <w:vAlign w:val="top"/>
          </w:tcPr>
          <w:p>
            <w:pPr>
              <w:spacing w:after="40" w:before="0" w:line="259" w:lineRule="auto"/>
            </w:pPr>
            <w:r>
              <w:rPr>
                <w:rFonts w:ascii="Calibri" w:hAnsi="Calibri"/>
                <w:b/>
                <w:i w:val="0"/>
                <w:color w:val="212121"/>
                <w:sz w:val="19"/>
              </w:rPr>
              <w:t>Reduced libido / hypogonadal symptoms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Fatigue, low mood and low sex drive can accompany varicocele-related low testosterone.</w:t>
            </w:r>
          </w:p>
        </w:tc>
      </w:tr>
      <w:tr>
        <w:trPr>
          <w:cantSplit/>
        </w:trPr>
        <w:tc>
          <w:tcPr>
            <w:tcW w:type="dxa" w:w="2304"/>
            <w:vAlign w:val="top"/>
          </w:tcPr>
          <w:p>
            <w:pPr>
              <w:spacing w:after="40" w:before="0" w:line="259" w:lineRule="auto"/>
            </w:pPr>
            <w:r>
              <w:rPr>
                <w:rFonts w:ascii="Calibri" w:hAnsi="Calibri"/>
                <w:b/>
                <w:i w:val="0"/>
                <w:color w:val="212121"/>
                <w:sz w:val="19"/>
              </w:rPr>
              <w:t>Sharp or acute scrotal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Uncommon; sudden severe pain warrants exclusion of other scrotal pathology (e.g. torsion).</w:t>
            </w:r>
          </w:p>
        </w:tc>
      </w:tr>
      <w:tr>
        <w:trPr>
          <w:cantSplit/>
        </w:trPr>
        <w:tc>
          <w:tcPr>
            <w:tcW w:type="dxa" w:w="2304"/>
            <w:vAlign w:val="top"/>
          </w:tcPr>
          <w:p>
            <w:pPr>
              <w:spacing w:after="40" w:before="0" w:line="259" w:lineRule="auto"/>
            </w:pPr>
            <w:r>
              <w:rPr>
                <w:rFonts w:ascii="Calibri" w:hAnsi="Calibri"/>
                <w:b/>
                <w:i w:val="0"/>
                <w:color w:val="212121"/>
                <w:sz w:val="19"/>
              </w:rPr>
              <w:t>Flank pain / haematuria with the varicocele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a secondary varicocele from an underlying renal or retroperitoneal mass.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Palpable ‘bag of worms’ in the spermatic cord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Soft, compressible dilated veins felt above and around the testis, most often on the left.</w:t>
            </w:r>
          </w:p>
        </w:tc>
      </w:tr>
      <w:tr>
        <w:trPr>
          <w:cantSplit/>
        </w:trPr>
        <w:tc>
          <w:tcPr>
            <w:tcW w:type="dxa" w:w="3456"/>
            <w:vAlign w:val="top"/>
          </w:tcPr>
          <w:p>
            <w:pPr>
              <w:spacing w:after="40" w:before="0" w:line="259" w:lineRule="auto"/>
            </w:pPr>
            <w:r>
              <w:rPr>
                <w:rFonts w:ascii="Calibri" w:hAnsi="Calibri"/>
                <w:b/>
                <w:i w:val="0"/>
                <w:color w:val="212121"/>
                <w:sz w:val="19"/>
              </w:rPr>
              <w:t>Enlargement / impulse on Valsalva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plexus distends and a venous impulse is felt when the standing patient performs a Valsalva manoeuvre.</w:t>
            </w:r>
          </w:p>
        </w:tc>
      </w:tr>
      <w:tr>
        <w:trPr>
          <w:cantSplit/>
        </w:trPr>
        <w:tc>
          <w:tcPr>
            <w:tcW w:type="dxa" w:w="3456"/>
            <w:vAlign w:val="top"/>
          </w:tcPr>
          <w:p>
            <w:pPr>
              <w:spacing w:after="40" w:before="0" w:line="259" w:lineRule="auto"/>
            </w:pPr>
            <w:r>
              <w:rPr>
                <w:rFonts w:ascii="Calibri" w:hAnsi="Calibri"/>
                <w:b/>
                <w:i w:val="0"/>
                <w:color w:val="212121"/>
                <w:sz w:val="19"/>
              </w:rPr>
              <w:t>Decompression when supine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primary varicocele empties and becomes impalpable on lying down.</w:t>
            </w:r>
          </w:p>
        </w:tc>
      </w:tr>
      <w:tr>
        <w:trPr>
          <w:cantSplit/>
        </w:trPr>
        <w:tc>
          <w:tcPr>
            <w:tcW w:type="dxa" w:w="3456"/>
            <w:vAlign w:val="top"/>
          </w:tcPr>
          <w:p>
            <w:pPr>
              <w:spacing w:after="40" w:before="0" w:line="259" w:lineRule="auto"/>
            </w:pPr>
            <w:r>
              <w:rPr>
                <w:rFonts w:ascii="Calibri" w:hAnsi="Calibri"/>
                <w:b/>
                <w:i w:val="0"/>
                <w:color w:val="212121"/>
                <w:sz w:val="19"/>
              </w:rPr>
              <w:t>Left-sided predominance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Around 90% are left-sided owing to left testicular-vein anatomy.</w:t>
            </w:r>
          </w:p>
        </w:tc>
      </w:tr>
      <w:tr>
        <w:trPr>
          <w:cantSplit/>
        </w:trPr>
        <w:tc>
          <w:tcPr>
            <w:tcW w:type="dxa" w:w="3456"/>
            <w:vAlign w:val="top"/>
          </w:tcPr>
          <w:p>
            <w:pPr>
              <w:spacing w:after="40" w:before="0" w:line="259" w:lineRule="auto"/>
            </w:pPr>
            <w:r>
              <w:rPr>
                <w:rFonts w:ascii="Calibri" w:hAnsi="Calibri"/>
                <w:b/>
                <w:i w:val="0"/>
                <w:color w:val="212121"/>
                <w:sz w:val="19"/>
              </w:rPr>
              <w:t>Ipsilateral testicular hypotrophy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smaller, softer affected testis (≥ 20% or ≥ 2 mL volume loss), important in adolescents.</w:t>
            </w:r>
          </w:p>
        </w:tc>
      </w:tr>
      <w:tr>
        <w:trPr>
          <w:cantSplit/>
        </w:trPr>
        <w:tc>
          <w:tcPr>
            <w:tcW w:type="dxa" w:w="3456"/>
            <w:vAlign w:val="top"/>
          </w:tcPr>
          <w:p>
            <w:pPr>
              <w:spacing w:after="40" w:before="0" w:line="259" w:lineRule="auto"/>
            </w:pPr>
            <w:r>
              <w:rPr>
                <w:rFonts w:ascii="Calibri" w:hAnsi="Calibri"/>
                <w:b/>
                <w:i w:val="0"/>
                <w:color w:val="212121"/>
                <w:sz w:val="19"/>
              </w:rPr>
              <w:t>Visible tortuous veins through scrotal skin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Characteristic of large, grade-3 disease.</w:t>
            </w:r>
          </w:p>
        </w:tc>
      </w:tr>
      <w:tr>
        <w:trPr>
          <w:cantSplit/>
        </w:trPr>
        <w:tc>
          <w:tcPr>
            <w:tcW w:type="dxa" w:w="3456"/>
            <w:vAlign w:val="top"/>
          </w:tcPr>
          <w:p>
            <w:pPr>
              <w:spacing w:after="40" w:before="0" w:line="259" w:lineRule="auto"/>
            </w:pPr>
            <w:r>
              <w:rPr>
                <w:rFonts w:ascii="Calibri" w:hAnsi="Calibri"/>
                <w:b/>
                <w:i w:val="0"/>
                <w:color w:val="212121"/>
                <w:sz w:val="19"/>
              </w:rPr>
              <w:t>Colour-Doppler venous reflux ≥ 2–3 mm veins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Dilated pampiniform veins with reflux &gt; 1 s on Valsalva on ultrasound.</w:t>
            </w:r>
          </w:p>
        </w:tc>
      </w:tr>
      <w:tr>
        <w:trPr>
          <w:cantSplit/>
        </w:trPr>
        <w:tc>
          <w:tcPr>
            <w:tcW w:type="dxa" w:w="3456"/>
            <w:vAlign w:val="top"/>
          </w:tcPr>
          <w:p>
            <w:pPr>
              <w:spacing w:after="40" w:before="0" w:line="259" w:lineRule="auto"/>
            </w:pPr>
            <w:r>
              <w:rPr>
                <w:rFonts w:ascii="Calibri" w:hAnsi="Calibri"/>
                <w:b/>
                <w:i w:val="0"/>
                <w:color w:val="212121"/>
                <w:sz w:val="19"/>
              </w:rPr>
              <w:t>Abnormal semen ‘stress pattern’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Oligo-astheno-teratozoospermia on semen analysis — the commonest laboratory sign.</w:t>
            </w:r>
          </w:p>
        </w:tc>
      </w:tr>
      <w:tr>
        <w:trPr>
          <w:cantSplit/>
        </w:trPr>
        <w:tc>
          <w:tcPr>
            <w:tcW w:type="dxa" w:w="3456"/>
            <w:vAlign w:val="top"/>
          </w:tcPr>
          <w:p>
            <w:pPr>
              <w:spacing w:after="40" w:before="0" w:line="259" w:lineRule="auto"/>
            </w:pPr>
            <w:r>
              <w:rPr>
                <w:rFonts w:ascii="Calibri" w:hAnsi="Calibri"/>
                <w:b/>
                <w:i w:val="0"/>
                <w:color w:val="212121"/>
                <w:sz w:val="19"/>
              </w:rPr>
              <w:t>Failure to decompress supine / isolated right varicocele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Red-flag sign suggesting a secondary cause requiring abdominal imaging.</w:t>
            </w:r>
          </w:p>
        </w:tc>
      </w:tr>
      <w:tr>
        <w:trPr>
          <w:cantSplit/>
        </w:trPr>
        <w:tc>
          <w:tcPr>
            <w:tcW w:type="dxa" w:w="3456"/>
            <w:vAlign w:val="top"/>
          </w:tcPr>
          <w:p>
            <w:pPr>
              <w:spacing w:after="40" w:before="0" w:line="259" w:lineRule="auto"/>
            </w:pPr>
            <w:r>
              <w:rPr>
                <w:rFonts w:ascii="Calibri" w:hAnsi="Calibri"/>
                <w:b/>
                <w:i w:val="0"/>
                <w:color w:val="212121"/>
                <w:sz w:val="19"/>
              </w:rPr>
              <w:t>Signs of hypogonadism</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Reduced virilisation or low-testosterone features in longstanding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dull scrotal / groin pain and heaviness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venous stasis and scrotal fullness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Ipsilateral testicular hypotrophy (impaired growth in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Raised intrascrotal temperature</w:t>
            </w:r>
          </w:p>
        </w:tc>
        <w:tc>
          <w:tcPr>
            <w:tcW w:type="dxa" w:w="2980"/>
            <w:vAlign w:val="top"/>
          </w:tcPr>
          <w:p>
            <w:pPr>
              <w:spacing w:after="40" w:before="0" w:line="259" w:lineRule="auto"/>
            </w:pPr>
            <w:r>
              <w:rPr>
                <w:rFonts w:ascii="Calibri" w:hAnsi="Calibri"/>
                <w:b w:val="0"/>
                <w:i w:val="0"/>
                <w:color w:val="212121"/>
                <w:sz w:val="19"/>
              </w:rPr>
              <w:t>Direct local effects of venous reflux, pooling and heat within the pampiniform plexus.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spermatogenesis — oligo-astheno-teratozoospermia (‘stress pattern’)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Elevated sperm DNA fragmentation and seminal oxidative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Leydig-cell dysfunction with declining testosterone (hypogonadism)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higher grade or bilateral involvement</w:t>
            </w:r>
          </w:p>
        </w:tc>
        <w:tc>
          <w:tcPr>
            <w:tcW w:type="dxa" w:w="2980"/>
            <w:vAlign w:val="top"/>
          </w:tcPr>
          <w:p>
            <w:pPr>
              <w:spacing w:after="40" w:before="0" w:line="259" w:lineRule="auto"/>
            </w:pPr>
            <w:r>
              <w:rPr>
                <w:rFonts w:ascii="Calibri" w:hAnsi="Calibri"/>
                <w:b w:val="0"/>
                <w:i w:val="0"/>
                <w:color w:val="212121"/>
                <w:sz w:val="19"/>
              </w:rPr>
              <w:t>Consequences of sustained heat, hypoxia and oxidative stress on germ cells and Leydig cells.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Male-factor infertility / subfertility requiring assisted reproduction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hypogonadism (fatigue, low libido,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Testicular atrophy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Psychological distress and relationship strain from infertility and chronic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Post-varicocelectomy complications — hydrocele (up to ~5%) and recurrence (up to ~10%)</w:t>
            </w:r>
          </w:p>
        </w:tc>
        <w:tc>
          <w:tcPr>
            <w:tcW w:type="dxa" w:w="2980"/>
            <w:vAlign w:val="top"/>
          </w:tcPr>
          <w:p>
            <w:pPr>
              <w:spacing w:after="40" w:before="0" w:line="259" w:lineRule="auto"/>
            </w:pPr>
            <w:r>
              <w:rPr>
                <w:rFonts w:ascii="Calibri" w:hAnsi="Calibri"/>
                <w:b w:val="0"/>
                <w:i w:val="0"/>
                <w:color w:val="212121"/>
                <w:sz w:val="19"/>
              </w:rPr>
              <w:t>Long-term, disabling outcomes of longstanding disease or of its treatment.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Male infertility / subfertility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Varicocele is the most common correctable cause of male infertility; reflux-driven heat and oxidative stress degrade semen quality, and repair improves parameters in ~70% and conception in 40–60% of couples.</w:t>
            </w:r>
          </w:p>
          <w:p>
            <w:pPr>
              <w:spacing w:after="40" w:before="0" w:line="259" w:lineRule="auto"/>
            </w:pPr>
            <w:r>
              <w:rPr>
                <w:rFonts w:ascii="Calibri" w:hAnsi="Calibri"/>
                <w:b/>
                <w:i w:val="0"/>
                <w:color w:val="212121"/>
                <w:sz w:val="19"/>
              </w:rPr>
              <w:t>~35–40% of infertile men</w:t>
            </w:r>
          </w:p>
        </w:tc>
      </w:tr>
      <w:tr>
        <w:trPr>
          <w:cantSplit/>
        </w:trPr>
        <w:tc>
          <w:tcPr>
            <w:tcW w:type="dxa" w:w="2232"/>
            <w:vAlign w:val="top"/>
          </w:tcPr>
          <w:p>
            <w:pPr>
              <w:spacing w:after="40" w:before="0" w:line="259" w:lineRule="auto"/>
            </w:pPr>
            <w:r>
              <w:rPr>
                <w:rFonts w:ascii="Calibri" w:hAnsi="Calibri"/>
                <w:b/>
                <w:i w:val="0"/>
                <w:color w:val="212121"/>
                <w:sz w:val="19"/>
              </w:rPr>
              <w:t>Oligo-astheno-teratozoospermia (abnormal semen)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The classic ‘stress pattern’ of low count, poor motility and abnormal morphology is the commonest laboratory consequence of varicocele.</w:t>
            </w:r>
          </w:p>
        </w:tc>
      </w:tr>
      <w:tr>
        <w:trPr>
          <w:cantSplit/>
        </w:trPr>
        <w:tc>
          <w:tcPr>
            <w:tcW w:type="dxa" w:w="2232"/>
            <w:vAlign w:val="top"/>
          </w:tcPr>
          <w:p>
            <w:pPr>
              <w:spacing w:after="40" w:before="0" w:line="259" w:lineRule="auto"/>
            </w:pPr>
            <w:r>
              <w:rPr>
                <w:rFonts w:ascii="Calibri" w:hAnsi="Calibri"/>
                <w:b/>
                <w:i w:val="0"/>
                <w:color w:val="212121"/>
                <w:sz w:val="19"/>
              </w:rPr>
              <w:t>Elevated sperm DNA fragmentation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Oxidative stress from venous pooling damages sperm DNA, raising the fragmentation index and lowering natural and assisted-conception success.</w:t>
            </w:r>
          </w:p>
        </w:tc>
      </w:tr>
      <w:tr>
        <w:trPr>
          <w:cantSplit/>
        </w:trPr>
        <w:tc>
          <w:tcPr>
            <w:tcW w:type="dxa" w:w="2232"/>
            <w:vAlign w:val="top"/>
          </w:tcPr>
          <w:p>
            <w:pPr>
              <w:spacing w:after="40" w:before="0" w:line="259" w:lineRule="auto"/>
            </w:pPr>
            <w:r>
              <w:rPr>
                <w:rFonts w:ascii="Calibri" w:hAnsi="Calibri"/>
                <w:b/>
                <w:i w:val="0"/>
                <w:color w:val="212121"/>
                <w:sz w:val="19"/>
              </w:rPr>
              <w:t>Testicular hypotrophy / atrophy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reflux can arrest ipsilateral testicular growth; a &gt; 20% volume differential is a key surgical indication in adolescents.</w:t>
            </w:r>
          </w:p>
        </w:tc>
      </w:tr>
      <w:tr>
        <w:trPr>
          <w:cantSplit/>
        </w:trPr>
        <w:tc>
          <w:tcPr>
            <w:tcW w:type="dxa" w:w="2232"/>
            <w:vAlign w:val="top"/>
          </w:tcPr>
          <w:p>
            <w:pPr>
              <w:spacing w:after="40" w:before="0" w:line="259" w:lineRule="auto"/>
            </w:pPr>
            <w:r>
              <w:rPr>
                <w:rFonts w:ascii="Calibri" w:hAnsi="Calibri"/>
                <w:b/>
                <w:i w:val="0"/>
                <w:color w:val="212121"/>
                <w:sz w:val="19"/>
              </w:rPr>
              <w:t>Hypogonadism / low testosterone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Varicocele impairs Leydig-cell steroidogenesis; total testosterone rises by a mean of ~107 ng/dL after repair, most in hypogonadal men — a bidirectional, management-relevant link.</w:t>
            </w:r>
          </w:p>
          <w:p>
            <w:pPr>
              <w:spacing w:after="40" w:before="0" w:line="259" w:lineRule="auto"/>
            </w:pPr>
            <w:r>
              <w:rPr>
                <w:rFonts w:ascii="Calibri" w:hAnsi="Calibri"/>
                <w:b/>
                <w:i w:val="0"/>
                <w:color w:val="212121"/>
                <w:sz w:val="19"/>
              </w:rPr>
              <w:t>Mean rise ~107 ng/dL post-repair</w:t>
            </w:r>
          </w:p>
        </w:tc>
      </w:tr>
      <w:tr>
        <w:trPr>
          <w:cantSplit/>
        </w:trPr>
        <w:tc>
          <w:tcPr>
            <w:tcW w:type="dxa" w:w="2232"/>
            <w:vAlign w:val="top"/>
          </w:tcPr>
          <w:p>
            <w:pPr>
              <w:spacing w:after="40" w:before="0" w:line="259" w:lineRule="auto"/>
            </w:pPr>
            <w:r>
              <w:rPr>
                <w:rFonts w:ascii="Calibri" w:hAnsi="Calibri"/>
                <w:b/>
                <w:i w:val="0"/>
                <w:color w:val="212121"/>
                <w:sz w:val="19"/>
              </w:rPr>
              <w:t>Erectile dysfunction / reduced libido</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Largely mediated by low testosterone, hypogonadal symptoms including low libido and erectile difficulty can accompany varicocele and may improve after repair.</w:t>
            </w:r>
          </w:p>
        </w:tc>
      </w:tr>
      <w:tr>
        <w:trPr>
          <w:cantSplit/>
        </w:trPr>
        <w:tc>
          <w:tcPr>
            <w:tcW w:type="dxa" w:w="2232"/>
            <w:vAlign w:val="top"/>
          </w:tcPr>
          <w:p>
            <w:pPr>
              <w:spacing w:after="40" w:before="0" w:line="259" w:lineRule="auto"/>
            </w:pPr>
            <w:r>
              <w:rPr>
                <w:rFonts w:ascii="Calibri" w:hAnsi="Calibri"/>
                <w:b/>
                <w:i w:val="0"/>
                <w:color w:val="212121"/>
                <w:sz w:val="19"/>
              </w:rPr>
              <w:t>Varicose veins / chronic venous insufficiency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Varicocele shares a valvular-incompetence, connective-tissue mechanism with leg varicose veins and other varicosities, which often coexist.</w:t>
            </w:r>
          </w:p>
        </w:tc>
      </w:tr>
      <w:tr>
        <w:trPr>
          <w:cantSplit/>
        </w:trPr>
        <w:tc>
          <w:tcPr>
            <w:tcW w:type="dxa" w:w="2232"/>
            <w:vAlign w:val="top"/>
          </w:tcPr>
          <w:p>
            <w:pPr>
              <w:spacing w:after="40" w:before="0" w:line="259" w:lineRule="auto"/>
            </w:pPr>
            <w:r>
              <w:rPr>
                <w:rFonts w:ascii="Calibri" w:hAnsi="Calibri"/>
                <w:b/>
                <w:i w:val="0"/>
                <w:color w:val="212121"/>
                <w:sz w:val="19"/>
              </w:rPr>
              <w:t>Retroperitoneal / renal tumour (secondary varicocele)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obstructing renal or retroperitoneal mass can cause a secondary varicocele; new, right-sided or non-decompressing varicocele mandates abdominal imaging.</w:t>
            </w:r>
          </w:p>
        </w:tc>
      </w:tr>
      <w:tr>
        <w:trPr>
          <w:cantSplit/>
        </w:trPr>
        <w:tc>
          <w:tcPr>
            <w:tcW w:type="dxa" w:w="2232"/>
            <w:vAlign w:val="top"/>
          </w:tcPr>
          <w:p>
            <w:pPr>
              <w:spacing w:after="40" w:before="0" w:line="259" w:lineRule="auto"/>
            </w:pPr>
            <w:r>
              <w:rPr>
                <w:rFonts w:ascii="Calibri" w:hAnsi="Calibri"/>
                <w:b/>
                <w:i w:val="0"/>
                <w:color w:val="212121"/>
                <w:sz w:val="19"/>
              </w:rPr>
              <w:t>Chronic scrotal pain syndrome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minority develop persistent aching scrotal pain that can affect daily function and, when refractory, is itself an indication for repair.</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 varicocele is like varicose veins of the scrotum, is usually harmless and often symptomless, and is most often found on the left side.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typical picture — a soft, worm-like scrotal swelling with a dull dragging ache or heaviness that is worse on standing or exertion and eases on lying down.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varicocele is the commonest treatable cause of male infertility, so seek a semen analysis and andrology review if conception is delayed.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prompt review for any new varicocele appearing in adulthood, one on the right side only, or one that does not disappear on lying flat, as these can rarely signal an abdominal problem.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adolescents, attend follow-up so that testicular growth can be monitored and repair considered if the affected testis lags in size.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surgery or embolisation (varicocelectomy) is offered mainly for a palpable varicocele with abnormal semen in a couple trying to conceive, for significant testicular growth arrest, or for troublesome pain — not for subclinical or asymptomatic disease with normal semen.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 boys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in infertility work-up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labourers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a family history</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correct lifting technique and avoid breath-holding (Valsalva) straining during heavy lifts and weight-training.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long periods of standing at work with position changes and short walks to relieve venous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supportive underwear or an athletic support during strenuous activity to reduce dragging discomfort.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and prevent chronic constipation and chronic cough, which raise intra-abdominal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generally active and maintain a healthy weight, while recognising that varicocele cannot always be prevented as it is largely anatomical.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Farmers and manual labourers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Weight-lifters and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a standing occupation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chronic straining</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an antioxidant-rich diet with plenty of fruit and vegetables to help counter the high seminal oxidative stress of varicocele.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zinc, selenium, folate and vitamins C and E, which support sperm quality (through food first).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clinician-guided antioxidant supplementation as an adjunct where sperm DNA fragmentation is high.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balanced diet and avoid excess ultra-processed food; keep a healthy but not extreme body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with clean, safe water as part of general reproductive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Subfertile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high sperm DNA fragmentation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abnormal semen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preparing for conception or ART</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healthy testosterone and semen quality.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and limit night-shift disruption where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chronic scrotal discomfort so that it does not fragment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late-evening screen time and caffeine to improve sleep quality.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Subfertile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chronic scrotal pain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it adds to varicocele-related oxidative sperm damage and worsens outcomes after varicocele repair.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(passive) smoke and other environmental toxins that impair sperm.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 brief counselling, quitlines and nicotine-replacement therapy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Time quitting well before planned conception or varicocelectomy, as spermatogenesis takes about 3 months to renew.</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Subfertile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planning varicocelectomy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intake, as heavy use lowers testosterone and impairs sperm production.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moderation as part of general reproductive and metabolic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combining heavy alcohol with smoking, which compounds oxidative sperm damage.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heavy alcohol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Subfertile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low testosterone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anxiety, low mood and relationship stress that infertility, chronic scrotal pain and low testosterone can cause.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varicocele is common and treatable, and that most men have an excellent prognosis — accurate information reduces distress and improves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(breathing, yoga, exercise and social support), which also support hormonal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counselling or psychosexual support where infertility or chronic pain is affecting the relationship or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the partner in fertility discussions and decision-making about varicocele repair.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varicocele-related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chronic scrotal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low testosterone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Couples in fertility care</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dfs.semanticscholar.org/6a5a/740bc20678db6f99148edecb6b7ff3077496.pdf" TargetMode="External"/><Relationship Id="rId10" Type="http://schemas.openxmlformats.org/officeDocument/2006/relationships/hyperlink" Target="https://emedicine.medscape.com/article/438591-overview" TargetMode="External"/><Relationship Id="rId11" Type="http://schemas.openxmlformats.org/officeDocument/2006/relationships/hyperlink" Target="https://www.mdpi.com/2673-396X/3/1/9" TargetMode="External"/><Relationship Id="rId12" Type="http://schemas.openxmlformats.org/officeDocument/2006/relationships/hyperlink" Target="https://www.ncbi.nlm.nih.gov/books/NBK448113/" TargetMode="External"/><Relationship Id="rId13" Type="http://schemas.openxmlformats.org/officeDocument/2006/relationships/hyperlink" Target="https://pubmed.ncbi.nlm.nih.gov/19515176/" TargetMode="External"/><Relationship Id="rId14" Type="http://schemas.openxmlformats.org/officeDocument/2006/relationships/hyperlink" Target="https://www.endovascularexpert.com/risk-factors-of-varicoceles/" TargetMode="External"/><Relationship Id="rId15" Type="http://schemas.openxmlformats.org/officeDocument/2006/relationships/hyperlink" Target="https://pubmed.ncbi.nlm.nih.gov/26276662/" TargetMode="External"/><Relationship Id="rId16" Type="http://schemas.openxmlformats.org/officeDocument/2006/relationships/hyperlink" Target="https://elearnrad.com/sarteschi-grading-of-varicoce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