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Spondylosis</w:t>
      </w:r>
    </w:p>
    <w:p>
      <w:pPr>
        <w:spacing w:before="0" w:after="160"/>
      </w:pPr>
      <w:r>
        <w:rPr>
          <w:rFonts w:ascii="Calibri" w:hAnsi="Calibri"/>
          <w:b/>
          <w:i w:val="0"/>
          <w:color w:val="212121"/>
          <w:sz w:val="22"/>
        </w:rPr>
        <w:t xml:space="preserve">AKA </w:t>
      </w:r>
      <w:r>
        <w:rPr>
          <w:rFonts w:ascii="Calibri" w:hAnsi="Calibri"/>
          <w:b w:val="0"/>
          <w:i w:val="0"/>
          <w:color w:val="212121"/>
          <w:sz w:val="22"/>
        </w:rPr>
        <w:t>i.e., Spinal osteoarthritis, Spinal osteoarthrosis, Degenerative spine disease, Degenerative disc disease (DDD), Osteoarthritis of the spine, Vertebral osteophytosis (bone spurs), Facet joint arthropathy, Reedh ki haddi ka ghisna (Hindi, lay term); regional forms: cervical spondylosis (neck), thoracic spondylosis (mid-back), lumbar spondylosis (low back)</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Spondylosis is a broad, umbrella term for the age-related degenerative ('wear-and-tear') changes of the spine - essentially osteoarthritis of the vertebral column. It involves dehydration and thinning of the intervertebral discs (degenerative disc disease), formation of bony spurs (osteophytes) at the vertebral margins, and osteoarthritis of the facet (zygapophyseal) joints, often with thickening of the ligamentum flavum. It can affect any region of the spine but is most common in the mobile cervical and lumbar segments and is frequently multilevel. Spondylosis is usually asymptomatic and is a near-universal radiographic finding with age; it becomes clinically important when it produces axial (mechanical) spinal pain or when osteophytes and disc/ligament changes narrow the spinal canal or neural foramina to compress nerve roots (radiculopathy), the cauda equina, or the spinal cord (cervical myelopathy).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Spondylosis is one of the most common structural conditions of the human spine and its radiographic footprint is near-universal with ageing: lumbar spondylosis is present in about 27-37% of asymptomatic people, in more than 80% of adults over 40 years, and radiographic cervical spondylosis rises from about 25% under 40 to roughly 85% over 60 and up to 95% by age 65. Around 57% of people aged 65 and older have facet-joint osteoarthritis, and over 50% of adults aged 40-59 already show thoracic spinal degeneration. In India, rheumatic and musculoskeletal disorders affect an estimated 25-30% of the population, and spine-related pain dominates the burden: an Indian systematic review and meta-analysis (97 studies) pooled the point prevalence of low back pain at 48%, annual prevalence at 51% and lifetime prevalence at 66%, highest in women, rural populations and manual ('elementary') workers. COPCORD community surveys in India report low back pain in about 12.6% of a rural population versus 4.6% urban, and neck pain in about 6.8% rural versus 1.9% urban, with the lumbar spine the second most commonly affected osteoarthritis site after the knee. Because degenerative changes are so common yet often silent, imaging findings must always be correlated with the clinical picture.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Spondylosis is primarily a clinical-radiological diagnosis, and the central principle is that degenerative changes are near-universal with age and correlate poorly with symptoms - so findings must be interpreted alongside the clinical picture. The essential first step is diagnostic triage into uncomplicated (axial/mechanical) spondylotic pain, spondylosis with nerve-root compression (radiculopathy), spondylosis with cord or cauda equina compression (myelopathy / neurogenic claudication), or serious/specific spinal pathology signalled by red flags: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Characterise the pain: region (cervical/thoracic/lumbar), duration (acute/subacute/chronic), radiation and pattern - spondylotic pain is typically a dull, deep mechanical ache worse with spinal extension, prolonged standing or activity and eased by rest or forward flexion, with morning stiffness that loosens on movement; unremitting night or rest pain is a warning feature.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 for RED FLAGS at every visit: significant trauma or osteoporosis and age over 65 (fragility fracture); history of cancer, unexplained weight loss or night pain (malignancy / metastasis); fever, IV drug use or immunosuppression (infection, including spinal tuberculosis / Pott's spine, very relevant in India); saddle anaesthesia, bilateral sciatica or bladder/bowel dysfunction (cauda equina syndrome - a surgical emergency); and hand clumsiness, gait imbalance or a positive Hoffmann/Babinski sign (cervical myelopathy).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Perform a focused neurological examination: dermatomal sensation, myotomal power and reflexes in the limbs to localise a nerve root; provocation tests such as the straight-leg-raise (lumbar radiculopathy) and Spurling's test (cervical radiculopathy); Kemp's test (combined extension and rotation reproducing facet-pattern pain); and long-tract signs (Hoffmann, hyperreflexia, clonus, gait) to detect myelopathy.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Do NOT image routinely: imaging is not indicated for acute, non-specific axial spinal pain without red flags, because osteophytes, disc-space narrowing and facet arthrosis are found in most asymptomatic adults. Reserve X-ray/MRI for red flags, significant trauma, progressive or severe neurological deficit, suspected myelopathy or cauda equina, or radicular pain failing 4-6 weeks of conservative care.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Use imaging to define the anatomy when indicated: plain radiographs (including flexion-extension views for instability/spondylolisthesis) show osteophytes, disc-space narrowing, facet sclerosis and alignment; MRI is the investigation of choice for disc herniation, foraminal or canal stenosis, cord compression, infection and tumour; and CT best shows bony detail, fracture and ossified posterior longitudinal ligament. Blood tests (ESR, CRP, full blood count) are added only when infection, malignancy or inflammatory disease is suspected, and a diagnostic medial-branch block confirming facet-mediated pain can guide targeted treatment.</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Spondylosis is described by the spinal region involved, by the anatomical structures degenerating, and - most usefully for management - by whether neural structures are compressed. The main frameworks are:</w:t>
      </w:r>
    </w:p>
    <w:p>
      <w:pPr>
        <w:spacing w:before="0" w:after="80"/>
      </w:pPr>
      <w:r>
        <w:rPr>
          <w:rFonts w:ascii="Calibri" w:hAnsi="Calibri"/>
          <w:b w:val="0"/>
          <w:i w:val="0"/>
          <w:color w:val="212121"/>
          <w:sz w:val="21"/>
        </w:rPr>
        <w:t>(1) By spinal region: cervical spondylosis (neck; the commonest symptomatic form and the usual background to cervical radiculopathy and myelopathy), thoracic spondylosis (mid-back; less mobile and less often symptomatic) and lumbar spondylosis (low back; the leading cause of chronic mechanical back pain). Multilevel and multiregional degeneration is common in older adults.</w:t>
      </w:r>
    </w:p>
    <w:p>
      <w:pPr>
        <w:spacing w:before="0" w:after="80"/>
      </w:pPr>
      <w:r>
        <w:rPr>
          <w:rFonts w:ascii="Calibri" w:hAnsi="Calibri"/>
          <w:b w:val="0"/>
          <w:i w:val="0"/>
          <w:color w:val="212121"/>
          <w:sz w:val="21"/>
        </w:rPr>
        <w:t>(2) By degenerating structure: degenerative disc disease (disc desiccation and loss of height, graded on MRI by the Pfirrmann system); vertebral osteophytosis (marginal bone spurs); facet (zygapophyseal) joint osteoarthritis, or facet arthropathy (graded radiologically, e.g. the Weishaupt scale); and ligamentum flavum hypertrophy - which together make up the 'degenerative motion segment'.</w:t>
      </w:r>
    </w:p>
    <w:p>
      <w:pPr>
        <w:spacing w:before="0" w:after="80"/>
      </w:pPr>
      <w:r>
        <w:rPr>
          <w:rFonts w:ascii="Calibri" w:hAnsi="Calibri"/>
          <w:b w:val="0"/>
          <w:i w:val="0"/>
          <w:color w:val="212121"/>
          <w:sz w:val="21"/>
        </w:rPr>
        <w:t>(3) Uncomplicated (axial) spondylosis - degenerative change producing mechanical neck, mid- or low-back pain without neurological compromise; this is by far the commonest presentation and is usually self-limiting and safe to manage conservatively once red flags are excluded.</w:t>
      </w:r>
    </w:p>
    <w:p>
      <w:pPr>
        <w:spacing w:before="0" w:after="80"/>
      </w:pPr>
      <w:r>
        <w:rPr>
          <w:rFonts w:ascii="Calibri" w:hAnsi="Calibri"/>
          <w:b w:val="0"/>
          <w:i w:val="0"/>
          <w:color w:val="212121"/>
          <w:sz w:val="21"/>
        </w:rPr>
        <w:t>(4) Spondylosis with radiculopathy - osteophytic or disc-related narrowing of a neural foramen compressing a nerve root, causing dermatomal limb pain, paraesthesia and weakness (e.g. sciatica from lumbar foraminal stenosis, or C6/C7 radiculopathy in the neck).</w:t>
      </w:r>
    </w:p>
    <w:p>
      <w:pPr>
        <w:spacing w:before="0" w:after="80"/>
      </w:pPr>
      <w:r>
        <w:rPr>
          <w:rFonts w:ascii="Calibri" w:hAnsi="Calibri"/>
          <w:b w:val="0"/>
          <w:i w:val="0"/>
          <w:color w:val="212121"/>
          <w:sz w:val="21"/>
        </w:rPr>
        <w:t>(5) Spondylosis with canal compromise - lumbar central canal stenosis causing neurogenic claudication (leg pain and heaviness on walking, relieved by sitting or bending forward), degenerative spondylolisthesis (slippage of one vertebra on another from facet and disc degeneration), cervical spondylotic myelopathy (spinal-cord compression), and, rarely, cauda equina syndrome - the compressive, potentially disabling end of the spectrum that may require surgical decompression.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Ageing and cumulative degeneration: Progressive dehydration of the intervertebral discs, loss of disc height, marginal osteophyte formation and facet-joint cartilage loss are the dominant, largely unavoidable driver; spondylosis is described as an inevitable concomitant of age and is near-universal on imaging after 60.</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Mechanical and occupational loading: Heavy manual labour, repeated lifting and bending, head-load carrying, prolonged awkward or static postures and whole-body vibration (e.g. long-distance driving) accelerate disc and facet degeneration - highly relevant in India's large manual and agricultural workforce.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Genetic predisposition: Susceptibility to intervertebral disc degeneration is strongly heritable (heritability estimated around 70%, polygenic with over 100 identified DNA variants), so family history and early-onset disc disease raise individual risk.</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Obesity and metabolic factors: Excess body weight, central adiposity and metabolic dysfunction increase axial spinal load and promote a low-grade inflammatory, pro-degenerative state in the disc and facet joints.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Smoking: Tobacco impairs the already precarious blood supply and nutrition of the avascular disc through vasoconstriction and reduced solute transport, accelerating disc degeneration and heightening pain sensitivity.</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Trauma and biomechanical predisposition: Previous spinal injury or fracture, congenital narrow canal, scoliosis and pre-existing spondylolysis focus abnormal load on motion segments and hasten degeneration.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Osteoporosis and post-menopausal change: Loss of bone density and oestrogen after menopause promote vertebral micro-fracture, altered load transfer and degenerative spondylolisthesis, contributing to the higher spine-pain burden in older women.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 ~30-50 years)</w:t>
            </w:r>
          </w:p>
        </w:tc>
        <w:tc>
          <w:tcPr>
            <w:tcW w:type="dxa" w:w="4276"/>
            <w:vAlign w:val="top"/>
          </w:tcPr>
          <w:p>
            <w:pPr>
              <w:spacing w:after="60" w:line="259" w:lineRule="auto"/>
            </w:pPr>
            <w:r>
              <w:rPr>
                <w:rFonts w:ascii="Calibri" w:hAnsi="Calibri"/>
                <w:b w:val="0"/>
                <w:i w:val="0"/>
                <w:color w:val="212121"/>
                <w:sz w:val="19"/>
              </w:rPr>
              <w:t>Disc degeneration begins early and the working-age spine bears cumulative occupational and postural load, so mechanical spondylotic pain becomes common in mid-adult life even though radiographic change may be modest. Most episodes are axial and mechanical, worse with activity and relieved by rest.</w:t>
            </w:r>
          </w:p>
          <w:p>
            <w:pPr>
              <w:spacing w:after="40" w:before="60" w:line="259" w:lineRule="auto"/>
            </w:pPr>
            <w:r>
              <w:rPr>
                <w:rFonts w:ascii="Calibri" w:hAnsi="Calibri"/>
                <w:b w:val="0"/>
                <w:i w:val="0"/>
                <w:color w:val="212121"/>
                <w:sz w:val="19"/>
              </w:rPr>
              <w:t>Lumbar spondylosis is present in about 3% of people aged 20-29 but in more than 80% of adults over 40, reflecting how early and steeply degeneration accumulates.</w:t>
            </w:r>
          </w:p>
          <w:p>
            <w:pPr>
              <w:spacing w:after="40" w:line="252" w:lineRule="auto"/>
            </w:pPr>
            <w:hyperlink r:id="rId9">
              <w:r>
                <w:rPr>
                  <w:rFonts w:ascii="Calibri" w:hAnsi="Calibri" w:cs="Calibri"/>
                  <w:sz w:val="18"/>
                  <w:color w:val="1155CC"/>
                  <w:u w:val="single"/>
                </w:rPr>
                <w:t xml:space="preserve">emedicine.medscape.com - lumbar spondylosis epidemiology</w:t>
              </w:r>
            </w:hyperlink>
          </w:p>
          <w:p>
            <w:pPr>
              <w:spacing w:before="60" w:after="40"/>
            </w:pPr>
            <w:r>
              <w:rPr>
                <w:rFonts w:ascii="Calibri" w:hAnsi="Calibri"/>
                <w:b w:val="0"/>
                <w:i w:val="0"/>
                <w:color w:val="5A5A5A"/>
                <w:sz w:val="18"/>
              </w:rPr>
              <w:t>#spondylosis  #discdegeneration  #workingage  #mechanicalpain  #osteophytes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(60+ years)</w:t>
            </w:r>
          </w:p>
        </w:tc>
        <w:tc>
          <w:tcPr>
            <w:tcW w:type="dxa" w:w="4276"/>
            <w:vAlign w:val="top"/>
          </w:tcPr>
          <w:p>
            <w:pPr>
              <w:spacing w:after="60" w:line="259" w:lineRule="auto"/>
            </w:pPr>
            <w:r>
              <w:rPr>
                <w:rFonts w:ascii="Calibri" w:hAnsi="Calibri"/>
                <w:b w:val="0"/>
                <w:i w:val="0"/>
                <w:color w:val="212121"/>
                <w:sz w:val="19"/>
              </w:rPr>
              <w:t>With age spondylosis becomes near-universal: discs desiccate, osteophytes enlarge, facet joints arthrose and the canal and foramina narrow, so older adults are prone to lumbar canal stenosis with neurogenic claudication, degenerative spondylolisthesis and cervical spondylotic myelopathy.</w:t>
            </w:r>
          </w:p>
          <w:p>
            <w:pPr>
              <w:spacing w:after="40" w:before="60" w:line="259" w:lineRule="auto"/>
            </w:pPr>
            <w:r>
              <w:rPr>
                <w:rFonts w:ascii="Calibri" w:hAnsi="Calibri"/>
                <w:b w:val="0"/>
                <w:i w:val="0"/>
                <w:color w:val="212121"/>
                <w:sz w:val="19"/>
              </w:rPr>
              <w:t>Radiographic cervical spondylosis reaches about 85% over 60 and ~95% by age 65, and around 57% of people aged 65+ have facet-joint osteoarthritis.</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#ageing  #spinalstenosis  #myelopathy  #facetarthritis  #degenerative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 (especially post-menopausal)</w:t>
            </w:r>
          </w:p>
        </w:tc>
        <w:tc>
          <w:tcPr>
            <w:tcW w:type="dxa" w:w="4276"/>
            <w:vAlign w:val="top"/>
          </w:tcPr>
          <w:p>
            <w:pPr>
              <w:spacing w:after="60" w:line="259" w:lineRule="auto"/>
            </w:pPr>
            <w:r>
              <w:rPr>
                <w:rFonts w:ascii="Calibri" w:hAnsi="Calibri"/>
                <w:b w:val="0"/>
                <w:i w:val="0"/>
                <w:color w:val="212121"/>
                <w:sz w:val="19"/>
              </w:rPr>
              <w:t>Women carry a higher spine-pain burden: oestrogen loss after menopause accelerates lumbar disc and facet degeneration and bone loss, and degenerative spondylolisthesis is distinctly more common in women, adding to chronic back pain and stenosis risk.</w:t>
            </w:r>
          </w:p>
          <w:p>
            <w:pPr>
              <w:spacing w:after="40" w:before="60" w:line="259" w:lineRule="auto"/>
            </w:pPr>
            <w:r>
              <w:rPr>
                <w:rFonts w:ascii="Calibri" w:hAnsi="Calibri"/>
                <w:b w:val="0"/>
                <w:i w:val="0"/>
                <w:color w:val="212121"/>
                <w:sz w:val="19"/>
              </w:rPr>
              <w:t>Indian data show low back pain is highest among women; degenerative spondylolisthesis in adults aged 65+ affects about 25% of women versus 19% of men (female-to-male ratio ~1.3:1, and ~2:1 among those seeking treatment).</w:t>
            </w:r>
          </w:p>
          <w:p>
            <w:pPr>
              <w:spacing w:after="40" w:line="252" w:lineRule="auto"/>
            </w:pPr>
            <w:hyperlink r:id="rId11">
              <w:r>
                <w:rPr>
                  <w:rFonts w:ascii="Calibri" w:hAnsi="Calibri" w:cs="Calibri"/>
                  <w:sz w:val="18"/>
                  <w:color w:val="1155CC"/>
                  <w:u w:val="single"/>
                </w:rPr>
                <w:t xml:space="preserve">arxiv.org - lumbar degenerative spondylolisthesis epidemiology</w:t>
              </w:r>
            </w:hyperlink>
          </w:p>
          <w:p>
            <w:pPr>
              <w:spacing w:before="60" w:after="40"/>
            </w:pPr>
            <w:r>
              <w:rPr>
                <w:rFonts w:ascii="Calibri" w:hAnsi="Calibri"/>
                <w:b w:val="0"/>
                <w:i w:val="0"/>
                <w:color w:val="5A5A5A"/>
                <w:sz w:val="18"/>
              </w:rPr>
              <w:t>#womenshealth  #postmenopausal  #spondylolisthesis  #estrogen  #sexdifference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 elementary and low-income workers</w:t>
            </w:r>
          </w:p>
        </w:tc>
        <w:tc>
          <w:tcPr>
            <w:tcW w:type="dxa" w:w="4276"/>
            <w:vAlign w:val="top"/>
          </w:tcPr>
          <w:p>
            <w:pPr>
              <w:spacing w:after="60" w:line="259" w:lineRule="auto"/>
            </w:pPr>
            <w:r>
              <w:rPr>
                <w:rFonts w:ascii="Calibri" w:hAnsi="Calibri"/>
                <w:b w:val="0"/>
                <w:i w:val="0"/>
                <w:color w:val="212121"/>
                <w:sz w:val="19"/>
              </w:rPr>
              <w:t>Physically demanding, low-control jobs with repeated lifting, bending, head-loading and sustained awkward postures concentrate spinal degeneration and pain in lower-income and informal occupations, where continuing to work through pain fuels chronicity and lost livelihood.</w:t>
            </w:r>
          </w:p>
          <w:p>
            <w:pPr>
              <w:spacing w:after="40" w:before="60" w:line="259" w:lineRule="auto"/>
            </w:pPr>
            <w:r>
              <w:rPr>
                <w:rFonts w:ascii="Calibri" w:hAnsi="Calibri"/>
                <w:b w:val="0"/>
                <w:i w:val="0"/>
                <w:color w:val="212121"/>
                <w:sz w:val="19"/>
              </w:rPr>
              <w:t>In the Indian low back pain meta-analysis, pooled prevalence was highest among women, rural populations and elementary (manual) workers, with an overall lifetime prevalence of 66%.</w:t>
            </w:r>
          </w:p>
          <w:p>
            <w:pPr>
              <w:spacing w:after="40" w:line="252" w:lineRule="auto"/>
            </w:pPr>
            <w:hyperlink r:id="rId12">
              <w:r>
                <w:rPr>
                  <w:rFonts w:ascii="Calibri" w:hAnsi="Calibri" w:cs="Calibri"/>
                  <w:sz w:val="18"/>
                  <w:color w:val="1155CC"/>
                  <w:u w:val="single"/>
                </w:rPr>
                <w:t xml:space="preserve">journals.sagepub.com (Work, 2022) - low back pain in India</w:t>
              </w:r>
            </w:hyperlink>
          </w:p>
          <w:p>
            <w:pPr>
              <w:spacing w:before="60" w:after="40"/>
            </w:pPr>
            <w:r>
              <w:rPr>
                <w:rFonts w:ascii="Calibri" w:hAnsi="Calibri"/>
                <w:b w:val="0"/>
                <w:i w:val="0"/>
                <w:color w:val="5A5A5A"/>
                <w:sz w:val="18"/>
              </w:rPr>
              <w:t>#manuallabour  #elementaryworkers  #lowincome  #occupational  #chronicity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Merge w:val="restart"/>
            <w:vAlign w:val="center"/>
          </w:tcPr>
          <w:p>
            <w:pPr>
              <w:spacing w:after="40"/>
            </w:pPr>
            <w:r>
              <w:rPr>
                <w:rFonts w:ascii="Calibri" w:hAnsi="Calibri"/>
                <w:b w:val="0"/>
                <w:i w:val="0"/>
                <w:color w:val="212121"/>
                <w:sz w:val="19"/>
              </w:rPr>
              <w:t>Region / setting</w:t>
            </w:r>
          </w:p>
        </w:tc>
        <w:tc>
          <w:tcPr>
            <w:tcW w:type="dxa" w:w="2160"/>
            <w:vAlign w:val="top"/>
          </w:tcPr>
          <w:p>
            <w:pPr>
              <w:spacing w:after="40" w:before="0" w:line="259" w:lineRule="auto"/>
            </w:pPr>
            <w:r>
              <w:rPr>
                <w:rFonts w:ascii="Calibri" w:hAnsi="Calibri"/>
                <w:b w:val="0"/>
                <w:i w:val="0"/>
                <w:color w:val="212121"/>
                <w:sz w:val="19"/>
              </w:rPr>
              <w:t>Rural &amp; agricultural / head-load carrying population</w:t>
            </w:r>
          </w:p>
        </w:tc>
        <w:tc>
          <w:tcPr>
            <w:tcW w:type="dxa" w:w="4276"/>
            <w:vAlign w:val="top"/>
          </w:tcPr>
          <w:p>
            <w:pPr>
              <w:spacing w:after="60" w:line="259" w:lineRule="auto"/>
            </w:pPr>
            <w:r>
              <w:rPr>
                <w:rFonts w:ascii="Calibri" w:hAnsi="Calibri"/>
                <w:b w:val="0"/>
                <w:i w:val="0"/>
                <w:color w:val="212121"/>
                <w:sz w:val="19"/>
              </w:rPr>
              <w:t>Rural livelihoods involve manual field work, repeated bending and lifting, and head-load carrying (water, fodder, firewood, farm produce) that axially load and degenerate the spine; rural women in particular combine heavy field and household labour.</w:t>
            </w:r>
          </w:p>
          <w:p>
            <w:pPr>
              <w:spacing w:after="40" w:before="60" w:line="259" w:lineRule="auto"/>
            </w:pPr>
            <w:r>
              <w:rPr>
                <w:rFonts w:ascii="Calibri" w:hAnsi="Calibri"/>
                <w:b w:val="0"/>
                <w:i w:val="0"/>
                <w:color w:val="212121"/>
                <w:sz w:val="19"/>
              </w:rPr>
              <w:t>COPCORD community surveys in India found low back pain in about 12.6% of a rural population versus 4.6% urban, with musculoskeletal pain prevalence up to ~30% in some rural areas.</w:t>
            </w:r>
          </w:p>
          <w:p>
            <w:pPr>
              <w:spacing w:after="40" w:line="252" w:lineRule="auto"/>
            </w:pPr>
            <w:hyperlink r:id="rId13">
              <w:r>
                <w:rPr>
                  <w:rFonts w:ascii="Calibri" w:hAnsi="Calibri" w:cs="Calibri"/>
                  <w:sz w:val="18"/>
                  <w:color w:val="1155CC"/>
                  <w:u w:val="single"/>
                </w:rPr>
                <w:t xml:space="preserve">journals.sagepub.com - Epidemiology of Rheumatic Diseases in India (COPCORD)</w:t>
              </w:r>
            </w:hyperlink>
          </w:p>
          <w:p>
            <w:pPr>
              <w:spacing w:before="60" w:after="40"/>
            </w:pPr>
            <w:r>
              <w:rPr>
                <w:rFonts w:ascii="Calibri" w:hAnsi="Calibri"/>
                <w:b w:val="0"/>
                <w:i w:val="0"/>
                <w:color w:val="5A5A5A"/>
                <w:sz w:val="18"/>
              </w:rPr>
              <w:t>#rural  #headloading  #agriculture  #axialload  #communityburden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Urban desk / IT and smartphone-using workforce</w:t>
            </w:r>
          </w:p>
        </w:tc>
        <w:tc>
          <w:tcPr>
            <w:tcW w:type="dxa" w:w="4276"/>
            <w:vAlign w:val="top"/>
          </w:tcPr>
          <w:p>
            <w:pPr>
              <w:spacing w:after="60" w:line="259" w:lineRule="auto"/>
            </w:pPr>
            <w:r>
              <w:rPr>
                <w:rFonts w:ascii="Calibri" w:hAnsi="Calibri"/>
                <w:b w:val="0"/>
                <w:i w:val="0"/>
                <w:color w:val="212121"/>
                <w:sz w:val="19"/>
              </w:rPr>
              <w:t>India's fast-growing urban office, IT and student population spends long hours seated in sustained flexed and forward-head postures over laptops and phones with little movement, deconditioning the trunk and driving mechanical cervical and lumbar spondylotic pain.</w:t>
            </w:r>
          </w:p>
          <w:p>
            <w:pPr>
              <w:spacing w:after="40" w:before="60" w:line="259" w:lineRule="auto"/>
            </w:pPr>
            <w:r>
              <w:rPr>
                <w:rFonts w:ascii="Calibri" w:hAnsi="Calibri"/>
                <w:b w:val="0"/>
                <w:i w:val="0"/>
                <w:color w:val="212121"/>
                <w:sz w:val="19"/>
              </w:rPr>
              <w:t>Neck pain and low back pain are markedly more common in urban Indian occupational cohorts than in the general rural population, and are rising with screen and smartphone use.</w:t>
            </w:r>
          </w:p>
          <w:p>
            <w:pPr>
              <w:spacing w:after="40" w:line="252" w:lineRule="auto"/>
            </w:pPr>
            <w:hyperlink r:id="rId13">
              <w:r>
                <w:rPr>
                  <w:rFonts w:ascii="Calibri" w:hAnsi="Calibri" w:cs="Calibri"/>
                  <w:sz w:val="18"/>
                  <w:color w:val="1155CC"/>
                  <w:u w:val="single"/>
                </w:rPr>
                <w:t xml:space="preserve">journals.sagepub.com - Epidemiology of Rheumatic Diseases in India</w:t>
              </w:r>
            </w:hyperlink>
          </w:p>
          <w:p>
            <w:pPr>
              <w:spacing w:before="60" w:after="40"/>
            </w:pPr>
            <w:r>
              <w:rPr>
                <w:rFonts w:ascii="Calibri" w:hAnsi="Calibri"/>
                <w:b w:val="0"/>
                <w:i w:val="0"/>
                <w:color w:val="5A5A5A"/>
                <w:sz w:val="18"/>
              </w:rPr>
              <w:t>#urban  #ITprofessionals  #sedentary  #forwardhead  #screentime</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Screen-bound office workers, students, drivers</w:t>
            </w:r>
          </w:p>
        </w:tc>
        <w:tc>
          <w:tcPr>
            <w:tcW w:type="dxa" w:w="4276"/>
            <w:vAlign w:val="top"/>
          </w:tcPr>
          <w:p>
            <w:pPr>
              <w:spacing w:after="60" w:line="259" w:lineRule="auto"/>
            </w:pPr>
            <w:r>
              <w:rPr>
                <w:rFonts w:ascii="Calibri" w:hAnsi="Calibri"/>
                <w:b w:val="0"/>
                <w:i w:val="0"/>
                <w:color w:val="212121"/>
                <w:sz w:val="19"/>
              </w:rPr>
              <w:t>Prolonged sitting and inactivity decondition the paraspinal, abdominal and gluteal muscles that protect the spine, increase static disc and facet loading, and are consistently linked to both the onset and persistence of spondylotic back and neck pain.</w:t>
            </w:r>
          </w:p>
          <w:p>
            <w:pPr>
              <w:spacing w:after="40" w:before="60" w:line="259" w:lineRule="auto"/>
            </w:pPr>
            <w:r>
              <w:rPr>
                <w:rFonts w:ascii="Calibri" w:hAnsi="Calibri"/>
                <w:b w:val="0"/>
                <w:i w:val="0"/>
                <w:color w:val="212121"/>
                <w:sz w:val="19"/>
              </w:rPr>
              <w:t>A sedentary lifestyle is a recognised modifiable risk factor for spinal osteoarthritis and predicts a poorer prognosis, with over 60% of people experiencing pain or recurrence at one year.</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#sedentary  #prolongedsitting  #deconditioning  #coreweakness  #recurrence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Physical loading (heavy manual work, vibration)</w:t>
            </w:r>
          </w:p>
        </w:tc>
        <w:tc>
          <w:tcPr>
            <w:tcW w:type="dxa" w:w="2160"/>
            <w:vAlign w:val="top"/>
          </w:tcPr>
          <w:p>
            <w:pPr>
              <w:spacing w:after="40" w:before="0" w:line="259" w:lineRule="auto"/>
            </w:pPr>
            <w:r>
              <w:rPr>
                <w:rFonts w:ascii="Calibri" w:hAnsi="Calibri"/>
                <w:b w:val="0"/>
                <w:i w:val="0"/>
                <w:color w:val="212121"/>
                <w:sz w:val="19"/>
              </w:rPr>
              <w:t>Labourers, farmers, porters, professional drivers</w:t>
            </w:r>
          </w:p>
        </w:tc>
        <w:tc>
          <w:tcPr>
            <w:tcW w:type="dxa" w:w="4276"/>
            <w:vAlign w:val="top"/>
          </w:tcPr>
          <w:p>
            <w:pPr>
              <w:spacing w:after="60" w:line="259" w:lineRule="auto"/>
            </w:pPr>
            <w:r>
              <w:rPr>
                <w:rFonts w:ascii="Calibri" w:hAnsi="Calibri"/>
                <w:b w:val="0"/>
                <w:i w:val="0"/>
                <w:color w:val="212121"/>
                <w:sz w:val="19"/>
              </w:rPr>
              <w:t>Repeated heavy lifting, bending and twisting, head-load carrying and whole-body vibration from long-distance driving impose high compressive and shear loads on discs and facet joints, accelerating degeneration and provoking mechanical spondylotic pain.</w:t>
            </w:r>
          </w:p>
          <w:p>
            <w:pPr>
              <w:spacing w:after="40" w:before="60" w:line="259" w:lineRule="auto"/>
            </w:pPr>
            <w:r>
              <w:rPr>
                <w:rFonts w:ascii="Calibri" w:hAnsi="Calibri"/>
                <w:b w:val="0"/>
                <w:i w:val="0"/>
                <w:color w:val="212121"/>
                <w:sz w:val="19"/>
              </w:rPr>
              <w:t>Mechanical stress and prior joint injury are established modifiable risk factors for spinal osteoarthritis; heavy occupational loading is a major driver of spine pain in India's manual workforce.</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#heavylifting  #wholebodyvibration  #drivers  #farmers  #mechanicalload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and tobacco users</w:t>
            </w:r>
          </w:p>
        </w:tc>
        <w:tc>
          <w:tcPr>
            <w:tcW w:type="dxa" w:w="4276"/>
            <w:vAlign w:val="top"/>
          </w:tcPr>
          <w:p>
            <w:pPr>
              <w:spacing w:after="60" w:line="259" w:lineRule="auto"/>
            </w:pPr>
            <w:r>
              <w:rPr>
                <w:rFonts w:ascii="Calibri" w:hAnsi="Calibri"/>
                <w:b w:val="0"/>
                <w:i w:val="0"/>
                <w:color w:val="212121"/>
                <w:sz w:val="19"/>
              </w:rPr>
              <w:t>Smoking compromises the microcirculation supplying the avascular intervertebral disc through vasoconstriction and reduced solute transport, impairs disc nutrition and heightens pain sensitivity, accelerating disc degeneration and increasing both the incidence and chronicity of spinal pain.</w:t>
            </w:r>
          </w:p>
          <w:p>
            <w:pPr>
              <w:spacing w:after="40" w:before="60" w:line="259" w:lineRule="auto"/>
            </w:pPr>
            <w:r>
              <w:rPr>
                <w:rFonts w:ascii="Calibri" w:hAnsi="Calibri"/>
                <w:b w:val="0"/>
                <w:i w:val="0"/>
                <w:color w:val="212121"/>
                <w:sz w:val="19"/>
              </w:rPr>
              <w:t>Smoking is an established risk factor for intervertebral disc degeneration and is listed among the modifiable contributors to spinal osteoarthritis and a poorer pain prognosis.</w:t>
            </w:r>
          </w:p>
          <w:p>
            <w:pPr>
              <w:spacing w:after="40" w:line="252" w:lineRule="auto"/>
            </w:pPr>
            <w:hyperlink r:id="rId14">
              <w:r>
                <w:rPr>
                  <w:rFonts w:ascii="Calibri" w:hAnsi="Calibri" w:cs="Calibri"/>
                  <w:sz w:val="18"/>
                  <w:color w:val="1155CC"/>
                  <w:u w:val="single"/>
                </w:rPr>
                <w:t xml:space="preserve">pubmed.ncbi.nlm.nih.gov/11339862 - smoking &amp; disc degeneration</w:t>
              </w:r>
            </w:hyperlink>
          </w:p>
          <w:p>
            <w:pPr>
              <w:spacing w:before="60" w:after="40"/>
            </w:pPr>
            <w:r>
              <w:rPr>
                <w:rFonts w:ascii="Calibri" w:hAnsi="Calibri"/>
                <w:b w:val="0"/>
                <w:i w:val="0"/>
                <w:color w:val="5A5A5A"/>
                <w:sz w:val="18"/>
              </w:rPr>
              <w:t>#smoking  #tobacco  #discnutrition  #discdegeneration  #modifiable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 regular drinkers</w:t>
            </w:r>
          </w:p>
        </w:tc>
        <w:tc>
          <w:tcPr>
            <w:tcW w:type="dxa" w:w="4276"/>
            <w:vAlign w:val="top"/>
          </w:tcPr>
          <w:p>
            <w:pPr>
              <w:spacing w:after="60" w:line="259" w:lineRule="auto"/>
            </w:pPr>
            <w:r>
              <w:rPr>
                <w:rFonts w:ascii="Calibri" w:hAnsi="Calibri"/>
                <w:b w:val="0"/>
                <w:i w:val="0"/>
                <w:color w:val="212121"/>
                <w:sz w:val="19"/>
              </w:rPr>
              <w:t>Evidence linking alcohol directly to spondylosis is weak, but heavy use is associated with poorer pain coping, deconditioning, falls and injury, disturbed sleep, low bone density and, at extremes, avascular and osteoporotic vertebral change, all of which worsen spinal pain and recovery.</w:t>
            </w:r>
          </w:p>
          <w:p>
            <w:pPr>
              <w:spacing w:after="40" w:before="60" w:line="259" w:lineRule="auto"/>
            </w:pPr>
            <w:r>
              <w:rPr>
                <w:rFonts w:ascii="Calibri" w:hAnsi="Calibri"/>
                <w:b w:val="0"/>
                <w:i w:val="0"/>
                <w:color w:val="212121"/>
                <w:sz w:val="19"/>
              </w:rPr>
              <w:t>Any independent effect of alcohol on spondylosis appears small; heavy drinking is best viewed as a general bone-health, sleep and recovery risk rather than a primary cause.</w:t>
            </w:r>
          </w:p>
          <w:p>
            <w:pPr>
              <w:spacing w:before="60" w:after="40"/>
            </w:pPr>
            <w:r>
              <w:rPr>
                <w:rFonts w:ascii="Calibri" w:hAnsi="Calibri"/>
                <w:b w:val="0"/>
                <w:i w:val="0"/>
                <w:color w:val="5A5A5A"/>
                <w:sz w:val="18"/>
              </w:rPr>
              <w:t>#alcohol  #heavydrinking  #bonehealth  #deconditioning  #sleep</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w:t>
            </w:r>
          </w:p>
        </w:tc>
        <w:tc>
          <w:tcPr>
            <w:tcW w:type="dxa" w:w="2160"/>
            <w:vAlign w:val="top"/>
          </w:tcPr>
          <w:p>
            <w:pPr>
              <w:spacing w:after="40" w:before="0" w:line="259" w:lineRule="auto"/>
            </w:pPr>
            <w:r>
              <w:rPr>
                <w:rFonts w:ascii="Calibri" w:hAnsi="Calibri"/>
                <w:b w:val="0"/>
                <w:i w:val="0"/>
                <w:color w:val="212121"/>
                <w:sz w:val="19"/>
              </w:rPr>
              <w:t>Overweight adults (Asian-Indian BMI &gt;= 23)</w:t>
            </w:r>
          </w:p>
        </w:tc>
        <w:tc>
          <w:tcPr>
            <w:tcW w:type="dxa" w:w="4276"/>
            <w:vAlign w:val="top"/>
          </w:tcPr>
          <w:p>
            <w:pPr>
              <w:spacing w:after="60" w:line="259" w:lineRule="auto"/>
            </w:pPr>
            <w:r>
              <w:rPr>
                <w:rFonts w:ascii="Calibri" w:hAnsi="Calibri"/>
                <w:b w:val="0"/>
                <w:i w:val="0"/>
                <w:color w:val="212121"/>
                <w:sz w:val="19"/>
              </w:rPr>
              <w:t>Excess body weight increases axial compressive load on the discs and facet joints and is accompanied by reduced fitness and weaker trunk muscles, modestly raising the risk and persistence of spondylotic spinal pain; Asian-Indian overweight begins at a BMI of 23.</w:t>
            </w:r>
          </w:p>
          <w:p>
            <w:pPr>
              <w:spacing w:after="40" w:before="60" w:line="259" w:lineRule="auto"/>
            </w:pPr>
            <w:r>
              <w:rPr>
                <w:rFonts w:ascii="Calibri" w:hAnsi="Calibri"/>
                <w:b w:val="0"/>
                <w:i w:val="0"/>
                <w:color w:val="212121"/>
                <w:sz w:val="19"/>
              </w:rPr>
              <w:t>Obesity and metabolic factors are recognised modifiable risk factors for spinal osteoarthritis, with higher body-mass index associated with more spinal degeneration and pain.</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#overweight  #asianBMI  #spinalload  #deconditioning  #metabolic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Obese</w:t>
            </w:r>
          </w:p>
        </w:tc>
        <w:tc>
          <w:tcPr>
            <w:tcW w:type="dxa" w:w="2160"/>
            <w:vAlign w:val="top"/>
          </w:tcPr>
          <w:p>
            <w:pPr>
              <w:spacing w:after="40" w:before="0" w:line="259" w:lineRule="auto"/>
            </w:pPr>
            <w:r>
              <w:rPr>
                <w:rFonts w:ascii="Calibri" w:hAnsi="Calibri"/>
                <w:b w:val="0"/>
                <w:i w:val="0"/>
                <w:color w:val="212121"/>
                <w:sz w:val="19"/>
              </w:rPr>
              <w:t>Obese adults, central obesity</w:t>
            </w:r>
          </w:p>
        </w:tc>
        <w:tc>
          <w:tcPr>
            <w:tcW w:type="dxa" w:w="4276"/>
            <w:vAlign w:val="top"/>
          </w:tcPr>
          <w:p>
            <w:pPr>
              <w:spacing w:after="60" w:line="259" w:lineRule="auto"/>
            </w:pPr>
            <w:r>
              <w:rPr>
                <w:rFonts w:ascii="Calibri" w:hAnsi="Calibri"/>
                <w:b w:val="0"/>
                <w:i w:val="0"/>
                <w:color w:val="212121"/>
                <w:sz w:val="19"/>
              </w:rPr>
              <w:t>Obesity, especially central adiposity, adds sustained mechanical load, alters spinal alignment and posture, and contributes low-grade systemic inflammation that promotes disc and facet degeneration, raising the odds of chronic and care-seeking spondylotic pain.</w:t>
            </w:r>
          </w:p>
          <w:p>
            <w:pPr>
              <w:spacing w:after="40" w:before="60" w:line="259" w:lineRule="auto"/>
            </w:pPr>
            <w:r>
              <w:rPr>
                <w:rFonts w:ascii="Calibri" w:hAnsi="Calibri"/>
                <w:b w:val="0"/>
                <w:i w:val="0"/>
                <w:color w:val="212121"/>
                <w:sz w:val="19"/>
              </w:rPr>
              <w:t>Obesity is listed among the key modifiable drivers of spinal osteoarthritis and predicts chronicity; a higher BMI is consistently associated with more spine degeneration on imaging.</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#obesity  #centraladiposity  #inflammation  #chronicpain  #mechanicalload</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Low vitamin-D / low-calcium intake, limited sun exposure</w:t>
            </w:r>
          </w:p>
        </w:tc>
        <w:tc>
          <w:tcPr>
            <w:tcW w:type="dxa" w:w="4276"/>
            <w:vAlign w:val="top"/>
          </w:tcPr>
          <w:p>
            <w:pPr>
              <w:spacing w:after="60" w:line="259" w:lineRule="auto"/>
            </w:pPr>
            <w:r>
              <w:rPr>
                <w:rFonts w:ascii="Calibri" w:hAnsi="Calibri"/>
                <w:b w:val="0"/>
                <w:i w:val="0"/>
                <w:color w:val="212121"/>
                <w:sz w:val="19"/>
              </w:rPr>
              <w:t>Vitamin D and calcium insufficiency - very common in India despite abundant sunshine - contributes to diffuse musculoskeletal pain, low bone density, osteoporotic vertebral change and degenerative spondylolisthesis, and can aggravate chronic paraspinal pain.</w:t>
            </w:r>
          </w:p>
          <w:p>
            <w:pPr>
              <w:spacing w:after="40" w:before="60" w:line="259" w:lineRule="auto"/>
            </w:pPr>
            <w:r>
              <w:rPr>
                <w:rFonts w:ascii="Calibri" w:hAnsi="Calibri"/>
                <w:b w:val="0"/>
                <w:i w:val="0"/>
                <w:color w:val="212121"/>
                <w:sz w:val="19"/>
              </w:rPr>
              <w:t>Reviews report a high prevalence of vitamin D deficiency (about 50-90%) across Indian populations, widespread irrespective of age, gender and geography.</w:t>
            </w:r>
          </w:p>
          <w:p>
            <w:pPr>
              <w:spacing w:after="40" w:line="252" w:lineRule="auto"/>
            </w:pPr>
            <w:hyperlink r:id="rId15">
              <w:r>
                <w:rPr>
                  <w:rFonts w:ascii="Calibri" w:hAnsi="Calibri" w:cs="Calibri"/>
                  <w:sz w:val="18"/>
                  <w:color w:val="1155CC"/>
                  <w:u w:val="single"/>
                </w:rPr>
                <w:t xml:space="preserve">ijmr.org.in - hypovitaminosis D in India</w:t>
              </w:r>
            </w:hyperlink>
          </w:p>
          <w:p>
            <w:pPr>
              <w:spacing w:before="60" w:after="40"/>
            </w:pPr>
            <w:r>
              <w:rPr>
                <w:rFonts w:ascii="Calibri" w:hAnsi="Calibri"/>
                <w:b w:val="0"/>
                <w:i w:val="0"/>
                <w:color w:val="5A5A5A"/>
                <w:sz w:val="18"/>
              </w:rPr>
              <w:t>#vitaminD  #calcium  #bonehealth  #Indiadeficiency  #musculoskeletalpain</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disc degeneration / early spondylosis</w:t>
            </w:r>
          </w:p>
        </w:tc>
        <w:tc>
          <w:tcPr>
            <w:tcW w:type="dxa" w:w="4276"/>
            <w:vAlign w:val="top"/>
          </w:tcPr>
          <w:p>
            <w:pPr>
              <w:spacing w:after="60" w:line="259" w:lineRule="auto"/>
            </w:pPr>
            <w:r>
              <w:rPr>
                <w:rFonts w:ascii="Calibri" w:hAnsi="Calibri"/>
                <w:b w:val="0"/>
                <w:i w:val="0"/>
                <w:color w:val="212121"/>
                <w:sz w:val="19"/>
              </w:rPr>
              <w:t>Intervertebral disc degeneration is strongly heritable, so a family history of early back trouble, disc disease or spondylosis substantially raises individual risk of symptomatic spondylosis, radiculopathy and early spinal degeneration.</w:t>
            </w:r>
          </w:p>
          <w:p>
            <w:pPr>
              <w:spacing w:after="40" w:before="60" w:line="259" w:lineRule="auto"/>
            </w:pPr>
            <w:r>
              <w:rPr>
                <w:rFonts w:ascii="Calibri" w:hAnsi="Calibri"/>
                <w:b w:val="0"/>
                <w:i w:val="0"/>
                <w:color w:val="212121"/>
                <w:sz w:val="19"/>
              </w:rPr>
              <w:t>Genetic predisposition to spinal osteoarthritis is estimated at around 70% heritability, polygenic with over 100 identified DNA variants.</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#genetics  #heritability  #discdegeneration  #familyhistory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Osteoporosis</w:t>
            </w:r>
          </w:p>
        </w:tc>
        <w:tc>
          <w:tcPr>
            <w:tcW w:type="dxa" w:w="2160"/>
            <w:vAlign w:val="top"/>
          </w:tcPr>
          <w:p>
            <w:pPr>
              <w:spacing w:after="40" w:before="0" w:line="259" w:lineRule="auto"/>
            </w:pPr>
            <w:r>
              <w:rPr>
                <w:rFonts w:ascii="Calibri" w:hAnsi="Calibri"/>
                <w:b w:val="0"/>
                <w:i w:val="0"/>
                <w:color w:val="212121"/>
                <w:sz w:val="19"/>
              </w:rPr>
              <w:t>Post-menopausal women and elderly with low bone density</w:t>
            </w:r>
          </w:p>
        </w:tc>
        <w:tc>
          <w:tcPr>
            <w:tcW w:type="dxa" w:w="4276"/>
            <w:vAlign w:val="top"/>
          </w:tcPr>
          <w:p>
            <w:pPr>
              <w:spacing w:after="60" w:line="259" w:lineRule="auto"/>
            </w:pPr>
            <w:r>
              <w:rPr>
                <w:rFonts w:ascii="Calibri" w:hAnsi="Calibri"/>
                <w:b w:val="0"/>
                <w:i w:val="0"/>
                <w:color w:val="212121"/>
                <w:sz w:val="19"/>
              </w:rPr>
              <w:t>Osteoporosis promotes vertebral micro-fracture and wedging, altered load transfer and degenerative spondylolisthesis, and coexists with spondylosis in older adults, adding pain, deformity (kyphosis) and fragility-fracture risk after minor trauma.</w:t>
            </w:r>
          </w:p>
          <w:p>
            <w:pPr>
              <w:spacing w:after="40" w:before="60" w:line="259" w:lineRule="auto"/>
            </w:pPr>
            <w:r>
              <w:rPr>
                <w:rFonts w:ascii="Calibri" w:hAnsi="Calibri"/>
                <w:b w:val="0"/>
                <w:i w:val="0"/>
                <w:color w:val="212121"/>
                <w:sz w:val="19"/>
              </w:rPr>
              <w:t>Osteoporosis and post-menopausal bone loss are recognised contributors to degenerative and fragility-related spine disease and to the higher spine-pain burden in older women.</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#osteoporosis  #fragility  #postmenopausal  #kyphosis  #bonehealth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Lumbar canal stenosis / radiculopathy</w:t>
            </w:r>
          </w:p>
        </w:tc>
        <w:tc>
          <w:tcPr>
            <w:tcW w:type="dxa" w:w="2160"/>
            <w:vAlign w:val="top"/>
          </w:tcPr>
          <w:p>
            <w:pPr>
              <w:spacing w:after="40" w:before="0" w:line="259" w:lineRule="auto"/>
            </w:pPr>
            <w:r>
              <w:rPr>
                <w:rFonts w:ascii="Calibri" w:hAnsi="Calibri"/>
                <w:b w:val="0"/>
                <w:i w:val="0"/>
                <w:color w:val="212121"/>
                <w:sz w:val="19"/>
              </w:rPr>
              <w:t>Older adults with neurogenic claudication or sciatica</w:t>
            </w:r>
          </w:p>
        </w:tc>
        <w:tc>
          <w:tcPr>
            <w:tcW w:type="dxa" w:w="4276"/>
            <w:vAlign w:val="top"/>
          </w:tcPr>
          <w:p>
            <w:pPr>
              <w:spacing w:after="60" w:line="259" w:lineRule="auto"/>
            </w:pPr>
            <w:r>
              <w:rPr>
                <w:rFonts w:ascii="Calibri" w:hAnsi="Calibri"/>
                <w:b w:val="0"/>
                <w:i w:val="0"/>
                <w:color w:val="212121"/>
                <w:sz w:val="19"/>
              </w:rPr>
              <w:t>Advancing spondylosis with osteophytes, disc bulging, facet hypertrophy and ligamentum flavum thickening narrows the neural foramina and central canal, compressing nerve roots (sciatica) or the cauda equina and producing neurogenic claudication - leg pain and heaviness on walking, eased by sitting or bending forward.</w:t>
            </w:r>
          </w:p>
          <w:p>
            <w:pPr>
              <w:spacing w:after="40" w:before="60" w:line="259" w:lineRule="auto"/>
            </w:pPr>
            <w:r>
              <w:rPr>
                <w:rFonts w:ascii="Calibri" w:hAnsi="Calibri"/>
                <w:b w:val="0"/>
                <w:i w:val="0"/>
                <w:color w:val="212121"/>
                <w:sz w:val="19"/>
              </w:rPr>
              <w:t>Lumbar central-canal stenosis and degenerative spondylolisthesis are leading causes of neurogenic claudication and spinal surgery in older adults, and near-universal spondylosis over 60 underlies most cases.</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#spinalstenosis  #neurogenicclaudication  #sciatica  #radiculopathy  #foraminalstenosis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Osteoarthritis (peripheral joints)</w:t>
            </w:r>
          </w:p>
        </w:tc>
        <w:tc>
          <w:tcPr>
            <w:tcW w:type="dxa" w:w="2160"/>
            <w:vAlign w:val="top"/>
          </w:tcPr>
          <w:p>
            <w:pPr>
              <w:spacing w:after="40" w:before="0" w:line="259" w:lineRule="auto"/>
            </w:pPr>
            <w:r>
              <w:rPr>
                <w:rFonts w:ascii="Calibri" w:hAnsi="Calibri"/>
                <w:b w:val="0"/>
                <w:i w:val="0"/>
                <w:color w:val="212121"/>
                <w:sz w:val="19"/>
              </w:rPr>
              <w:t>Patients with knee/hip osteoarthritis</w:t>
            </w:r>
          </w:p>
        </w:tc>
        <w:tc>
          <w:tcPr>
            <w:tcW w:type="dxa" w:w="4276"/>
            <w:vAlign w:val="top"/>
          </w:tcPr>
          <w:p>
            <w:pPr>
              <w:spacing w:after="60" w:line="259" w:lineRule="auto"/>
            </w:pPr>
            <w:r>
              <w:rPr>
                <w:rFonts w:ascii="Calibri" w:hAnsi="Calibri"/>
                <w:b w:val="0"/>
                <w:i w:val="0"/>
                <w:color w:val="212121"/>
                <w:sz w:val="19"/>
              </w:rPr>
              <w:t>Spondylosis is the spinal expression of a generalised osteoarthritic tendency, so it frequently coexists with knee and hip osteoarthritis, sharing age, obesity, mechanical load and genetic drivers; spine and lower-limb OA together amplify disability and inactivity.</w:t>
            </w:r>
          </w:p>
          <w:p>
            <w:pPr>
              <w:spacing w:after="40" w:before="60" w:line="259" w:lineRule="auto"/>
            </w:pPr>
            <w:r>
              <w:rPr>
                <w:rFonts w:ascii="Calibri" w:hAnsi="Calibri"/>
                <w:b w:val="0"/>
                <w:i w:val="0"/>
                <w:color w:val="212121"/>
                <w:sz w:val="19"/>
              </w:rPr>
              <w:t>Knee osteoarthritis affects about 28.7% of Indians aged 40 and over, with the lumbar spine the second most commonly affected osteoarthritis site.</w:t>
            </w:r>
          </w:p>
          <w:p>
            <w:pPr>
              <w:spacing w:after="40" w:line="252" w:lineRule="auto"/>
            </w:pPr>
            <w:hyperlink r:id="rId13">
              <w:r>
                <w:rPr>
                  <w:rFonts w:ascii="Calibri" w:hAnsi="Calibri" w:cs="Calibri"/>
                  <w:sz w:val="18"/>
                  <w:color w:val="1155CC"/>
                  <w:u w:val="single"/>
                </w:rPr>
                <w:t xml:space="preserve">journals.sagepub.com - Epidemiology of Rheumatic Diseases in India</w:t>
              </w:r>
            </w:hyperlink>
          </w:p>
          <w:p>
            <w:pPr>
              <w:spacing w:before="60" w:after="40"/>
            </w:pPr>
            <w:r>
              <w:rPr>
                <w:rFonts w:ascii="Calibri" w:hAnsi="Calibri"/>
                <w:b w:val="0"/>
                <w:i w:val="0"/>
                <w:color w:val="5A5A5A"/>
                <w:sz w:val="18"/>
              </w:rPr>
              <w:t>#osteoarthritis  #kneeOA  #generalisedOA  #sharedrisk  #disability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chronic pain</w:t>
            </w:r>
          </w:p>
        </w:tc>
        <w:tc>
          <w:tcPr>
            <w:tcW w:type="dxa" w:w="2160"/>
            <w:vAlign w:val="top"/>
          </w:tcPr>
          <w:p>
            <w:pPr>
              <w:spacing w:after="40" w:before="0" w:line="259" w:lineRule="auto"/>
            </w:pPr>
            <w:r>
              <w:rPr>
                <w:rFonts w:ascii="Calibri" w:hAnsi="Calibri"/>
                <w:b w:val="0"/>
                <w:i w:val="0"/>
                <w:color w:val="212121"/>
                <w:sz w:val="19"/>
              </w:rPr>
              <w:t>Patients with psychological distress and chronic spinal pain</w:t>
            </w:r>
          </w:p>
        </w:tc>
        <w:tc>
          <w:tcPr>
            <w:tcW w:type="dxa" w:w="4276"/>
            <w:vAlign w:val="top"/>
          </w:tcPr>
          <w:p>
            <w:pPr>
              <w:spacing w:after="60" w:line="259" w:lineRule="auto"/>
            </w:pPr>
            <w:r>
              <w:rPr>
                <w:rFonts w:ascii="Calibri" w:hAnsi="Calibri"/>
                <w:b w:val="0"/>
                <w:i w:val="0"/>
                <w:color w:val="212121"/>
                <w:sz w:val="19"/>
              </w:rPr>
              <w:t>Depression, anxiety, fear-avoidance and central sensitisation do not start spondylosis but are powerful predictors of its transition to chronic disabling pain and of poorer treatment response; chronic spinal pain in turn worsens mood, sleep and function in a bidirectional loop.</w:t>
            </w:r>
          </w:p>
          <w:p>
            <w:pPr>
              <w:spacing w:after="40" w:before="60" w:line="259" w:lineRule="auto"/>
            </w:pPr>
            <w:r>
              <w:rPr>
                <w:rFonts w:ascii="Calibri" w:hAnsi="Calibri"/>
                <w:b w:val="0"/>
                <w:i w:val="0"/>
                <w:color w:val="212121"/>
                <w:sz w:val="19"/>
              </w:rPr>
              <w:t>Depression, anxiety and sleep disturbance are recognised complications and prognostic factors in spinal osteoarthritis; catastrophising and fear-avoidance predict progression to chronic pain (about 23% of episodes become chronic).</w:t>
            </w:r>
          </w:p>
          <w:p>
            <w:pPr>
              <w:spacing w:after="40" w:line="252" w:lineRule="auto"/>
            </w:pPr>
            <w:hyperlink r:id="rId10">
              <w:r>
                <w:rPr>
                  <w:rFonts w:ascii="Calibri" w:hAnsi="Calibri" w:cs="Calibri"/>
                  <w:sz w:val="18"/>
                  <w:color w:val="1155CC"/>
                  <w:u w:val="single"/>
                </w:rPr>
                <w:t xml:space="preserve">ncbi.nlm.nih.gov - StatPearls Spinal Osteoarthritis</w:t>
              </w:r>
            </w:hyperlink>
          </w:p>
          <w:p>
            <w:pPr>
              <w:spacing w:before="60" w:after="40"/>
            </w:pPr>
            <w:r>
              <w:rPr>
                <w:rFonts w:ascii="Calibri" w:hAnsi="Calibri"/>
                <w:b w:val="0"/>
                <w:i w:val="0"/>
                <w:color w:val="5A5A5A"/>
                <w:sz w:val="18"/>
              </w:rPr>
              <w:t>#depression  #anxiety  #centralsensitisation  #chronicity  #biopsychosocial</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Both extremes matter: physical inactivity and deconditioning of the trunk and paraspinal muscles predispose to and perpetuate spondylotic pain, while heavy or repetitive mechanical loading accelerates disc and facet degeneration. Graded exercise and core strengthening reduce chronic back pain and recurrence (Cochrane).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 acts mainly through body weight (higher BMI increases spinal load and degeneration) and through vitamin-D and calcium status affecting bone and muscle health; there is no specific 'spondylosis diet'.</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Poor and short sleep have a bidirectional relationship with spinal pain - pain disturbs sleep and poor sleep lowers pain thresholds; an unsupportive mattress or awkward sleeping posture is a common trigger of morning stiffness and flares.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impairs disc microcirculation and nutrition and heightens pain sensitivity, accelerating intervertebral disc degeneration and increasing chronic spinal pain; it is a recognised modifiable risk factor for spinal degeneration.</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for an independent effect of alcohol on spondylosis is weak; heavy use is relevant mainly to disturbed sleep, poor coping, falls, low bone density and impaired recovery.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Depression, anxiety, distress, fear-avoidance and catastrophising, with central sensitisation, are among the strongest predictors of progression to chronic, disabling spinal pain and of poorer treatment response, and coexist with it at high rates.</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Sudden or awkward bending, twisting and heavy lifting, head-load carrying, prolonged static or sustained postures, whole-body vibration (long-distance driving) and minor trauma are the classic mechanical triggers of acute spondylotic pain and flares.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Sustained flexed sitting, forward-head 'text-neck' posture over screens and phones, poor lifting technique and prolonged static loading sustain abnormal disc and facet stress and are leading drivers of mechanical spondylotic neck and back pain; frequent position change and neutral-spine ergonomics are protective.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 Asian-Indian)</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18.0-22.9 kg/m2</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Higher BMI increases axial spinal load and disc/facet degeneration</w:t>
            </w:r>
          </w:p>
          <w:p>
            <w:pPr>
              <w:spacing w:after="40" w:line="252" w:lineRule="auto"/>
            </w:pPr>
            <w:hyperlink r:id="rId10">
              <w:r>
                <w:rPr>
                  <w:rFonts w:ascii="Calibri" w:hAnsi="Calibri" w:cs="Calibri"/>
                  <w:sz w:val="18"/>
                  <w:color w:val="1155CC"/>
                  <w:u w:val="single"/>
                </w:rPr>
                <w:t xml:space="preserve">https://www.ncbi.nlm.nih.gov/books/NBK553190/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aerobic activity (minutes/week)</w:t>
            </w:r>
          </w:p>
        </w:tc>
        <w:tc>
          <w:tcPr>
            <w:tcW w:type="dxa" w:w="1655"/>
            <w:vAlign w:val="top"/>
          </w:tcPr>
          <w:p>
            <w:pPr>
              <w:spacing w:after="40" w:before="0" w:line="259" w:lineRule="auto"/>
            </w:pPr>
            <w:r>
              <w:rPr>
                <w:rFonts w:ascii="Calibri" w:hAnsi="Calibri"/>
                <w:b w:val="0"/>
                <w:i w:val="0"/>
                <w:color w:val="212121"/>
                <w:sz w:val="19"/>
              </w:rPr>
              <w:t>Adults, sedentary workers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40" w:before="0" w:line="259" w:lineRule="auto"/>
            </w:pPr>
            <w:r>
              <w:rPr>
                <w:rFonts w:ascii="Calibri" w:hAnsi="Calibri"/>
                <w:b w:val="0"/>
                <w:i w:val="0"/>
                <w:color w:val="212121"/>
                <w:sz w:val="19"/>
              </w:rPr>
              <w:t>Inactivity deconditions trunk muscles; activity lowers chronicity and recurrence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Core / paraspinal strengthening (sessions/week)</w:t>
            </w:r>
          </w:p>
        </w:tc>
        <w:tc>
          <w:tcPr>
            <w:tcW w:type="dxa" w:w="1655"/>
            <w:vAlign w:val="top"/>
          </w:tcPr>
          <w:p>
            <w:pPr>
              <w:spacing w:after="40" w:before="0" w:line="259" w:lineRule="auto"/>
            </w:pPr>
            <w:r>
              <w:rPr>
                <w:rFonts w:ascii="Calibri" w:hAnsi="Calibri"/>
                <w:b w:val="0"/>
                <w:i w:val="0"/>
                <w:color w:val="212121"/>
                <w:sz w:val="19"/>
              </w:rPr>
              <w:t>Adults, chronic/recurrent spinal pain</w:t>
            </w:r>
          </w:p>
        </w:tc>
        <w:tc>
          <w:tcPr>
            <w:tcW w:type="dxa" w:w="1512"/>
            <w:vAlign w:val="top"/>
          </w:tcPr>
          <w:p>
            <w:pPr>
              <w:spacing w:after="40" w:before="0" w:line="259" w:lineRule="auto"/>
            </w:pPr>
            <w:r>
              <w:rPr>
                <w:rFonts w:ascii="Calibri" w:hAnsi="Calibri"/>
                <w:b w:val="0"/>
                <w:i w:val="0"/>
                <w:color w:val="212121"/>
                <w:sz w:val="19"/>
              </w:rPr>
              <w:t>2-3 sessions/week</w:t>
            </w:r>
          </w:p>
        </w:tc>
        <w:tc>
          <w:tcPr>
            <w:tcW w:type="dxa" w:w="1512"/>
            <w:vAlign w:val="top"/>
          </w:tcPr>
          <w:p>
            <w:pPr>
              <w:spacing w:after="40" w:before="0" w:line="259" w:lineRule="auto"/>
            </w:pPr>
            <w:r>
              <w:rPr>
                <w:rFonts w:ascii="Calibri" w:hAnsi="Calibri"/>
                <w:b w:val="0"/>
                <w:i w:val="0"/>
                <w:color w:val="212121"/>
                <w:sz w:val="19"/>
              </w:rPr>
              <w:t>None</w:t>
            </w:r>
          </w:p>
        </w:tc>
        <w:tc>
          <w:tcPr>
            <w:tcW w:type="dxa" w:w="1468"/>
            <w:vAlign w:val="top"/>
          </w:tcPr>
          <w:p>
            <w:pPr>
              <w:spacing w:after="60" w:line="259" w:lineRule="auto"/>
            </w:pPr>
            <w:r>
              <w:rPr>
                <w:rFonts w:ascii="Calibri" w:hAnsi="Calibri"/>
                <w:b w:val="0"/>
                <w:i w:val="0"/>
                <w:color w:val="212121"/>
                <w:sz w:val="19"/>
              </w:rPr>
              <w:t>Exercise therapy reduces chronic back pain and recurrence</w:t>
            </w:r>
          </w:p>
          <w:p>
            <w:pPr>
              <w:spacing w:after="40" w:line="252" w:lineRule="auto"/>
            </w:pPr>
            <w:hyperlink r:id="rId16">
              <w:r>
                <w:rPr>
                  <w:rFonts w:ascii="Calibri" w:hAnsi="Calibri" w:cs="Calibri"/>
                  <w:sz w:val="18"/>
                  <w:color w:val="1155CC"/>
                  <w:u w:val="single"/>
                </w:rPr>
                <w:t xml:space="preserve">https://www.cochrane.org/evidence/CD009790_exercise-treatment-chronic-low-back-pain</w:t>
              </w:r>
            </w:hyperlink>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Continuous sitting/screen time without a break (minutes)</w:t>
            </w:r>
          </w:p>
        </w:tc>
        <w:tc>
          <w:tcPr>
            <w:tcW w:type="dxa" w:w="1655"/>
            <w:vAlign w:val="top"/>
          </w:tcPr>
          <w:p>
            <w:pPr>
              <w:spacing w:after="40" w:before="0" w:line="259" w:lineRule="auto"/>
            </w:pPr>
            <w:r>
              <w:rPr>
                <w:rFonts w:ascii="Calibri" w:hAnsi="Calibri"/>
                <w:b w:val="0"/>
                <w:i w:val="0"/>
                <w:color w:val="212121"/>
                <w:sz w:val="19"/>
              </w:rPr>
              <w:t>IT/desk workers, students, drivers</w:t>
            </w:r>
          </w:p>
        </w:tc>
        <w:tc>
          <w:tcPr>
            <w:tcW w:type="dxa" w:w="1512"/>
            <w:vAlign w:val="top"/>
          </w:tcPr>
          <w:p>
            <w:pPr>
              <w:spacing w:after="40" w:before="0" w:line="259" w:lineRule="auto"/>
            </w:pPr>
            <w:r>
              <w:rPr>
                <w:rFonts w:ascii="Calibri" w:hAnsi="Calibri"/>
                <w:b w:val="0"/>
                <w:i w:val="0"/>
                <w:color w:val="212121"/>
                <w:sz w:val="19"/>
              </w:rPr>
              <w:t>&lt;= 30 min then move</w:t>
            </w:r>
          </w:p>
        </w:tc>
        <w:tc>
          <w:tcPr>
            <w:tcW w:type="dxa" w:w="1512"/>
            <w:vAlign w:val="top"/>
          </w:tcPr>
          <w:p>
            <w:pPr>
              <w:spacing w:after="40" w:before="0" w:line="259" w:lineRule="auto"/>
            </w:pPr>
            <w:r>
              <w:rPr>
                <w:rFonts w:ascii="Calibri" w:hAnsi="Calibri"/>
                <w:b w:val="0"/>
                <w:i w:val="0"/>
                <w:color w:val="212121"/>
                <w:sz w:val="19"/>
              </w:rPr>
              <w:t>&gt; 45-60 min uninterrupted</w:t>
            </w:r>
          </w:p>
        </w:tc>
        <w:tc>
          <w:tcPr>
            <w:tcW w:type="dxa" w:w="1468"/>
            <w:vAlign w:val="top"/>
          </w:tcPr>
          <w:p>
            <w:pPr>
              <w:spacing w:after="40" w:before="0" w:line="259" w:lineRule="auto"/>
            </w:pPr>
            <w:r>
              <w:rPr>
                <w:rFonts w:ascii="Calibri" w:hAnsi="Calibri"/>
                <w:b w:val="0"/>
                <w:i w:val="0"/>
                <w:color w:val="212121"/>
                <w:sz w:val="19"/>
              </w:rPr>
              <w:t>Break up sustained flexed loading; micro-breaks are protective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Safe lifting technique / load handling</w:t>
            </w:r>
          </w:p>
        </w:tc>
        <w:tc>
          <w:tcPr>
            <w:tcW w:type="dxa" w:w="1655"/>
            <w:vAlign w:val="top"/>
          </w:tcPr>
          <w:p>
            <w:pPr>
              <w:spacing w:after="40" w:before="0" w:line="259" w:lineRule="auto"/>
            </w:pPr>
            <w:r>
              <w:rPr>
                <w:rFonts w:ascii="Calibri" w:hAnsi="Calibri"/>
                <w:b w:val="0"/>
                <w:i w:val="0"/>
                <w:color w:val="212121"/>
                <w:sz w:val="19"/>
              </w:rPr>
              <w:t>Manual workers, homemakers</w:t>
            </w:r>
          </w:p>
        </w:tc>
        <w:tc>
          <w:tcPr>
            <w:tcW w:type="dxa" w:w="1512"/>
            <w:vAlign w:val="top"/>
          </w:tcPr>
          <w:p>
            <w:pPr>
              <w:spacing w:after="40" w:before="0" w:line="259" w:lineRule="auto"/>
            </w:pPr>
            <w:r>
              <w:rPr>
                <w:rFonts w:ascii="Calibri" w:hAnsi="Calibri"/>
                <w:b w:val="0"/>
                <w:i w:val="0"/>
                <w:color w:val="212121"/>
                <w:sz w:val="19"/>
              </w:rPr>
              <w:t>Neutral spine, lift with legs, load close to body</w:t>
            </w:r>
          </w:p>
        </w:tc>
        <w:tc>
          <w:tcPr>
            <w:tcW w:type="dxa" w:w="1512"/>
            <w:vAlign w:val="top"/>
          </w:tcPr>
          <w:p>
            <w:pPr>
              <w:spacing w:after="40" w:before="0" w:line="259" w:lineRule="auto"/>
            </w:pPr>
            <w:r>
              <w:rPr>
                <w:rFonts w:ascii="Calibri" w:hAnsi="Calibri"/>
                <w:b w:val="0"/>
                <w:i w:val="0"/>
                <w:color w:val="212121"/>
                <w:sz w:val="19"/>
              </w:rPr>
              <w:t>Bending-twisting with heavy loads</w:t>
            </w:r>
          </w:p>
        </w:tc>
        <w:tc>
          <w:tcPr>
            <w:tcW w:type="dxa" w:w="1468"/>
            <w:vAlign w:val="top"/>
          </w:tcPr>
          <w:p>
            <w:pPr>
              <w:spacing w:after="40" w:before="0" w:line="259" w:lineRule="auto"/>
            </w:pPr>
            <w:r>
              <w:rPr>
                <w:rFonts w:ascii="Calibri" w:hAnsi="Calibri"/>
                <w:b w:val="0"/>
                <w:i w:val="0"/>
                <w:color w:val="212121"/>
                <w:sz w:val="19"/>
              </w:rPr>
              <w:t>Poor lifting mechanics is a classic trigger of disc and facet injury</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Occupational / head-load carried</w:t>
            </w:r>
          </w:p>
        </w:tc>
        <w:tc>
          <w:tcPr>
            <w:tcW w:type="dxa" w:w="1655"/>
            <w:vAlign w:val="top"/>
          </w:tcPr>
          <w:p>
            <w:pPr>
              <w:spacing w:after="40" w:before="0" w:line="259" w:lineRule="auto"/>
            </w:pPr>
            <w:r>
              <w:rPr>
                <w:rFonts w:ascii="Calibri" w:hAnsi="Calibri"/>
                <w:b w:val="0"/>
                <w:i w:val="0"/>
                <w:color w:val="212121"/>
                <w:sz w:val="19"/>
              </w:rPr>
              <w:t>Rural workers, labourers, porters</w:t>
            </w:r>
          </w:p>
        </w:tc>
        <w:tc>
          <w:tcPr>
            <w:tcW w:type="dxa" w:w="1512"/>
            <w:vAlign w:val="top"/>
          </w:tcPr>
          <w:p>
            <w:pPr>
              <w:spacing w:after="40" w:before="0" w:line="259" w:lineRule="auto"/>
            </w:pPr>
            <w:r>
              <w:rPr>
                <w:rFonts w:ascii="Calibri" w:hAnsi="Calibri"/>
                <w:b w:val="0"/>
                <w:i w:val="0"/>
                <w:color w:val="212121"/>
                <w:sz w:val="19"/>
              </w:rPr>
              <w:t>Within safe limits; avoid head-loading</w:t>
            </w:r>
          </w:p>
        </w:tc>
        <w:tc>
          <w:tcPr>
            <w:tcW w:type="dxa" w:w="1512"/>
            <w:vAlign w:val="top"/>
          </w:tcPr>
          <w:p>
            <w:pPr>
              <w:spacing w:after="40" w:before="0" w:line="259" w:lineRule="auto"/>
            </w:pPr>
            <w:r>
              <w:rPr>
                <w:rFonts w:ascii="Calibri" w:hAnsi="Calibri"/>
                <w:b w:val="0"/>
                <w:i w:val="0"/>
                <w:color w:val="212121"/>
                <w:sz w:val="19"/>
              </w:rPr>
              <w:t>Repetitive heavy or head-borne loads</w:t>
            </w:r>
          </w:p>
        </w:tc>
        <w:tc>
          <w:tcPr>
            <w:tcW w:type="dxa" w:w="1468"/>
            <w:vAlign w:val="top"/>
          </w:tcPr>
          <w:p>
            <w:pPr>
              <w:spacing w:after="40" w:before="0" w:line="259" w:lineRule="auto"/>
            </w:pPr>
            <w:r>
              <w:rPr>
                <w:rFonts w:ascii="Calibri" w:hAnsi="Calibri"/>
                <w:b w:val="0"/>
                <w:i w:val="0"/>
                <w:color w:val="212121"/>
                <w:sz w:val="19"/>
              </w:rPr>
              <w:t>Axial spinal loading accelerates degeneration and triggers pain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Any smoking impairs disc nutrition and worsens degeneration</w:t>
            </w:r>
          </w:p>
          <w:p>
            <w:pPr>
              <w:spacing w:after="40" w:line="252" w:lineRule="auto"/>
            </w:pPr>
            <w:hyperlink r:id="rId14">
              <w:r>
                <w:rPr>
                  <w:rFonts w:ascii="Calibri" w:hAnsi="Calibri" w:cs="Calibri"/>
                  <w:sz w:val="18"/>
                  <w:color w:val="1155CC"/>
                  <w:u w:val="single"/>
                </w:rPr>
                <w:t xml:space="preserve">https://pubmed.ncbi.nlm.nih.gov/11339862/</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elderly, heavy drinkers</w:t>
            </w:r>
          </w:p>
        </w:tc>
        <w:tc>
          <w:tcPr>
            <w:tcW w:type="dxa" w:w="1512"/>
            <w:vAlign w:val="top"/>
          </w:tcPr>
          <w:p>
            <w:pPr>
              <w:spacing w:after="40" w:before="0" w:line="259" w:lineRule="auto"/>
            </w:pPr>
            <w:r>
              <w:rPr>
                <w:rFonts w:ascii="Calibri" w:hAnsi="Calibri"/>
                <w:b w:val="0"/>
                <w:i w:val="0"/>
                <w:color w:val="212121"/>
                <w:sz w:val="19"/>
              </w:rPr>
              <w:t>&lt;= 7-14 drinks/week; less is better</w:t>
            </w:r>
          </w:p>
        </w:tc>
        <w:tc>
          <w:tcPr>
            <w:tcW w:type="dxa" w:w="1512"/>
            <w:vAlign w:val="top"/>
          </w:tcPr>
          <w:p>
            <w:pPr>
              <w:spacing w:after="40" w:before="0" w:line="259" w:lineRule="auto"/>
            </w:pPr>
            <w:r>
              <w:rPr>
                <w:rFonts w:ascii="Calibri" w:hAnsi="Calibri"/>
                <w:b w:val="0"/>
                <w:i w:val="0"/>
                <w:color w:val="212121"/>
                <w:sz w:val="19"/>
              </w:rPr>
              <w:t>&gt; 14 drinks/week or binge</w:t>
            </w:r>
          </w:p>
        </w:tc>
        <w:tc>
          <w:tcPr>
            <w:tcW w:type="dxa" w:w="1468"/>
            <w:vAlign w:val="top"/>
          </w:tcPr>
          <w:p>
            <w:pPr>
              <w:spacing w:after="40" w:before="0" w:line="259" w:lineRule="auto"/>
            </w:pPr>
            <w:r>
              <w:rPr>
                <w:rFonts w:ascii="Calibri" w:hAnsi="Calibri"/>
                <w:b w:val="0"/>
                <w:i w:val="0"/>
                <w:color w:val="212121"/>
                <w:sz w:val="19"/>
              </w:rPr>
              <w:t>Heavy use worsens sleep, bone density, falls and recovery</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and spinal support</w:t>
            </w:r>
          </w:p>
        </w:tc>
        <w:tc>
          <w:tcPr>
            <w:tcW w:type="dxa" w:w="1655"/>
            <w:vAlign w:val="top"/>
          </w:tcPr>
          <w:p>
            <w:pPr>
              <w:spacing w:after="40" w:before="0" w:line="259" w:lineRule="auto"/>
            </w:pPr>
            <w:r>
              <w:rPr>
                <w:rFonts w:ascii="Calibri" w:hAnsi="Calibri"/>
                <w:b w:val="0"/>
                <w:i w:val="0"/>
                <w:color w:val="212121"/>
                <w:sz w:val="19"/>
              </w:rPr>
              <w:t>Adults, chronic spinal pain</w:t>
            </w:r>
          </w:p>
        </w:tc>
        <w:tc>
          <w:tcPr>
            <w:tcW w:type="dxa" w:w="1512"/>
            <w:vAlign w:val="top"/>
          </w:tcPr>
          <w:p>
            <w:pPr>
              <w:spacing w:after="40" w:before="0" w:line="259" w:lineRule="auto"/>
            </w:pPr>
            <w:r>
              <w:rPr>
                <w:rFonts w:ascii="Calibri" w:hAnsi="Calibri"/>
                <w:b w:val="0"/>
                <w:i w:val="0"/>
                <w:color w:val="212121"/>
                <w:sz w:val="19"/>
              </w:rPr>
              <w:t>7-9 h; medium-firm supportive mattress, neutral spine</w:t>
            </w:r>
          </w:p>
        </w:tc>
        <w:tc>
          <w:tcPr>
            <w:tcW w:type="dxa" w:w="1512"/>
            <w:vAlign w:val="top"/>
          </w:tcPr>
          <w:p>
            <w:pPr>
              <w:spacing w:after="40" w:before="0" w:line="259" w:lineRule="auto"/>
            </w:pPr>
            <w:r>
              <w:rPr>
                <w:rFonts w:ascii="Calibri" w:hAnsi="Calibri"/>
                <w:b w:val="0"/>
                <w:i w:val="0"/>
                <w:color w:val="212121"/>
                <w:sz w:val="19"/>
              </w:rPr>
              <w:t>&lt; 6 h or unsupportive/sagging mattress</w:t>
            </w:r>
          </w:p>
        </w:tc>
        <w:tc>
          <w:tcPr>
            <w:tcW w:type="dxa" w:w="1468"/>
            <w:vAlign w:val="top"/>
          </w:tcPr>
          <w:p>
            <w:pPr>
              <w:spacing w:after="40" w:before="0" w:line="259" w:lineRule="auto"/>
            </w:pPr>
            <w:r>
              <w:rPr>
                <w:rFonts w:ascii="Calibri" w:hAnsi="Calibri"/>
                <w:b w:val="0"/>
                <w:i w:val="0"/>
                <w:color w:val="212121"/>
                <w:sz w:val="19"/>
              </w:rPr>
              <w:t>Poor sleep and awkward posture lower pain thresholds and trigger stiffness</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Serum 25-hydroxyvitamin D (ng/mL)</w:t>
            </w:r>
          </w:p>
        </w:tc>
        <w:tc>
          <w:tcPr>
            <w:tcW w:type="dxa" w:w="1655"/>
            <w:vAlign w:val="top"/>
          </w:tcPr>
          <w:p>
            <w:pPr>
              <w:spacing w:after="40" w:before="0" w:line="259" w:lineRule="auto"/>
            </w:pPr>
            <w:r>
              <w:rPr>
                <w:rFonts w:ascii="Calibri" w:hAnsi="Calibri"/>
                <w:b w:val="0"/>
                <w:i w:val="0"/>
                <w:color w:val="212121"/>
                <w:sz w:val="19"/>
              </w:rPr>
              <w:t>Adults, elderly, chronic pain</w:t>
            </w:r>
          </w:p>
        </w:tc>
        <w:tc>
          <w:tcPr>
            <w:tcW w:type="dxa" w:w="1512"/>
            <w:vAlign w:val="top"/>
          </w:tcPr>
          <w:p>
            <w:pPr>
              <w:spacing w:after="40" w:before="0" w:line="259" w:lineRule="auto"/>
            </w:pPr>
            <w:r>
              <w:rPr>
                <w:rFonts w:ascii="Calibri" w:hAnsi="Calibri"/>
                <w:b w:val="0"/>
                <w:i w:val="0"/>
                <w:color w:val="212121"/>
                <w:sz w:val="19"/>
              </w:rPr>
              <w:t>&gt;= 30 ng/mL</w:t>
            </w:r>
          </w:p>
        </w:tc>
        <w:tc>
          <w:tcPr>
            <w:tcW w:type="dxa" w:w="1512"/>
            <w:vAlign w:val="top"/>
          </w:tcPr>
          <w:p>
            <w:pPr>
              <w:spacing w:after="40" w:before="0" w:line="259" w:lineRule="auto"/>
            </w:pPr>
            <w:r>
              <w:rPr>
                <w:rFonts w:ascii="Calibri" w:hAnsi="Calibri"/>
                <w:b w:val="0"/>
                <w:i w:val="0"/>
                <w:color w:val="212121"/>
                <w:sz w:val="19"/>
              </w:rPr>
              <w:t>&lt; 20 ng/mL (deficient)</w:t>
            </w:r>
          </w:p>
        </w:tc>
        <w:tc>
          <w:tcPr>
            <w:tcW w:type="dxa" w:w="1468"/>
            <w:vAlign w:val="top"/>
          </w:tcPr>
          <w:p>
            <w:pPr>
              <w:spacing w:after="60" w:line="259" w:lineRule="auto"/>
            </w:pPr>
            <w:r>
              <w:rPr>
                <w:rFonts w:ascii="Calibri" w:hAnsi="Calibri"/>
                <w:b w:val="0"/>
                <w:i w:val="0"/>
                <w:color w:val="212121"/>
                <w:sz w:val="19"/>
              </w:rPr>
              <w:t>Deficiency is very common in India and linked to musculoskeletal pain and low bone density</w:t>
            </w:r>
          </w:p>
          <w:p>
            <w:pPr>
              <w:spacing w:after="40" w:line="252" w:lineRule="auto"/>
            </w:pPr>
            <w:hyperlink r:id="rId15">
              <w:r>
                <w:rPr>
                  <w:rFonts w:ascii="Calibri" w:hAnsi="Calibri" w:cs="Calibri"/>
                  <w:sz w:val="18"/>
                  <w:color w:val="1155CC"/>
                  <w:u w:val="single"/>
                </w:rPr>
                <w:t xml:space="preserve">https://ijmr.org.in/prevalence-of-hypovitaminosis-d-in-india-way-forward/</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Depression/anxiety screen (e.g. PHQ-9 / HADS)</w:t>
            </w:r>
          </w:p>
        </w:tc>
        <w:tc>
          <w:tcPr>
            <w:tcW w:type="dxa" w:w="1655"/>
            <w:vAlign w:val="top"/>
          </w:tcPr>
          <w:p>
            <w:pPr>
              <w:spacing w:after="40" w:before="0" w:line="259" w:lineRule="auto"/>
            </w:pPr>
            <w:r>
              <w:rPr>
                <w:rFonts w:ascii="Calibri" w:hAnsi="Calibri"/>
                <w:b w:val="0"/>
                <w:i w:val="0"/>
                <w:color w:val="212121"/>
                <w:sz w:val="19"/>
              </w:rPr>
              <w:t>Subacute/chronic spinal pain</w:t>
            </w:r>
          </w:p>
        </w:tc>
        <w:tc>
          <w:tcPr>
            <w:tcW w:type="dxa" w:w="1512"/>
            <w:vAlign w:val="top"/>
          </w:tcPr>
          <w:p>
            <w:pPr>
              <w:spacing w:after="40" w:before="0" w:line="259" w:lineRule="auto"/>
            </w:pPr>
            <w:r>
              <w:rPr>
                <w:rFonts w:ascii="Calibri" w:hAnsi="Calibri"/>
                <w:b w:val="0"/>
                <w:i w:val="0"/>
                <w:color w:val="212121"/>
                <w:sz w:val="19"/>
              </w:rPr>
              <w:t>Below clinical threshold</w:t>
            </w:r>
          </w:p>
        </w:tc>
        <w:tc>
          <w:tcPr>
            <w:tcW w:type="dxa" w:w="1512"/>
            <w:vAlign w:val="top"/>
          </w:tcPr>
          <w:p>
            <w:pPr>
              <w:spacing w:after="40" w:before="0" w:line="259" w:lineRule="auto"/>
            </w:pPr>
            <w:r>
              <w:rPr>
                <w:rFonts w:ascii="Calibri" w:hAnsi="Calibri"/>
                <w:b w:val="0"/>
                <w:i w:val="0"/>
                <w:color w:val="212121"/>
                <w:sz w:val="19"/>
              </w:rPr>
              <w:t>Screen-positive distress / high fear-avoidance</w:t>
            </w:r>
          </w:p>
        </w:tc>
        <w:tc>
          <w:tcPr>
            <w:tcW w:type="dxa" w:w="1468"/>
            <w:vAlign w:val="top"/>
          </w:tcPr>
          <w:p>
            <w:pPr>
              <w:spacing w:after="40" w:before="0" w:line="259" w:lineRule="auto"/>
            </w:pPr>
            <w:r>
              <w:rPr>
                <w:rFonts w:ascii="Calibri" w:hAnsi="Calibri"/>
                <w:b w:val="0"/>
                <w:i w:val="0"/>
                <w:color w:val="212121"/>
                <w:sz w:val="19"/>
              </w:rPr>
              <w:t>Distress and catastrophising predict transition to chronic disabling pain</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Waist circumference (central obesity)</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 (Asian cut-offs)</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40" w:before="0" w:line="259" w:lineRule="auto"/>
            </w:pPr>
            <w:r>
              <w:rPr>
                <w:rFonts w:ascii="Calibri" w:hAnsi="Calibri"/>
                <w:b w:val="0"/>
                <w:i w:val="0"/>
                <w:color w:val="212121"/>
                <w:sz w:val="19"/>
              </w:rPr>
              <w:t>Central adiposity adds spinal load and pro-inflammatory drive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Plain X-ray spine (AP, lateral, flexion-extension)</w:t>
            </w:r>
          </w:p>
        </w:tc>
        <w:tc>
          <w:tcPr>
            <w:tcW w:type="dxa" w:w="892"/>
            <w:vAlign w:val="top"/>
          </w:tcPr>
          <w:p>
            <w:pPr>
              <w:spacing w:after="40" w:before="0" w:line="259" w:lineRule="auto"/>
            </w:pPr>
            <w:r>
              <w:rPr>
                <w:rFonts w:ascii="Calibri" w:hAnsi="Calibri"/>
                <w:b w:val="0"/>
                <w:i w:val="0"/>
                <w:color w:val="212121"/>
                <w:sz w:val="16"/>
              </w:rPr>
              <w:t>Radiograph</w:t>
            </w:r>
          </w:p>
        </w:tc>
        <w:tc>
          <w:tcPr>
            <w:tcW w:type="dxa" w:w="950"/>
            <w:vAlign w:val="top"/>
          </w:tcPr>
          <w:p>
            <w:pPr>
              <w:spacing w:after="40" w:before="0" w:line="259" w:lineRule="auto"/>
            </w:pPr>
            <w:r>
              <w:rPr>
                <w:rFonts w:ascii="Calibri" w:hAnsi="Calibri"/>
                <w:b w:val="0"/>
                <w:i w:val="0"/>
                <w:color w:val="212121"/>
                <w:sz w:val="16"/>
              </w:rPr>
              <w:t>Normal alignment, disc height and vertebral margins</w:t>
            </w:r>
          </w:p>
        </w:tc>
        <w:tc>
          <w:tcPr>
            <w:tcW w:type="dxa" w:w="950"/>
            <w:vAlign w:val="top"/>
          </w:tcPr>
          <w:p>
            <w:pPr>
              <w:spacing w:after="40" w:before="0" w:line="259" w:lineRule="auto"/>
            </w:pPr>
            <w:r>
              <w:rPr>
                <w:rFonts w:ascii="Calibri" w:hAnsi="Calibri"/>
                <w:b w:val="0"/>
                <w:i w:val="0"/>
                <w:color w:val="212121"/>
                <w:sz w:val="16"/>
              </w:rPr>
              <w:t>Osteophytes, disc-space narrowing, facet sclerosis, loss of lordosis, spondylolisthesis</w:t>
            </w:r>
          </w:p>
        </w:tc>
        <w:tc>
          <w:tcPr>
            <w:tcW w:type="dxa" w:w="1036"/>
            <w:vAlign w:val="top"/>
          </w:tcPr>
          <w:p>
            <w:pPr>
              <w:spacing w:after="40" w:before="0" w:line="259" w:lineRule="auto"/>
            </w:pPr>
            <w:r>
              <w:rPr>
                <w:rFonts w:ascii="Calibri" w:hAnsi="Calibri"/>
                <w:b w:val="0"/>
                <w:i w:val="0"/>
                <w:color w:val="212121"/>
                <w:sz w:val="16"/>
              </w:rPr>
              <w:t>Confirms degenerative spondylosis and alignment/instability; changes are near-universal with age so correlate clinically</w:t>
            </w:r>
          </w:p>
        </w:tc>
        <w:tc>
          <w:tcPr>
            <w:tcW w:type="dxa" w:w="1036"/>
            <w:vAlign w:val="top"/>
          </w:tcPr>
          <w:p>
            <w:pPr>
              <w:spacing w:after="40" w:before="0" w:line="259" w:lineRule="auto"/>
            </w:pPr>
            <w:r>
              <w:rPr>
                <w:rFonts w:ascii="Calibri" w:hAnsi="Calibri"/>
                <w:b w:val="0"/>
                <w:i w:val="0"/>
                <w:color w:val="212121"/>
                <w:sz w:val="16"/>
              </w:rPr>
              <w:t>Chronic spinal pain, trauma, elderly, suspected instability/deformity</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Not indicated for acute non-specific pain; flexion-extension views assess instability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spine</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disc herniation, foraminal/canal stenosis or cord/root compression</w:t>
            </w:r>
          </w:p>
        </w:tc>
        <w:tc>
          <w:tcPr>
            <w:tcW w:type="dxa" w:w="950"/>
            <w:vAlign w:val="top"/>
          </w:tcPr>
          <w:p>
            <w:pPr>
              <w:spacing w:after="40" w:before="0" w:line="259" w:lineRule="auto"/>
            </w:pPr>
            <w:r>
              <w:rPr>
                <w:rFonts w:ascii="Calibri" w:hAnsi="Calibri"/>
                <w:b w:val="0"/>
                <w:i w:val="0"/>
                <w:color w:val="212121"/>
                <w:sz w:val="16"/>
              </w:rPr>
              <w:t>Disc degeneration/herniation, foraminal or central canal stenosis, cord compression/myelomalacia, infection, tumour</w:t>
            </w:r>
          </w:p>
        </w:tc>
        <w:tc>
          <w:tcPr>
            <w:tcW w:type="dxa" w:w="1036"/>
            <w:vAlign w:val="top"/>
          </w:tcPr>
          <w:p>
            <w:pPr>
              <w:spacing w:after="40" w:before="0" w:line="259" w:lineRule="auto"/>
            </w:pPr>
            <w:r>
              <w:rPr>
                <w:rFonts w:ascii="Calibri" w:hAnsi="Calibri"/>
                <w:b w:val="0"/>
                <w:i w:val="0"/>
                <w:color w:val="212121"/>
                <w:sz w:val="16"/>
              </w:rPr>
              <w:t>Investigation of choice for radiculopathy, myelopathy, stenosis, infection and neoplasm; Pfirrmann-grades disc degeneration</w:t>
            </w:r>
          </w:p>
        </w:tc>
        <w:tc>
          <w:tcPr>
            <w:tcW w:type="dxa" w:w="1036"/>
            <w:vAlign w:val="top"/>
          </w:tcPr>
          <w:p>
            <w:pPr>
              <w:spacing w:after="40" w:before="0" w:line="259" w:lineRule="auto"/>
            </w:pPr>
            <w:r>
              <w:rPr>
                <w:rFonts w:ascii="Calibri" w:hAnsi="Calibri"/>
                <w:b w:val="0"/>
                <w:i w:val="0"/>
                <w:color w:val="212121"/>
                <w:sz w:val="16"/>
              </w:rPr>
              <w:t>Persistent radiculopathy, suspected myelopathy/cauda equina, red flags, surgical planning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Reserve for red flags or deficit; degenerative findings are common in asymptomatic people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spine</w:t>
            </w:r>
          </w:p>
        </w:tc>
        <w:tc>
          <w:tcPr>
            <w:tcW w:type="dxa" w:w="892"/>
            <w:vAlign w:val="top"/>
          </w:tcPr>
          <w:p>
            <w:pPr>
              <w:spacing w:after="40" w:before="0" w:line="259" w:lineRule="auto"/>
            </w:pPr>
            <w:r>
              <w:rPr>
                <w:rFonts w:ascii="Calibri" w:hAnsi="Calibri"/>
                <w:b w:val="0"/>
                <w:i w:val="0"/>
                <w:color w:val="212121"/>
                <w:sz w:val="16"/>
              </w:rPr>
              <w:t>Computed tomography</w:t>
            </w:r>
          </w:p>
        </w:tc>
        <w:tc>
          <w:tcPr>
            <w:tcW w:type="dxa" w:w="950"/>
            <w:vAlign w:val="top"/>
          </w:tcPr>
          <w:p>
            <w:pPr>
              <w:spacing w:after="40" w:before="0" w:line="259" w:lineRule="auto"/>
            </w:pPr>
            <w:r>
              <w:rPr>
                <w:rFonts w:ascii="Calibri" w:hAnsi="Calibri"/>
                <w:b w:val="0"/>
                <w:i w:val="0"/>
                <w:color w:val="212121"/>
                <w:sz w:val="16"/>
              </w:rPr>
              <w:t>Intact bony architecture</w:t>
            </w:r>
          </w:p>
        </w:tc>
        <w:tc>
          <w:tcPr>
            <w:tcW w:type="dxa" w:w="950"/>
            <w:vAlign w:val="top"/>
          </w:tcPr>
          <w:p>
            <w:pPr>
              <w:spacing w:after="40" w:before="0" w:line="259" w:lineRule="auto"/>
            </w:pPr>
            <w:r>
              <w:rPr>
                <w:rFonts w:ascii="Calibri" w:hAnsi="Calibri"/>
                <w:b w:val="0"/>
                <w:i w:val="0"/>
                <w:color w:val="212121"/>
                <w:sz w:val="16"/>
              </w:rPr>
              <w:t>Fracture, bony canal stenosis, large osteophytes, ossified posterior longitudinal ligament, facet arthrosis</w:t>
            </w:r>
          </w:p>
        </w:tc>
        <w:tc>
          <w:tcPr>
            <w:tcW w:type="dxa" w:w="1036"/>
            <w:vAlign w:val="top"/>
          </w:tcPr>
          <w:p>
            <w:pPr>
              <w:spacing w:after="40" w:before="0" w:line="259" w:lineRule="auto"/>
            </w:pPr>
            <w:r>
              <w:rPr>
                <w:rFonts w:ascii="Calibri" w:hAnsi="Calibri"/>
                <w:b w:val="0"/>
                <w:i w:val="0"/>
                <w:color w:val="212121"/>
                <w:sz w:val="16"/>
              </w:rPr>
              <w:t>Best bony detail; complements MRI where fracture, OPLL or complex bony stenosis is suspected</w:t>
            </w:r>
          </w:p>
        </w:tc>
        <w:tc>
          <w:tcPr>
            <w:tcW w:type="dxa" w:w="1036"/>
            <w:vAlign w:val="top"/>
          </w:tcPr>
          <w:p>
            <w:pPr>
              <w:spacing w:after="40" w:before="0" w:line="259" w:lineRule="auto"/>
            </w:pPr>
            <w:r>
              <w:rPr>
                <w:rFonts w:ascii="Calibri" w:hAnsi="Calibri"/>
                <w:b w:val="0"/>
                <w:i w:val="0"/>
                <w:color w:val="212121"/>
                <w:sz w:val="16"/>
              </w:rPr>
              <w:t>Trauma, suspected fracture, OPLL, MRI-contraindicated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CT myelography if MRI contraindicated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w:t>
            </w:r>
          </w:p>
        </w:tc>
        <w:tc>
          <w:tcPr>
            <w:tcW w:type="dxa" w:w="1036"/>
            <w:vAlign w:val="top"/>
          </w:tcPr>
          <w:p>
            <w:pPr>
              <w:spacing w:after="40" w:before="0" w:line="259" w:lineRule="auto"/>
            </w:pPr>
            <w:r>
              <w:rPr>
                <w:rFonts w:ascii="Calibri" w:hAnsi="Calibri"/>
                <w:b w:val="0"/>
                <w:i w:val="0"/>
                <w:color w:val="212121"/>
                <w:sz w:val="16"/>
              </w:rPr>
              <w:t>Nerve conduction study / EMG</w:t>
            </w:r>
          </w:p>
        </w:tc>
        <w:tc>
          <w:tcPr>
            <w:tcW w:type="dxa" w:w="892"/>
            <w:vAlign w:val="top"/>
          </w:tcPr>
          <w:p>
            <w:pPr>
              <w:spacing w:after="40" w:before="0" w:line="259" w:lineRule="auto"/>
            </w:pPr>
            <w:r>
              <w:rPr>
                <w:rFonts w:ascii="Calibri" w:hAnsi="Calibri"/>
                <w:b w:val="0"/>
                <w:i w:val="0"/>
                <w:color w:val="212121"/>
                <w:sz w:val="16"/>
              </w:rPr>
              <w:t>Electrodiagnostics</w:t>
            </w:r>
          </w:p>
        </w:tc>
        <w:tc>
          <w:tcPr>
            <w:tcW w:type="dxa" w:w="950"/>
            <w:vAlign w:val="top"/>
          </w:tcPr>
          <w:p>
            <w:pPr>
              <w:spacing w:after="40" w:before="0" w:line="259" w:lineRule="auto"/>
            </w:pPr>
            <w:r>
              <w:rPr>
                <w:rFonts w:ascii="Calibri" w:hAnsi="Calibri"/>
                <w:b w:val="0"/>
                <w:i w:val="0"/>
                <w:color w:val="212121"/>
                <w:sz w:val="16"/>
              </w:rPr>
              <w:t>Normal conduction and needle EMG</w:t>
            </w:r>
          </w:p>
        </w:tc>
        <w:tc>
          <w:tcPr>
            <w:tcW w:type="dxa" w:w="950"/>
            <w:vAlign w:val="top"/>
          </w:tcPr>
          <w:p>
            <w:pPr>
              <w:spacing w:after="40" w:before="0" w:line="259" w:lineRule="auto"/>
            </w:pPr>
            <w:r>
              <w:rPr>
                <w:rFonts w:ascii="Calibri" w:hAnsi="Calibri"/>
                <w:b w:val="0"/>
                <w:i w:val="0"/>
                <w:color w:val="212121"/>
                <w:sz w:val="16"/>
              </w:rPr>
              <w:t>Radiculopathy pattern; distinguishes peripheral entrapment/neuropathy</w:t>
            </w:r>
          </w:p>
        </w:tc>
        <w:tc>
          <w:tcPr>
            <w:tcW w:type="dxa" w:w="1036"/>
            <w:vAlign w:val="top"/>
          </w:tcPr>
          <w:p>
            <w:pPr>
              <w:spacing w:after="40" w:before="0" w:line="259" w:lineRule="auto"/>
            </w:pPr>
            <w:r>
              <w:rPr>
                <w:rFonts w:ascii="Calibri" w:hAnsi="Calibri"/>
                <w:b w:val="0"/>
                <w:i w:val="0"/>
                <w:color w:val="212121"/>
                <w:sz w:val="16"/>
              </w:rPr>
              <w:t>Confirms and localises nerve-root involvement and separates radiculopathy from peripheral neuropathy</w:t>
            </w:r>
          </w:p>
        </w:tc>
        <w:tc>
          <w:tcPr>
            <w:tcW w:type="dxa" w:w="1036"/>
            <w:vAlign w:val="top"/>
          </w:tcPr>
          <w:p>
            <w:pPr>
              <w:spacing w:after="40" w:before="0" w:line="259" w:lineRule="auto"/>
            </w:pPr>
            <w:r>
              <w:rPr>
                <w:rFonts w:ascii="Calibri" w:hAnsi="Calibri"/>
                <w:b w:val="0"/>
                <w:i w:val="0"/>
                <w:color w:val="212121"/>
                <w:sz w:val="16"/>
              </w:rPr>
              <w:t>Atypical, multilevel or diagnostically unclear limb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Adjunct to MRI, not first-line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w:t>
            </w:r>
          </w:p>
        </w:tc>
        <w:tc>
          <w:tcPr>
            <w:tcW w:type="dxa" w:w="1036"/>
            <w:vAlign w:val="top"/>
          </w:tcPr>
          <w:p>
            <w:pPr>
              <w:spacing w:after="40" w:before="0" w:line="259" w:lineRule="auto"/>
            </w:pPr>
            <w:r>
              <w:rPr>
                <w:rFonts w:ascii="Calibri" w:hAnsi="Calibri"/>
                <w:b w:val="0"/>
                <w:i w:val="0"/>
                <w:color w:val="212121"/>
                <w:sz w:val="16"/>
              </w:rPr>
              <w:t>Diagnostic medial-branch / facet block</w:t>
            </w:r>
          </w:p>
        </w:tc>
        <w:tc>
          <w:tcPr>
            <w:tcW w:type="dxa" w:w="892"/>
            <w:vAlign w:val="top"/>
          </w:tcPr>
          <w:p>
            <w:pPr>
              <w:spacing w:after="40" w:before="0" w:line="259" w:lineRule="auto"/>
            </w:pPr>
            <w:r>
              <w:rPr>
                <w:rFonts w:ascii="Calibri" w:hAnsi="Calibri"/>
                <w:b w:val="0"/>
                <w:i w:val="0"/>
                <w:color w:val="212121"/>
                <w:sz w:val="16"/>
              </w:rPr>
              <w:t>Image-guided injection</w:t>
            </w:r>
          </w:p>
        </w:tc>
        <w:tc>
          <w:tcPr>
            <w:tcW w:type="dxa" w:w="950"/>
            <w:vAlign w:val="top"/>
          </w:tcPr>
          <w:p>
            <w:pPr>
              <w:spacing w:after="40" w:before="0" w:line="259" w:lineRule="auto"/>
            </w:pPr>
            <w:r>
              <w:rPr>
                <w:rFonts w:ascii="Calibri" w:hAnsi="Calibri"/>
                <w:b w:val="0"/>
                <w:i w:val="0"/>
                <w:color w:val="212121"/>
                <w:sz w:val="16"/>
              </w:rPr>
              <w:t>&lt; 50% pain relief</w:t>
            </w:r>
          </w:p>
        </w:tc>
        <w:tc>
          <w:tcPr>
            <w:tcW w:type="dxa" w:w="950"/>
            <w:vAlign w:val="top"/>
          </w:tcPr>
          <w:p>
            <w:pPr>
              <w:spacing w:after="40" w:before="0" w:line="259" w:lineRule="auto"/>
            </w:pPr>
            <w:r>
              <w:rPr>
                <w:rFonts w:ascii="Calibri" w:hAnsi="Calibri"/>
                <w:b w:val="0"/>
                <w:i w:val="0"/>
                <w:color w:val="212121"/>
                <w:sz w:val="16"/>
              </w:rPr>
              <w:t>&gt;= 50% pain relief after block</w:t>
            </w:r>
          </w:p>
        </w:tc>
        <w:tc>
          <w:tcPr>
            <w:tcW w:type="dxa" w:w="1036"/>
            <w:vAlign w:val="top"/>
          </w:tcPr>
          <w:p>
            <w:pPr>
              <w:spacing w:after="40" w:before="0" w:line="259" w:lineRule="auto"/>
            </w:pPr>
            <w:r>
              <w:rPr>
                <w:rFonts w:ascii="Calibri" w:hAnsi="Calibri"/>
                <w:b w:val="0"/>
                <w:i w:val="0"/>
                <w:color w:val="212121"/>
                <w:sz w:val="16"/>
              </w:rPr>
              <w:t>Confirms facet (zygapophyseal) joint as the pain source and guides radiofrequency ablation</w:t>
            </w:r>
          </w:p>
        </w:tc>
        <w:tc>
          <w:tcPr>
            <w:tcW w:type="dxa" w:w="1036"/>
            <w:vAlign w:val="top"/>
          </w:tcPr>
          <w:p>
            <w:pPr>
              <w:spacing w:after="40" w:before="0" w:line="259" w:lineRule="auto"/>
            </w:pPr>
            <w:r>
              <w:rPr>
                <w:rFonts w:ascii="Calibri" w:hAnsi="Calibri"/>
                <w:b w:val="0"/>
                <w:i w:val="0"/>
                <w:color w:val="212121"/>
                <w:sz w:val="16"/>
              </w:rPr>
              <w:t>Suspected facet-mediated axial pain failing conservative care</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Reference standard for facet-mediated pain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ESR / C-reactive protein</w:t>
            </w:r>
          </w:p>
        </w:tc>
        <w:tc>
          <w:tcPr>
            <w:tcW w:type="dxa" w:w="892"/>
            <w:vAlign w:val="top"/>
          </w:tcPr>
          <w:p>
            <w:pPr>
              <w:spacing w:after="40" w:before="0" w:line="259" w:lineRule="auto"/>
            </w:pPr>
            <w:r>
              <w:rPr>
                <w:rFonts w:ascii="Calibri" w:hAnsi="Calibri"/>
                <w:b w:val="0"/>
                <w:i w:val="0"/>
                <w:color w:val="212121"/>
                <w:sz w:val="16"/>
              </w:rPr>
              <w:t>Inflammatory markers</w:t>
            </w:r>
          </w:p>
        </w:tc>
        <w:tc>
          <w:tcPr>
            <w:tcW w:type="dxa" w:w="950"/>
            <w:vAlign w:val="top"/>
          </w:tcPr>
          <w:p>
            <w:pPr>
              <w:spacing w:after="40" w:before="0" w:line="259" w:lineRule="auto"/>
            </w:pPr>
            <w:r>
              <w:rPr>
                <w:rFonts w:ascii="Calibri" w:hAnsi="Calibri"/>
                <w:b w:val="0"/>
                <w:i w:val="0"/>
                <w:color w:val="212121"/>
                <w:sz w:val="16"/>
              </w:rPr>
              <w:t>Normal</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Raised markers suggest infection (incl. spinal TB), malignancy or inflammatory arthritis rather than simple spondylosis</w:t>
            </w:r>
          </w:p>
        </w:tc>
        <w:tc>
          <w:tcPr>
            <w:tcW w:type="dxa" w:w="1036"/>
            <w:vAlign w:val="top"/>
          </w:tcPr>
          <w:p>
            <w:pPr>
              <w:spacing w:after="40" w:before="0" w:line="259" w:lineRule="auto"/>
            </w:pPr>
            <w:r>
              <w:rPr>
                <w:rFonts w:ascii="Calibri" w:hAnsi="Calibri"/>
                <w:b w:val="0"/>
                <w:i w:val="0"/>
                <w:color w:val="212121"/>
                <w:sz w:val="16"/>
              </w:rPr>
              <w:t>Fever, night pain, weight loss, suspected TB spine or inflammatory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Order only when serious pathology is suspected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Special</w:t>
            </w:r>
          </w:p>
        </w:tc>
        <w:tc>
          <w:tcPr>
            <w:tcW w:type="dxa" w:w="1036"/>
            <w:vAlign w:val="top"/>
          </w:tcPr>
          <w:p>
            <w:pPr>
              <w:spacing w:after="40" w:before="0" w:line="259" w:lineRule="auto"/>
            </w:pPr>
            <w:r>
              <w:rPr>
                <w:rFonts w:ascii="Calibri" w:hAnsi="Calibri"/>
                <w:b w:val="0"/>
                <w:i w:val="0"/>
                <w:color w:val="212121"/>
                <w:sz w:val="16"/>
              </w:rPr>
              <w:t>HLA-B27</w:t>
            </w:r>
          </w:p>
        </w:tc>
        <w:tc>
          <w:tcPr>
            <w:tcW w:type="dxa" w:w="892"/>
            <w:vAlign w:val="top"/>
          </w:tcPr>
          <w:p>
            <w:pPr>
              <w:spacing w:after="40" w:before="0" w:line="259" w:lineRule="auto"/>
            </w:pPr>
            <w:r>
              <w:rPr>
                <w:rFonts w:ascii="Calibri" w:hAnsi="Calibri"/>
                <w:b w:val="0"/>
                <w:i w:val="0"/>
                <w:color w:val="212121"/>
                <w:sz w:val="16"/>
              </w:rPr>
              <w:t>Immunogenetic test</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Supports inflammatory axial spondyloarthritis when the pain pattern is inflammatory (young, morning stiffness, eases with movement) rather than degenerative</w:t>
            </w:r>
          </w:p>
        </w:tc>
        <w:tc>
          <w:tcPr>
            <w:tcW w:type="dxa" w:w="1036"/>
            <w:vAlign w:val="top"/>
          </w:tcPr>
          <w:p>
            <w:pPr>
              <w:spacing w:after="40" w:before="0" w:line="259" w:lineRule="auto"/>
            </w:pPr>
            <w:r>
              <w:rPr>
                <w:rFonts w:ascii="Calibri" w:hAnsi="Calibri"/>
                <w:b w:val="0"/>
                <w:i w:val="0"/>
                <w:color w:val="212121"/>
                <w:sz w:val="16"/>
              </w:rPr>
              <w:t>Age &lt; 45, inflammatory back pain pattern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Distinguishes spondyloarthritis from degenerative spondylosis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25-hydroxyvitamin D, calcium, ALP (+ DEXA if indicated)</w:t>
            </w:r>
          </w:p>
        </w:tc>
        <w:tc>
          <w:tcPr>
            <w:tcW w:type="dxa" w:w="892"/>
            <w:vAlign w:val="top"/>
          </w:tcPr>
          <w:p>
            <w:pPr>
              <w:spacing w:after="40" w:before="0" w:line="259" w:lineRule="auto"/>
            </w:pPr>
            <w:r>
              <w:rPr>
                <w:rFonts w:ascii="Calibri" w:hAnsi="Calibri"/>
                <w:b w:val="0"/>
                <w:i w:val="0"/>
                <w:color w:val="212121"/>
                <w:sz w:val="16"/>
              </w:rPr>
              <w:t>Bone/vitamin profile</w:t>
            </w:r>
          </w:p>
        </w:tc>
        <w:tc>
          <w:tcPr>
            <w:tcW w:type="dxa" w:w="950"/>
            <w:vAlign w:val="top"/>
          </w:tcPr>
          <w:p>
            <w:pPr>
              <w:spacing w:after="40" w:before="0" w:line="259" w:lineRule="auto"/>
            </w:pPr>
            <w:r>
              <w:rPr>
                <w:rFonts w:ascii="Calibri" w:hAnsi="Calibri"/>
                <w:b w:val="0"/>
                <w:i w:val="0"/>
                <w:color w:val="212121"/>
                <w:sz w:val="16"/>
              </w:rPr>
              <w:t>Vitamin D &gt;= 30 ng/mL; normal bone profile and BMD</w:t>
            </w:r>
          </w:p>
        </w:tc>
        <w:tc>
          <w:tcPr>
            <w:tcW w:type="dxa" w:w="950"/>
            <w:vAlign w:val="top"/>
          </w:tcPr>
          <w:p>
            <w:pPr>
              <w:spacing w:after="40" w:before="0" w:line="259" w:lineRule="auto"/>
            </w:pPr>
            <w:r>
              <w:rPr>
                <w:rFonts w:ascii="Calibri" w:hAnsi="Calibri"/>
                <w:b w:val="0"/>
                <w:i w:val="0"/>
                <w:color w:val="212121"/>
                <w:sz w:val="16"/>
              </w:rPr>
              <w:t>Vitamin D &lt; 20 ng/mL; deranged bone profile; low BMD (T-score &lt;= -2.5)</w:t>
            </w:r>
          </w:p>
        </w:tc>
        <w:tc>
          <w:tcPr>
            <w:tcW w:type="dxa" w:w="1036"/>
            <w:vAlign w:val="top"/>
          </w:tcPr>
          <w:p>
            <w:pPr>
              <w:spacing w:after="40" w:before="0" w:line="259" w:lineRule="auto"/>
            </w:pPr>
            <w:r>
              <w:rPr>
                <w:rFonts w:ascii="Calibri" w:hAnsi="Calibri"/>
                <w:b w:val="0"/>
                <w:i w:val="0"/>
                <w:color w:val="212121"/>
                <w:sz w:val="16"/>
              </w:rPr>
              <w:t>Deficiency contributes to musculoskeletal pain, low bone density and fragility/degenerative spondylolisthesis</w:t>
            </w:r>
          </w:p>
        </w:tc>
        <w:tc>
          <w:tcPr>
            <w:tcW w:type="dxa" w:w="1036"/>
            <w:vAlign w:val="top"/>
          </w:tcPr>
          <w:p>
            <w:pPr>
              <w:spacing w:after="40" w:before="0" w:line="259" w:lineRule="auto"/>
            </w:pPr>
            <w:r>
              <w:rPr>
                <w:rFonts w:ascii="Calibri" w:hAnsi="Calibri"/>
                <w:b w:val="0"/>
                <w:i w:val="0"/>
                <w:color w:val="212121"/>
                <w:sz w:val="16"/>
              </w:rPr>
              <w:t>Chronic pain, elderly, post-menopausal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Vitamin D deficiency very common in India; correct as an adjunct</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Pain characterisation</w:t>
            </w:r>
          </w:p>
        </w:tc>
        <w:tc>
          <w:tcPr>
            <w:tcW w:type="dxa" w:w="979"/>
            <w:vAlign w:val="top"/>
          </w:tcPr>
          <w:p>
            <w:pPr>
              <w:spacing w:after="40" w:before="0" w:line="259" w:lineRule="auto"/>
            </w:pPr>
            <w:r>
              <w:rPr>
                <w:rFonts w:ascii="Calibri" w:hAnsi="Calibri"/>
                <w:b w:val="0"/>
                <w:i w:val="0"/>
                <w:color w:val="212121"/>
                <w:sz w:val="16"/>
              </w:rPr>
              <w:t>Region, duration, radiation, mechanical vs inflammatory pattern</w:t>
            </w:r>
          </w:p>
        </w:tc>
        <w:tc>
          <w:tcPr>
            <w:tcW w:type="dxa" w:w="950"/>
            <w:vAlign w:val="top"/>
          </w:tcPr>
          <w:p>
            <w:pPr>
              <w:spacing w:after="40" w:before="0" w:line="259" w:lineRule="auto"/>
            </w:pPr>
            <w:r>
              <w:rPr>
                <w:rFonts w:ascii="Calibri" w:hAnsi="Calibri"/>
                <w:b w:val="0"/>
                <w:i w:val="0"/>
                <w:color w:val="212121"/>
                <w:sz w:val="16"/>
              </w:rPr>
              <w:t>Mechanical: dull deep ache, worse on extension/standing/activity, eased by rest/flexion</w:t>
            </w:r>
          </w:p>
        </w:tc>
        <w:tc>
          <w:tcPr>
            <w:tcW w:type="dxa" w:w="950"/>
            <w:vAlign w:val="top"/>
          </w:tcPr>
          <w:p>
            <w:pPr>
              <w:spacing w:after="40" w:before="0" w:line="259" w:lineRule="auto"/>
            </w:pPr>
            <w:r>
              <w:rPr>
                <w:rFonts w:ascii="Calibri" w:hAnsi="Calibri"/>
                <w:b w:val="0"/>
                <w:i w:val="0"/>
                <w:color w:val="212121"/>
                <w:sz w:val="16"/>
              </w:rPr>
              <w:t>Unremitting night/rest pain; inflammatory morning stiffness; limb/neurological symptoms</w:t>
            </w:r>
          </w:p>
        </w:tc>
        <w:tc>
          <w:tcPr>
            <w:tcW w:type="dxa" w:w="1036"/>
            <w:vAlign w:val="top"/>
          </w:tcPr>
          <w:p>
            <w:pPr>
              <w:spacing w:after="40" w:before="0" w:line="259" w:lineRule="auto"/>
            </w:pPr>
            <w:r>
              <w:rPr>
                <w:rFonts w:ascii="Calibri" w:hAnsi="Calibri"/>
                <w:b w:val="0"/>
                <w:i w:val="0"/>
                <w:color w:val="212121"/>
                <w:sz w:val="16"/>
              </w:rPr>
              <w:t>Separates benign axial spondylosis from radiculopathy, myelopathy, claudication and serious disease</w:t>
            </w:r>
          </w:p>
        </w:tc>
        <w:tc>
          <w:tcPr>
            <w:tcW w:type="dxa" w:w="1036"/>
            <w:vAlign w:val="top"/>
          </w:tcPr>
          <w:p>
            <w:pPr>
              <w:spacing w:after="40" w:before="0" w:line="259" w:lineRule="auto"/>
            </w:pPr>
            <w:r>
              <w:rPr>
                <w:rFonts w:ascii="Calibri" w:hAnsi="Calibri"/>
                <w:b w:val="0"/>
                <w:i w:val="0"/>
                <w:color w:val="212121"/>
                <w:sz w:val="16"/>
              </w:rPr>
              <w:t>All patients with spinal pain</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First step in triage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screen</w:t>
            </w:r>
          </w:p>
        </w:tc>
        <w:tc>
          <w:tcPr>
            <w:tcW w:type="dxa" w:w="979"/>
            <w:vAlign w:val="top"/>
          </w:tcPr>
          <w:p>
            <w:pPr>
              <w:spacing w:after="40" w:before="0" w:line="259" w:lineRule="auto"/>
            </w:pPr>
            <w:r>
              <w:rPr>
                <w:rFonts w:ascii="Calibri" w:hAnsi="Calibri"/>
                <w:b w:val="0"/>
                <w:i w:val="0"/>
                <w:color w:val="212121"/>
                <w:sz w:val="16"/>
              </w:rPr>
              <w:t>Trauma, cancer, weight loss, fever/TB, cauda equina, myelopathy symptoms</w:t>
            </w:r>
          </w:p>
        </w:tc>
        <w:tc>
          <w:tcPr>
            <w:tcW w:type="dxa" w:w="950"/>
            <w:vAlign w:val="top"/>
          </w:tcPr>
          <w:p>
            <w:pPr>
              <w:spacing w:after="40" w:before="0" w:line="259" w:lineRule="auto"/>
            </w:pPr>
            <w:r>
              <w:rPr>
                <w:rFonts w:ascii="Calibri" w:hAnsi="Calibri"/>
                <w:b w:val="0"/>
                <w:i w:val="0"/>
                <w:color w:val="212121"/>
                <w:sz w:val="16"/>
              </w:rPr>
              <w:t>No red flags</w:t>
            </w:r>
          </w:p>
        </w:tc>
        <w:tc>
          <w:tcPr>
            <w:tcW w:type="dxa" w:w="950"/>
            <w:vAlign w:val="top"/>
          </w:tcPr>
          <w:p>
            <w:pPr>
              <w:spacing w:after="40" w:before="0" w:line="259" w:lineRule="auto"/>
            </w:pPr>
            <w:r>
              <w:rPr>
                <w:rFonts w:ascii="Calibri" w:hAnsi="Calibri"/>
                <w:b w:val="0"/>
                <w:i w:val="0"/>
                <w:color w:val="212121"/>
                <w:sz w:val="16"/>
              </w:rPr>
              <w:t>Any red flag present</w:t>
            </w:r>
          </w:p>
        </w:tc>
        <w:tc>
          <w:tcPr>
            <w:tcW w:type="dxa" w:w="1036"/>
            <w:vAlign w:val="top"/>
          </w:tcPr>
          <w:p>
            <w:pPr>
              <w:spacing w:after="40" w:before="0" w:line="259" w:lineRule="auto"/>
            </w:pPr>
            <w:r>
              <w:rPr>
                <w:rFonts w:ascii="Calibri" w:hAnsi="Calibri"/>
                <w:b w:val="0"/>
                <w:i w:val="0"/>
                <w:color w:val="212121"/>
                <w:sz w:val="16"/>
              </w:rPr>
              <w:t>Flags fracture, malignancy, infection (incl. spinal TB), cauda equina or cord compression needing urgent workup</w:t>
            </w:r>
          </w:p>
        </w:tc>
        <w:tc>
          <w:tcPr>
            <w:tcW w:type="dxa" w:w="1036"/>
            <w:vAlign w:val="top"/>
          </w:tcPr>
          <w:p>
            <w:pPr>
              <w:spacing w:after="40" w:before="0" w:line="259" w:lineRule="auto"/>
            </w:pPr>
            <w:r>
              <w:rPr>
                <w:rFonts w:ascii="Calibri" w:hAnsi="Calibri"/>
                <w:b w:val="0"/>
                <w:i w:val="0"/>
                <w:color w:val="212121"/>
                <w:sz w:val="16"/>
              </w:rPr>
              <w:t>All patients, especially elderly, trauma and immunosuppressed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Mandatory at every assessment; saddle anaesthesia/bladder change is an emergency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 ergonomic &amp; load history</w:t>
            </w:r>
          </w:p>
        </w:tc>
        <w:tc>
          <w:tcPr>
            <w:tcW w:type="dxa" w:w="979"/>
            <w:vAlign w:val="top"/>
          </w:tcPr>
          <w:p>
            <w:pPr>
              <w:spacing w:after="40" w:before="0" w:line="259" w:lineRule="auto"/>
            </w:pPr>
            <w:r>
              <w:rPr>
                <w:rFonts w:ascii="Calibri" w:hAnsi="Calibri"/>
                <w:b w:val="0"/>
                <w:i w:val="0"/>
                <w:color w:val="212121"/>
                <w:sz w:val="16"/>
              </w:rPr>
              <w:t>Lifting, bending, head-loading, driving/vibration, sitting/screen hours, posture</w:t>
            </w:r>
          </w:p>
        </w:tc>
        <w:tc>
          <w:tcPr>
            <w:tcW w:type="dxa" w:w="950"/>
            <w:vAlign w:val="top"/>
          </w:tcPr>
          <w:p>
            <w:pPr>
              <w:spacing w:after="40" w:before="0" w:line="259" w:lineRule="auto"/>
            </w:pPr>
            <w:r>
              <w:rPr>
                <w:rFonts w:ascii="Calibri" w:hAnsi="Calibri"/>
                <w:b w:val="0"/>
                <w:i w:val="0"/>
                <w:color w:val="212121"/>
                <w:sz w:val="16"/>
              </w:rPr>
              <w:t>Good ergonomics, varied posture, safe lifting, frequent breaks</w:t>
            </w:r>
          </w:p>
        </w:tc>
        <w:tc>
          <w:tcPr>
            <w:tcW w:type="dxa" w:w="950"/>
            <w:vAlign w:val="top"/>
          </w:tcPr>
          <w:p>
            <w:pPr>
              <w:spacing w:after="40" w:before="0" w:line="259" w:lineRule="auto"/>
            </w:pPr>
            <w:r>
              <w:rPr>
                <w:rFonts w:ascii="Calibri" w:hAnsi="Calibri"/>
                <w:b w:val="0"/>
                <w:i w:val="0"/>
                <w:color w:val="212121"/>
                <w:sz w:val="16"/>
              </w:rPr>
              <w:t>Heavy/repetitive loading, sustained flexed or forward-head posture, head-load carrying</w:t>
            </w:r>
          </w:p>
        </w:tc>
        <w:tc>
          <w:tcPr>
            <w:tcW w:type="dxa" w:w="1036"/>
            <w:vAlign w:val="top"/>
          </w:tcPr>
          <w:p>
            <w:pPr>
              <w:spacing w:after="40" w:before="0" w:line="259" w:lineRule="auto"/>
            </w:pPr>
            <w:r>
              <w:rPr>
                <w:rFonts w:ascii="Calibri" w:hAnsi="Calibri"/>
                <w:b w:val="0"/>
                <w:i w:val="0"/>
                <w:color w:val="212121"/>
                <w:sz w:val="16"/>
              </w:rPr>
              <w:t>Identifies modifiable mechanical and postural drivers</w:t>
            </w:r>
          </w:p>
        </w:tc>
        <w:tc>
          <w:tcPr>
            <w:tcW w:type="dxa" w:w="1036"/>
            <w:vAlign w:val="top"/>
          </w:tcPr>
          <w:p>
            <w:pPr>
              <w:spacing w:after="40" w:before="0" w:line="259" w:lineRule="auto"/>
            </w:pPr>
            <w:r>
              <w:rPr>
                <w:rFonts w:ascii="Calibri" w:hAnsi="Calibri"/>
                <w:b w:val="0"/>
                <w:i w:val="0"/>
                <w:color w:val="212121"/>
                <w:sz w:val="16"/>
              </w:rPr>
              <w:t>Manual workers, farmers, drivers, IT/desk workers, students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Guides ergonomic and activity advice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(yellow-flag) screen</w:t>
            </w:r>
          </w:p>
        </w:tc>
        <w:tc>
          <w:tcPr>
            <w:tcW w:type="dxa" w:w="979"/>
            <w:vAlign w:val="top"/>
          </w:tcPr>
          <w:p>
            <w:pPr>
              <w:spacing w:after="40" w:before="0" w:line="259" w:lineRule="auto"/>
            </w:pPr>
            <w:r>
              <w:rPr>
                <w:rFonts w:ascii="Calibri" w:hAnsi="Calibri"/>
                <w:b w:val="0"/>
                <w:i w:val="0"/>
                <w:color w:val="212121"/>
                <w:sz w:val="16"/>
              </w:rPr>
              <w:t>Distress, depression, anxiety, fear-avoidance, catastrophising, job strain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Predicts transition to chronic disabling spinal pain and poorer outcomes</w:t>
            </w:r>
          </w:p>
        </w:tc>
        <w:tc>
          <w:tcPr>
            <w:tcW w:type="dxa" w:w="1036"/>
            <w:vAlign w:val="top"/>
          </w:tcPr>
          <w:p>
            <w:pPr>
              <w:spacing w:after="40" w:before="0" w:line="259" w:lineRule="auto"/>
            </w:pPr>
            <w:r>
              <w:rPr>
                <w:rFonts w:ascii="Calibri" w:hAnsi="Calibri"/>
                <w:b w:val="0"/>
                <w:i w:val="0"/>
                <w:color w:val="212121"/>
                <w:sz w:val="16"/>
              </w:rPr>
              <w:t>Subacute/chronic and work-related spinal pain</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Central to chronic spinal pain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Inspection and palpation</w:t>
            </w:r>
          </w:p>
        </w:tc>
        <w:tc>
          <w:tcPr>
            <w:tcW w:type="dxa" w:w="979"/>
            <w:vAlign w:val="top"/>
          </w:tcPr>
          <w:p>
            <w:pPr>
              <w:spacing w:after="40" w:before="0" w:line="259" w:lineRule="auto"/>
            </w:pPr>
            <w:r>
              <w:rPr>
                <w:rFonts w:ascii="Calibri" w:hAnsi="Calibri"/>
                <w:b w:val="0"/>
                <w:i w:val="0"/>
                <w:color w:val="212121"/>
                <w:sz w:val="16"/>
              </w:rPr>
              <w:t>Posture/alignment (kyphosis, loss of lordosis), paraspinal spasm, focal tenderness, step deformity</w:t>
            </w:r>
          </w:p>
        </w:tc>
        <w:tc>
          <w:tcPr>
            <w:tcW w:type="dxa" w:w="950"/>
            <w:vAlign w:val="top"/>
          </w:tcPr>
          <w:p>
            <w:pPr>
              <w:spacing w:after="40" w:before="0" w:line="259" w:lineRule="auto"/>
            </w:pPr>
            <w:r>
              <w:rPr>
                <w:rFonts w:ascii="Calibri" w:hAnsi="Calibri"/>
                <w:b w:val="0"/>
                <w:i w:val="0"/>
                <w:color w:val="212121"/>
                <w:sz w:val="16"/>
              </w:rPr>
              <w:t>Neutral alignment, no focal tenderness</w:t>
            </w:r>
          </w:p>
        </w:tc>
        <w:tc>
          <w:tcPr>
            <w:tcW w:type="dxa" w:w="950"/>
            <w:vAlign w:val="top"/>
          </w:tcPr>
          <w:p>
            <w:pPr>
              <w:spacing w:after="40" w:before="0" w:line="259" w:lineRule="auto"/>
            </w:pPr>
            <w:r>
              <w:rPr>
                <w:rFonts w:ascii="Calibri" w:hAnsi="Calibri"/>
                <w:b w:val="0"/>
                <w:i w:val="0"/>
                <w:color w:val="212121"/>
                <w:sz w:val="16"/>
              </w:rPr>
              <w:t>Deformity, muscle spasm, focal spinous/facet tenderness, palpable step (listhesis)</w:t>
            </w:r>
          </w:p>
        </w:tc>
        <w:tc>
          <w:tcPr>
            <w:tcW w:type="dxa" w:w="1036"/>
            <w:vAlign w:val="top"/>
          </w:tcPr>
          <w:p>
            <w:pPr>
              <w:spacing w:after="40" w:before="0" w:line="259" w:lineRule="auto"/>
            </w:pPr>
            <w:r>
              <w:rPr>
                <w:rFonts w:ascii="Calibri" w:hAnsi="Calibri"/>
                <w:b w:val="0"/>
                <w:i w:val="0"/>
                <w:color w:val="212121"/>
                <w:sz w:val="16"/>
              </w:rPr>
              <w:t>Focal bony tenderness or deformity may indicate fracture, infection (gibbus in TB) or spondylolisthesis</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Gibbus/angular deformity suggests spinal tuberculosis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Spinal range of motion + Kemp's test</w:t>
            </w:r>
          </w:p>
        </w:tc>
        <w:tc>
          <w:tcPr>
            <w:tcW w:type="dxa" w:w="979"/>
            <w:vAlign w:val="top"/>
          </w:tcPr>
          <w:p>
            <w:pPr>
              <w:spacing w:after="40" w:before="0" w:line="259" w:lineRule="auto"/>
            </w:pPr>
            <w:r>
              <w:rPr>
                <w:rFonts w:ascii="Calibri" w:hAnsi="Calibri"/>
                <w:b w:val="0"/>
                <w:i w:val="0"/>
                <w:color w:val="212121"/>
                <w:sz w:val="16"/>
              </w:rPr>
              <w:t>Flexion, extension, rotation, lateral flexion; combined extension-rotation (Kemp)</w:t>
            </w:r>
          </w:p>
        </w:tc>
        <w:tc>
          <w:tcPr>
            <w:tcW w:type="dxa" w:w="950"/>
            <w:vAlign w:val="top"/>
          </w:tcPr>
          <w:p>
            <w:pPr>
              <w:spacing w:after="40" w:before="0" w:line="259" w:lineRule="auto"/>
            </w:pPr>
            <w:r>
              <w:rPr>
                <w:rFonts w:ascii="Calibri" w:hAnsi="Calibri"/>
                <w:b w:val="0"/>
                <w:i w:val="0"/>
                <w:color w:val="212121"/>
                <w:sz w:val="16"/>
              </w:rPr>
              <w:t>Full, pain-free movement; negative Kemp</w:t>
            </w:r>
          </w:p>
        </w:tc>
        <w:tc>
          <w:tcPr>
            <w:tcW w:type="dxa" w:w="950"/>
            <w:vAlign w:val="top"/>
          </w:tcPr>
          <w:p>
            <w:pPr>
              <w:spacing w:after="40" w:before="0" w:line="259" w:lineRule="auto"/>
            </w:pPr>
            <w:r>
              <w:rPr>
                <w:rFonts w:ascii="Calibri" w:hAnsi="Calibri"/>
                <w:b w:val="0"/>
                <w:i w:val="0"/>
                <w:color w:val="212121"/>
                <w:sz w:val="16"/>
              </w:rPr>
              <w:t>Restricted/painful movement; pain on extension-rotation (facet pattern)</w:t>
            </w:r>
          </w:p>
        </w:tc>
        <w:tc>
          <w:tcPr>
            <w:tcW w:type="dxa" w:w="1036"/>
            <w:vAlign w:val="top"/>
          </w:tcPr>
          <w:p>
            <w:pPr>
              <w:spacing w:after="40" w:before="0" w:line="259" w:lineRule="auto"/>
            </w:pPr>
            <w:r>
              <w:rPr>
                <w:rFonts w:ascii="Calibri" w:hAnsi="Calibri"/>
                <w:b w:val="0"/>
                <w:i w:val="0"/>
                <w:color w:val="212121"/>
                <w:sz w:val="16"/>
              </w:rPr>
              <w:t>Reduced, painful ROM and a positive Kemp support facet-mediated spondylotic pain</w:t>
            </w:r>
          </w:p>
        </w:tc>
        <w:tc>
          <w:tcPr>
            <w:tcW w:type="dxa" w:w="1036"/>
            <w:vAlign w:val="top"/>
          </w:tcPr>
          <w:p>
            <w:pPr>
              <w:spacing w:after="40" w:before="0" w:line="259" w:lineRule="auto"/>
            </w:pPr>
            <w:r>
              <w:rPr>
                <w:rFonts w:ascii="Calibri" w:hAnsi="Calibri"/>
                <w:b w:val="0"/>
                <w:i w:val="0"/>
                <w:color w:val="212121"/>
                <w:sz w:val="16"/>
              </w:rPr>
              <w:t>Mechanical and chronic spinal pain</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Interpret with pain pattern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Neurological exam + root-tension tests</w:t>
            </w:r>
          </w:p>
        </w:tc>
        <w:tc>
          <w:tcPr>
            <w:tcW w:type="dxa" w:w="979"/>
            <w:vAlign w:val="top"/>
          </w:tcPr>
          <w:p>
            <w:pPr>
              <w:spacing w:after="40" w:before="0" w:line="259" w:lineRule="auto"/>
            </w:pPr>
            <w:r>
              <w:rPr>
                <w:rFonts w:ascii="Calibri" w:hAnsi="Calibri"/>
                <w:b w:val="0"/>
                <w:i w:val="0"/>
                <w:color w:val="212121"/>
                <w:sz w:val="16"/>
              </w:rPr>
              <w:t>Power, reflexes, sensation; straight-leg-raise (lumbar), Spurling (cervical)</w:t>
            </w:r>
          </w:p>
        </w:tc>
        <w:tc>
          <w:tcPr>
            <w:tcW w:type="dxa" w:w="950"/>
            <w:vAlign w:val="top"/>
          </w:tcPr>
          <w:p>
            <w:pPr>
              <w:spacing w:after="40" w:before="0" w:line="259" w:lineRule="auto"/>
            </w:pPr>
            <w:r>
              <w:rPr>
                <w:rFonts w:ascii="Calibri" w:hAnsi="Calibri"/>
                <w:b w:val="0"/>
                <w:i w:val="0"/>
                <w:color w:val="212121"/>
                <w:sz w:val="16"/>
              </w:rPr>
              <w:t>Intact neurology, negative tension tests</w:t>
            </w:r>
          </w:p>
        </w:tc>
        <w:tc>
          <w:tcPr>
            <w:tcW w:type="dxa" w:w="950"/>
            <w:vAlign w:val="top"/>
          </w:tcPr>
          <w:p>
            <w:pPr>
              <w:spacing w:after="40" w:before="0" w:line="259" w:lineRule="auto"/>
            </w:pPr>
            <w:r>
              <w:rPr>
                <w:rFonts w:ascii="Calibri" w:hAnsi="Calibri"/>
                <w:b w:val="0"/>
                <w:i w:val="0"/>
                <w:color w:val="212121"/>
                <w:sz w:val="16"/>
              </w:rPr>
              <w:t>Dermatomal sensory loss, myotomal weakness, absent reflex, positive SLR/Spurling</w:t>
            </w:r>
          </w:p>
        </w:tc>
        <w:tc>
          <w:tcPr>
            <w:tcW w:type="dxa" w:w="1036"/>
            <w:vAlign w:val="top"/>
          </w:tcPr>
          <w:p>
            <w:pPr>
              <w:spacing w:after="40" w:before="0" w:line="259" w:lineRule="auto"/>
            </w:pPr>
            <w:r>
              <w:rPr>
                <w:rFonts w:ascii="Calibri" w:hAnsi="Calibri"/>
                <w:b w:val="0"/>
                <w:i w:val="0"/>
                <w:color w:val="212121"/>
                <w:sz w:val="16"/>
              </w:rPr>
              <w:t>Localises nerve-root compression from foraminal/disc narrowing (e.g. L5/S1 sciatica, C6/C7 radiculopathy)</w:t>
            </w:r>
          </w:p>
        </w:tc>
        <w:tc>
          <w:tcPr>
            <w:tcW w:type="dxa" w:w="1036"/>
            <w:vAlign w:val="top"/>
          </w:tcPr>
          <w:p>
            <w:pPr>
              <w:spacing w:after="40" w:before="0" w:line="259" w:lineRule="auto"/>
            </w:pPr>
            <w:r>
              <w:rPr>
                <w:rFonts w:ascii="Calibri" w:hAnsi="Calibri"/>
                <w:b w:val="0"/>
                <w:i w:val="0"/>
                <w:color w:val="212121"/>
                <w:sz w:val="16"/>
              </w:rPr>
              <w:t>Limb pain, suspected radiculopathy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Progressive deficit warrants urgent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 Exam</w:t>
            </w:r>
          </w:p>
        </w:tc>
        <w:tc>
          <w:tcPr>
            <w:tcW w:type="dxa" w:w="950"/>
            <w:vAlign w:val="top"/>
          </w:tcPr>
          <w:p>
            <w:pPr>
              <w:spacing w:after="40" w:before="0" w:line="259" w:lineRule="auto"/>
            </w:pPr>
            <w:r>
              <w:rPr>
                <w:rFonts w:ascii="Calibri" w:hAnsi="Calibri"/>
                <w:b w:val="0"/>
                <w:i w:val="0"/>
                <w:color w:val="212121"/>
                <w:sz w:val="16"/>
              </w:rPr>
              <w:t>Myelopathy &amp; claudication screen</w:t>
            </w:r>
          </w:p>
        </w:tc>
        <w:tc>
          <w:tcPr>
            <w:tcW w:type="dxa" w:w="979"/>
            <w:vAlign w:val="top"/>
          </w:tcPr>
          <w:p>
            <w:pPr>
              <w:spacing w:after="40" w:before="0" w:line="259" w:lineRule="auto"/>
            </w:pPr>
            <w:r>
              <w:rPr>
                <w:rFonts w:ascii="Calibri" w:hAnsi="Calibri"/>
                <w:b w:val="0"/>
                <w:i w:val="0"/>
                <w:color w:val="212121"/>
                <w:sz w:val="16"/>
              </w:rPr>
              <w:t>Hoffmann, hyperreflexia, clonus, Babinski, gait, walking tolerance, pulses</w:t>
            </w:r>
          </w:p>
        </w:tc>
        <w:tc>
          <w:tcPr>
            <w:tcW w:type="dxa" w:w="950"/>
            <w:vAlign w:val="top"/>
          </w:tcPr>
          <w:p>
            <w:pPr>
              <w:spacing w:after="40" w:before="0" w:line="259" w:lineRule="auto"/>
            </w:pPr>
            <w:r>
              <w:rPr>
                <w:rFonts w:ascii="Calibri" w:hAnsi="Calibri"/>
                <w:b w:val="0"/>
                <w:i w:val="0"/>
                <w:color w:val="212121"/>
                <w:sz w:val="16"/>
              </w:rPr>
              <w:t>No long-tract signs, normal gait, no claudication</w:t>
            </w:r>
          </w:p>
        </w:tc>
        <w:tc>
          <w:tcPr>
            <w:tcW w:type="dxa" w:w="950"/>
            <w:vAlign w:val="top"/>
          </w:tcPr>
          <w:p>
            <w:pPr>
              <w:spacing w:after="40" w:before="0" w:line="259" w:lineRule="auto"/>
            </w:pPr>
            <w:r>
              <w:rPr>
                <w:rFonts w:ascii="Calibri" w:hAnsi="Calibri"/>
                <w:b w:val="0"/>
                <w:i w:val="0"/>
                <w:color w:val="212121"/>
                <w:sz w:val="16"/>
              </w:rPr>
              <w:t>Positive Hoffmann/Babinski, hyperreflexia, spastic/broad-based gait; neurogenic claudication eased by flexion</w:t>
            </w:r>
          </w:p>
        </w:tc>
        <w:tc>
          <w:tcPr>
            <w:tcW w:type="dxa" w:w="1036"/>
            <w:vAlign w:val="top"/>
          </w:tcPr>
          <w:p>
            <w:pPr>
              <w:spacing w:after="40" w:before="0" w:line="259" w:lineRule="auto"/>
            </w:pPr>
            <w:r>
              <w:rPr>
                <w:rFonts w:ascii="Calibri" w:hAnsi="Calibri"/>
                <w:b w:val="0"/>
                <w:i w:val="0"/>
                <w:color w:val="212121"/>
                <w:sz w:val="16"/>
              </w:rPr>
              <w:t>Detects cervical spondylotic myelopathy and lumbar canal stenosis - may need urgent MRI and surgical referral</w:t>
            </w:r>
          </w:p>
        </w:tc>
        <w:tc>
          <w:tcPr>
            <w:tcW w:type="dxa" w:w="1036"/>
            <w:vAlign w:val="top"/>
          </w:tcPr>
          <w:p>
            <w:pPr>
              <w:spacing w:after="40" w:before="0" w:line="259" w:lineRule="auto"/>
            </w:pPr>
            <w:r>
              <w:rPr>
                <w:rFonts w:ascii="Calibri" w:hAnsi="Calibri"/>
                <w:b w:val="0"/>
                <w:i w:val="0"/>
                <w:color w:val="212121"/>
                <w:sz w:val="16"/>
              </w:rPr>
              <w:t>Older adults, hand clumsiness, gait imbalance, walking-limited leg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Positive findings need MRI and specialist referral</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Chronic axial spinal pain (neck / mid-back / low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deep aching pain in the affected region, the commonest presentation of spondylosis.</w:t>
            </w:r>
          </w:p>
        </w:tc>
      </w:tr>
      <w:tr>
        <w:trPr>
          <w:cantSplit/>
        </w:trPr>
        <w:tc>
          <w:tcPr>
            <w:tcW w:type="dxa" w:w="2304"/>
            <w:vAlign w:val="top"/>
          </w:tcPr>
          <w:p>
            <w:pPr>
              <w:spacing w:after="40" w:before="0" w:line="259" w:lineRule="auto"/>
            </w:pPr>
            <w:r>
              <w:rPr>
                <w:rFonts w:ascii="Calibri" w:hAnsi="Calibri"/>
                <w:b/>
                <w:i w:val="0"/>
                <w:color w:val="212121"/>
                <w:sz w:val="19"/>
              </w:rPr>
              <w:t>Stiffness, worse in the morning and after rest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Gel-like stiffness that eases within minutes of moving - typical of degenerative joint disease.</w:t>
            </w:r>
          </w:p>
        </w:tc>
      </w:tr>
      <w:tr>
        <w:trPr>
          <w:cantSplit/>
        </w:trPr>
        <w:tc>
          <w:tcPr>
            <w:tcW w:type="dxa" w:w="2304"/>
            <w:vAlign w:val="top"/>
          </w:tcPr>
          <w:p>
            <w:pPr>
              <w:spacing w:after="40" w:before="0" w:line="259" w:lineRule="auto"/>
            </w:pPr>
            <w:r>
              <w:rPr>
                <w:rFonts w:ascii="Calibri" w:hAnsi="Calibri"/>
                <w:b/>
                <w:i w:val="0"/>
                <w:color w:val="212121"/>
                <w:sz w:val="19"/>
              </w:rPr>
              <w:t>Pain worse with extension/standing, eased by rest or forward bending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mechanical/facet pattern; forward flexion opens the canal and relieves pain.</w:t>
            </w:r>
          </w:p>
        </w:tc>
      </w:tr>
      <w:tr>
        <w:trPr>
          <w:cantSplit/>
        </w:trPr>
        <w:tc>
          <w:tcPr>
            <w:tcW w:type="dxa" w:w="2304"/>
            <w:vAlign w:val="top"/>
          </w:tcPr>
          <w:p>
            <w:pPr>
              <w:spacing w:after="40" w:before="0" w:line="259" w:lineRule="auto"/>
            </w:pPr>
            <w:r>
              <w:rPr>
                <w:rFonts w:ascii="Calibri" w:hAnsi="Calibri"/>
                <w:b/>
                <w:i w:val="0"/>
                <w:color w:val="212121"/>
                <w:sz w:val="19"/>
              </w:rPr>
              <w:t>Reduced spinal range of motion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bending, turning or extending the spine due to pain, stiffness and osteophytes.</w:t>
            </w:r>
          </w:p>
        </w:tc>
      </w:tr>
      <w:tr>
        <w:trPr>
          <w:cantSplit/>
        </w:trPr>
        <w:tc>
          <w:tcPr>
            <w:tcW w:type="dxa" w:w="2304"/>
            <w:vAlign w:val="top"/>
          </w:tcPr>
          <w:p>
            <w:pPr>
              <w:spacing w:after="40" w:before="0" w:line="259" w:lineRule="auto"/>
            </w:pPr>
            <w:r>
              <w:rPr>
                <w:rFonts w:ascii="Calibri" w:hAnsi="Calibri"/>
                <w:b/>
                <w:i w:val="0"/>
                <w:color w:val="212121"/>
                <w:sz w:val="19"/>
              </w:rPr>
              <w:t>Paraspinal muscle spasm and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Reflex guarding and tightening of the paraspinal muscles limiting movement.</w:t>
            </w:r>
          </w:p>
        </w:tc>
      </w:tr>
      <w:tr>
        <w:trPr>
          <w:cantSplit/>
        </w:trPr>
        <w:tc>
          <w:tcPr>
            <w:tcW w:type="dxa" w:w="2304"/>
            <w:vAlign w:val="top"/>
          </w:tcPr>
          <w:p>
            <w:pPr>
              <w:spacing w:after="40" w:before="0" w:line="259" w:lineRule="auto"/>
            </w:pPr>
            <w:r>
              <w:rPr>
                <w:rFonts w:ascii="Calibri" w:hAnsi="Calibri"/>
                <w:b/>
                <w:i w:val="0"/>
                <w:color w:val="212121"/>
                <w:sz w:val="19"/>
              </w:rPr>
              <w:t>Pain aggravated by activity / prolonged posture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Sustained sitting, standing, lifting or head-loading provokes and worsens the pain.</w:t>
            </w:r>
          </w:p>
        </w:tc>
      </w:tr>
      <w:tr>
        <w:trPr>
          <w:cantSplit/>
        </w:trPr>
        <w:tc>
          <w:tcPr>
            <w:tcW w:type="dxa" w:w="2304"/>
            <w:vAlign w:val="top"/>
          </w:tcPr>
          <w:p>
            <w:pPr>
              <w:spacing w:after="40" w:before="0" w:line="259" w:lineRule="auto"/>
            </w:pPr>
            <w:r>
              <w:rPr>
                <w:rFonts w:ascii="Calibri" w:hAnsi="Calibri"/>
                <w:b/>
                <w:i w:val="0"/>
                <w:color w:val="212121"/>
                <w:sz w:val="19"/>
              </w:rPr>
              <w:t>Radiating limb pain (sciatica / brachialgia)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Nerve-root compression sends pain down the leg (lumbar) or arm (cervical) in a dermatomal pattern.</w:t>
            </w:r>
          </w:p>
        </w:tc>
      </w:tr>
      <w:tr>
        <w:trPr>
          <w:cantSplit/>
        </w:trPr>
        <w:tc>
          <w:tcPr>
            <w:tcW w:type="dxa" w:w="2304"/>
            <w:vAlign w:val="top"/>
          </w:tcPr>
          <w:p>
            <w:pPr>
              <w:spacing w:after="40" w:before="0" w:line="259" w:lineRule="auto"/>
            </w:pPr>
            <w:r>
              <w:rPr>
                <w:rFonts w:ascii="Calibri" w:hAnsi="Calibri"/>
                <w:b/>
                <w:i w:val="0"/>
                <w:color w:val="212121"/>
                <w:sz w:val="19"/>
              </w:rPr>
              <w:t>Numbness or tingling in a limb</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Dermatomal paraesthesia indicating nerve-root involvement (e.g. L5/S1 or C6/C7).</w:t>
            </w:r>
          </w:p>
        </w:tc>
      </w:tr>
      <w:tr>
        <w:trPr>
          <w:cantSplit/>
        </w:trPr>
        <w:tc>
          <w:tcPr>
            <w:tcW w:type="dxa" w:w="2304"/>
            <w:vAlign w:val="top"/>
          </w:tcPr>
          <w:p>
            <w:pPr>
              <w:spacing w:after="40" w:before="0" w:line="259" w:lineRule="auto"/>
            </w:pPr>
            <w:r>
              <w:rPr>
                <w:rFonts w:ascii="Calibri" w:hAnsi="Calibri"/>
                <w:b/>
                <w:i w:val="0"/>
                <w:color w:val="212121"/>
                <w:sz w:val="19"/>
              </w:rPr>
              <w:t>Neurogenic claudication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Leg pain, heaviness or cramping on walking or standing, relieved by sitting or bending forward - suggests lumbar canal stenosis.</w:t>
            </w:r>
          </w:p>
        </w:tc>
      </w:tr>
      <w:tr>
        <w:trPr>
          <w:cantSplit/>
        </w:trPr>
        <w:tc>
          <w:tcPr>
            <w:tcW w:type="dxa" w:w="2304"/>
            <w:vAlign w:val="top"/>
          </w:tcPr>
          <w:p>
            <w:pPr>
              <w:spacing w:after="40" w:before="0" w:line="259" w:lineRule="auto"/>
            </w:pPr>
            <w:r>
              <w:rPr>
                <w:rFonts w:ascii="Calibri" w:hAnsi="Calibri"/>
                <w:b/>
                <w:i w:val="0"/>
                <w:color w:val="212121"/>
                <w:sz w:val="19"/>
              </w:rPr>
              <w:t>Limb weakness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Myotomal weakness (e.g. foot drop, grip weakness) indicates significant nerve-root compression.</w:t>
            </w:r>
          </w:p>
        </w:tc>
      </w:tr>
      <w:tr>
        <w:trPr>
          <w:cantSplit/>
        </w:trPr>
        <w:tc>
          <w:tcPr>
            <w:tcW w:type="dxa" w:w="2304"/>
            <w:vAlign w:val="top"/>
          </w:tcPr>
          <w:p>
            <w:pPr>
              <w:spacing w:after="40" w:before="0" w:line="259" w:lineRule="auto"/>
            </w:pPr>
            <w:r>
              <w:rPr>
                <w:rFonts w:ascii="Calibri" w:hAnsi="Calibri"/>
                <w:b/>
                <w:i w:val="0"/>
                <w:color w:val="212121"/>
                <w:sz w:val="19"/>
              </w:rPr>
              <w:t>Hand clumsiness / gait imbalance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Loss of fine dexterity and unsteady walking are early features of cervical spondylotic myelopathy.</w:t>
            </w:r>
          </w:p>
        </w:tc>
      </w:tr>
      <w:tr>
        <w:trPr>
          <w:cantSplit/>
        </w:trPr>
        <w:tc>
          <w:tcPr>
            <w:tcW w:type="dxa" w:w="2304"/>
            <w:vAlign w:val="top"/>
          </w:tcPr>
          <w:p>
            <w:pPr>
              <w:spacing w:after="40" w:before="0" w:line="259" w:lineRule="auto"/>
            </w:pPr>
            <w:r>
              <w:rPr>
                <w:rFonts w:ascii="Calibri" w:hAnsi="Calibri"/>
                <w:b/>
                <w:i w:val="0"/>
                <w:color w:val="212121"/>
                <w:sz w:val="19"/>
              </w:rPr>
              <w:t>Occipital / cervicogenic headache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Upper cervical spondylosis can refer pain to the back of the head.</w:t>
            </w:r>
          </w:p>
        </w:tc>
      </w:tr>
      <w:tr>
        <w:trPr>
          <w:cantSplit/>
        </w:trPr>
        <w:tc>
          <w:tcPr>
            <w:tcW w:type="dxa" w:w="2304"/>
            <w:vAlign w:val="top"/>
          </w:tcPr>
          <w:p>
            <w:pPr>
              <w:spacing w:after="40" w:before="0" w:line="259" w:lineRule="auto"/>
            </w:pPr>
            <w:r>
              <w:rPr>
                <w:rFonts w:ascii="Calibri" w:hAnsi="Calibri"/>
                <w:b/>
                <w:i w:val="0"/>
                <w:color w:val="212121"/>
                <w:sz w:val="19"/>
              </w:rPr>
              <w:t>Saddle anaesthesia with bladder/bowel dysfunction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Cauda equina syndrome from severe central stenosis or disc prolapse - a surgical emergency.</w:t>
            </w:r>
          </w:p>
        </w:tc>
      </w:tr>
      <w:tr>
        <w:trPr>
          <w:cantSplit/>
        </w:trPr>
        <w:tc>
          <w:tcPr>
            <w:tcW w:type="dxa" w:w="2304"/>
            <w:vAlign w:val="top"/>
          </w:tcPr>
          <w:p>
            <w:pPr>
              <w:spacing w:after="40" w:before="0" w:line="259" w:lineRule="auto"/>
            </w:pPr>
            <w:r>
              <w:rPr>
                <w:rFonts w:ascii="Calibri" w:hAnsi="Calibri"/>
                <w:b/>
                <w:i w:val="0"/>
                <w:color w:val="212121"/>
                <w:sz w:val="19"/>
              </w:rPr>
              <w:t>Progressive spinal deformity (kyphosis / stooped posture)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Advanced multilevel degeneration and vertebral wedging can cause fixed stooping, especially with osteoporosis.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Restricted / painful spinal range of motion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flexion, extension and rotation, often with a hard end-feel in established spondylosis.</w:t>
            </w:r>
          </w:p>
        </w:tc>
      </w:tr>
      <w:tr>
        <w:trPr>
          <w:cantSplit/>
        </w:trPr>
        <w:tc>
          <w:tcPr>
            <w:tcW w:type="dxa" w:w="3456"/>
            <w:vAlign w:val="top"/>
          </w:tcPr>
          <w:p>
            <w:pPr>
              <w:spacing w:after="40" w:before="0" w:line="259" w:lineRule="auto"/>
            </w:pPr>
            <w:r>
              <w:rPr>
                <w:rFonts w:ascii="Calibri" w:hAnsi="Calibri"/>
                <w:b/>
                <w:i w:val="0"/>
                <w:color w:val="212121"/>
                <w:sz w:val="19"/>
              </w:rPr>
              <w:t>Paraspinal muscle spasm and guarding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Palpable tightness and protective stiffening of the paraspinal muscles.</w:t>
            </w:r>
          </w:p>
        </w:tc>
      </w:tr>
      <w:tr>
        <w:trPr>
          <w:cantSplit/>
        </w:trPr>
        <w:tc>
          <w:tcPr>
            <w:tcW w:type="dxa" w:w="3456"/>
            <w:vAlign w:val="top"/>
          </w:tcPr>
          <w:p>
            <w:pPr>
              <w:spacing w:after="40" w:before="0" w:line="259" w:lineRule="auto"/>
            </w:pPr>
            <w:r>
              <w:rPr>
                <w:rFonts w:ascii="Calibri" w:hAnsi="Calibri"/>
                <w:b/>
                <w:i w:val="0"/>
                <w:color w:val="212121"/>
                <w:sz w:val="19"/>
              </w:rPr>
              <w:t>Focal spinal / facet tenderness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tenderness over spinous processes or facet joints; focal bony tenderness may indicate fracture or infection.</w:t>
            </w:r>
          </w:p>
        </w:tc>
      </w:tr>
      <w:tr>
        <w:trPr>
          <w:cantSplit/>
        </w:trPr>
        <w:tc>
          <w:tcPr>
            <w:tcW w:type="dxa" w:w="3456"/>
            <w:vAlign w:val="top"/>
          </w:tcPr>
          <w:p>
            <w:pPr>
              <w:spacing w:after="40" w:before="0" w:line="259" w:lineRule="auto"/>
            </w:pPr>
            <w:r>
              <w:rPr>
                <w:rFonts w:ascii="Calibri" w:hAnsi="Calibri"/>
                <w:b/>
                <w:i w:val="0"/>
                <w:color w:val="212121"/>
                <w:sz w:val="19"/>
              </w:rPr>
              <w:t>Positive Kemp's test (extension-rotation)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Reproduction of ipsilateral pain on combined extension and rotation supports facet-mediated pain.</w:t>
            </w:r>
          </w:p>
        </w:tc>
      </w:tr>
      <w:tr>
        <w:trPr>
          <w:cantSplit/>
        </w:trPr>
        <w:tc>
          <w:tcPr>
            <w:tcW w:type="dxa" w:w="3456"/>
            <w:vAlign w:val="top"/>
          </w:tcPr>
          <w:p>
            <w:pPr>
              <w:spacing w:after="40" w:before="0" w:line="259" w:lineRule="auto"/>
            </w:pPr>
            <w:r>
              <w:rPr>
                <w:rFonts w:ascii="Calibri" w:hAnsi="Calibri"/>
                <w:b/>
                <w:i w:val="0"/>
                <w:color w:val="212121"/>
                <w:sz w:val="19"/>
              </w:rPr>
              <w:t>Positive straight-leg-raise / Spurling test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Root-tension signs reproducing dermatomal limb pain indicate nerve-root compression.</w:t>
            </w:r>
          </w:p>
        </w:tc>
      </w:tr>
      <w:tr>
        <w:trPr>
          <w:cantSplit/>
        </w:trPr>
        <w:tc>
          <w:tcPr>
            <w:tcW w:type="dxa" w:w="3456"/>
            <w:vAlign w:val="top"/>
          </w:tcPr>
          <w:p>
            <w:pPr>
              <w:spacing w:after="40" w:before="0" w:line="259" w:lineRule="auto"/>
            </w:pPr>
            <w:r>
              <w:rPr>
                <w:rFonts w:ascii="Calibri" w:hAnsi="Calibri"/>
                <w:b/>
                <w:i w:val="0"/>
                <w:color w:val="212121"/>
                <w:sz w:val="19"/>
              </w:rPr>
              <w:t>Dermatomal sensory loss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sensation in a nerve-root distribution (e.g. L5, S1, C6, C7) supports radiculopathy.</w:t>
            </w:r>
          </w:p>
        </w:tc>
      </w:tr>
      <w:tr>
        <w:trPr>
          <w:cantSplit/>
        </w:trPr>
        <w:tc>
          <w:tcPr>
            <w:tcW w:type="dxa" w:w="3456"/>
            <w:vAlign w:val="top"/>
          </w:tcPr>
          <w:p>
            <w:pPr>
              <w:spacing w:after="40" w:before="0" w:line="259" w:lineRule="auto"/>
            </w:pPr>
            <w:r>
              <w:rPr>
                <w:rFonts w:ascii="Calibri" w:hAnsi="Calibri"/>
                <w:b/>
                <w:i w:val="0"/>
                <w:color w:val="212121"/>
                <w:sz w:val="19"/>
              </w:rPr>
              <w:t>Myotomal motor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Focal weakness (e.g. ankle dorsiflexion for L5, grip for C7) localises the affected root.</w:t>
            </w:r>
          </w:p>
        </w:tc>
      </w:tr>
      <w:tr>
        <w:trPr>
          <w:cantSplit/>
        </w:trPr>
        <w:tc>
          <w:tcPr>
            <w:tcW w:type="dxa" w:w="3456"/>
            <w:vAlign w:val="top"/>
          </w:tcPr>
          <w:p>
            <w:pPr>
              <w:spacing w:after="40" w:before="0" w:line="259" w:lineRule="auto"/>
            </w:pPr>
            <w:r>
              <w:rPr>
                <w:rFonts w:ascii="Calibri" w:hAnsi="Calibri"/>
                <w:b/>
                <w:i w:val="0"/>
                <w:color w:val="212121"/>
                <w:sz w:val="19"/>
              </w:rPr>
              <w:t>Diminished or absent limb reflex</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Reduced ankle (S1), knee (L4) or triceps (C7) reflex supports the level of root involvement.</w:t>
            </w:r>
          </w:p>
        </w:tc>
      </w:tr>
      <w:tr>
        <w:trPr>
          <w:cantSplit/>
        </w:trPr>
        <w:tc>
          <w:tcPr>
            <w:tcW w:type="dxa" w:w="3456"/>
            <w:vAlign w:val="top"/>
          </w:tcPr>
          <w:p>
            <w:pPr>
              <w:spacing w:after="40" w:before="0" w:line="259" w:lineRule="auto"/>
            </w:pPr>
            <w:r>
              <w:rPr>
                <w:rFonts w:ascii="Calibri" w:hAnsi="Calibri"/>
                <w:b/>
                <w:i w:val="0"/>
                <w:color w:val="212121"/>
                <w:sz w:val="19"/>
              </w:rPr>
              <w:t>Positive Hoffmann sign / hyperreflexia / clonus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Upper-motor-neuron long-tract signs indicate cervical spondylotic myelopathy.</w:t>
            </w:r>
          </w:p>
        </w:tc>
      </w:tr>
      <w:tr>
        <w:trPr>
          <w:cantSplit/>
        </w:trPr>
        <w:tc>
          <w:tcPr>
            <w:tcW w:type="dxa" w:w="3456"/>
            <w:vAlign w:val="top"/>
          </w:tcPr>
          <w:p>
            <w:pPr>
              <w:spacing w:after="40" w:before="0" w:line="259" w:lineRule="auto"/>
            </w:pPr>
            <w:r>
              <w:rPr>
                <w:rFonts w:ascii="Calibri" w:hAnsi="Calibri"/>
                <w:b/>
                <w:i w:val="0"/>
                <w:color w:val="212121"/>
                <w:sz w:val="19"/>
              </w:rPr>
              <w:t>Spastic or broad-based gait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Stiff, unsteady walking reflects cord compression (myelopathy) or advanced stenosis.</w:t>
            </w:r>
          </w:p>
        </w:tc>
      </w:tr>
      <w:tr>
        <w:trPr>
          <w:cantSplit/>
        </w:trPr>
        <w:tc>
          <w:tcPr>
            <w:tcW w:type="dxa" w:w="3456"/>
            <w:vAlign w:val="top"/>
          </w:tcPr>
          <w:p>
            <w:pPr>
              <w:spacing w:after="40" w:before="0" w:line="259" w:lineRule="auto"/>
            </w:pPr>
            <w:r>
              <w:rPr>
                <w:rFonts w:ascii="Calibri" w:hAnsi="Calibri"/>
                <w:b/>
                <w:i w:val="0"/>
                <w:color w:val="212121"/>
                <w:sz w:val="19"/>
              </w:rPr>
              <w:t>Palpable step deformity of the spine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palpable step between adjacent spinous processes suggests spondylolisthesis.</w:t>
            </w:r>
          </w:p>
        </w:tc>
      </w:tr>
      <w:tr>
        <w:trPr>
          <w:cantSplit/>
        </w:trPr>
        <w:tc>
          <w:tcPr>
            <w:tcW w:type="dxa" w:w="3456"/>
            <w:vAlign w:val="top"/>
          </w:tcPr>
          <w:p>
            <w:pPr>
              <w:spacing w:after="40" w:before="0" w:line="259" w:lineRule="auto"/>
            </w:pPr>
            <w:r>
              <w:rPr>
                <w:rFonts w:ascii="Calibri" w:hAnsi="Calibri"/>
                <w:b/>
                <w:i w:val="0"/>
                <w:color w:val="212121"/>
                <w:sz w:val="19"/>
              </w:rPr>
              <w:t>Gibbus / angular kyphotic deformity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 sharp angular deformity is characteristic of spinal tuberculosis (Pott's spine) or vertebral collapse.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mechanical (axial) neck, mid-back or low-back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Spinal stiffness and restricted movement limiting daily activities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Paraspinal muscle spasm and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Short-term work absence and reduced productivity</w:t>
            </w:r>
          </w:p>
        </w:tc>
        <w:tc>
          <w:tcPr>
            <w:tcW w:type="dxa" w:w="2980"/>
            <w:vAlign w:val="top"/>
          </w:tcPr>
          <w:p>
            <w:pPr>
              <w:spacing w:after="40" w:before="0" w:line="259" w:lineRule="auto"/>
            </w:pPr>
            <w:r>
              <w:rPr>
                <w:rFonts w:ascii="Calibri" w:hAnsi="Calibri"/>
                <w:b w:val="0"/>
                <w:i w:val="0"/>
                <w:color w:val="212121"/>
                <w:sz w:val="19"/>
              </w:rPr>
              <w:t>Direct consequences of the degenerative changes and mechanical pain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Nerve-root compression with radiculopathy (sciatica / brachialgia)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Lumbar central-canal stenosis with neurogenic claudication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Degenerative spondylolisthesis and segmental instability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episodes and transition to chronic disabling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Analgesic overuse (including inappropriate opioid use) and NSAID GI/renal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Reactive low mood, anxiety, fear-avoidance and central sensitisation</w:t>
            </w:r>
          </w:p>
        </w:tc>
        <w:tc>
          <w:tcPr>
            <w:tcW w:type="dxa" w:w="2980"/>
            <w:vAlign w:val="top"/>
          </w:tcPr>
          <w:p>
            <w:pPr>
              <w:spacing w:after="40" w:before="0" w:line="259" w:lineRule="auto"/>
            </w:pPr>
            <w:r>
              <w:rPr>
                <w:rFonts w:ascii="Calibri" w:hAnsi="Calibri"/>
                <w:b w:val="0"/>
                <w:i w:val="0"/>
                <w:color w:val="212121"/>
                <w:sz w:val="19"/>
              </w:rPr>
              <w:t>Result from progressive canal/foraminal narrowing, instability and unresolved pain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Cervical spondylotic myelopathy with permanent cord damage (limb weakness, hand atrophy, gait and sphincter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Cauda equina syndrome (saddle anaesthesia, bladder/bowel dysfunction) - a surgical emergency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Permanent nerve-root deficit with weakness and muscle wasting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Fixed spinal deformity (kyphosis) and loss of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disabling spinal pain with loss of livelihood and independence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Failed back surgery syndrome and persistent post-surgical pain</w:t>
            </w:r>
          </w:p>
        </w:tc>
        <w:tc>
          <w:tcPr>
            <w:tcW w:type="dxa" w:w="2980"/>
            <w:vAlign w:val="top"/>
          </w:tcPr>
          <w:p>
            <w:pPr>
              <w:spacing w:after="40" w:before="0" w:line="259" w:lineRule="auto"/>
            </w:pPr>
            <w:r>
              <w:rPr>
                <w:rFonts w:ascii="Calibri" w:hAnsi="Calibri"/>
                <w:b w:val="0"/>
                <w:i w:val="0"/>
                <w:color w:val="212121"/>
                <w:sz w:val="19"/>
              </w:rPr>
              <w:t>Irreversible, disabling end-stage outcomes of longstanding or complicated spondylosis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Degenerative disc disease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Disc desiccation and height loss is the earliest and most consistent component of spondylosis, driving osteophyte formation and instability.</w:t>
            </w:r>
          </w:p>
        </w:tc>
      </w:tr>
      <w:tr>
        <w:trPr>
          <w:cantSplit/>
        </w:trPr>
        <w:tc>
          <w:tcPr>
            <w:tcW w:type="dxa" w:w="2232"/>
            <w:vAlign w:val="top"/>
          </w:tcPr>
          <w:p>
            <w:pPr>
              <w:spacing w:after="40" w:before="0" w:line="259" w:lineRule="auto"/>
            </w:pPr>
            <w:r>
              <w:rPr>
                <w:rFonts w:ascii="Calibri" w:hAnsi="Calibri"/>
                <w:b/>
                <w:i w:val="0"/>
                <w:color w:val="212121"/>
                <w:sz w:val="19"/>
              </w:rPr>
              <w:t>Facet joint osteoarthritis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Osteoarthritis of the zygapophyseal joints is a central pain source in spondylosis; about 57% of people aged 65+ have facet-joint arthritis.</w:t>
            </w:r>
          </w:p>
          <w:p>
            <w:pPr>
              <w:spacing w:after="40" w:before="0" w:line="259" w:lineRule="auto"/>
            </w:pPr>
            <w:r>
              <w:rPr>
                <w:rFonts w:ascii="Calibri" w:hAnsi="Calibri"/>
                <w:b/>
                <w:i w:val="0"/>
                <w:color w:val="212121"/>
                <w:sz w:val="19"/>
              </w:rPr>
              <w:t>~57% (65+ years)</w:t>
            </w:r>
          </w:p>
        </w:tc>
      </w:tr>
      <w:tr>
        <w:trPr>
          <w:cantSplit/>
        </w:trPr>
        <w:tc>
          <w:tcPr>
            <w:tcW w:type="dxa" w:w="2232"/>
            <w:vAlign w:val="top"/>
          </w:tcPr>
          <w:p>
            <w:pPr>
              <w:spacing w:after="40" w:before="0" w:line="259" w:lineRule="auto"/>
            </w:pPr>
            <w:r>
              <w:rPr>
                <w:rFonts w:ascii="Calibri" w:hAnsi="Calibri"/>
                <w:b/>
                <w:i w:val="0"/>
                <w:color w:val="212121"/>
                <w:sz w:val="19"/>
              </w:rPr>
              <w:t>Lumbar spinal stenosis / neurogenic claudication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Osteophytes, disc bulging, facet hypertrophy and ligamentum flavum thickening narrow the canal, causing walking-limited leg pain in older adults.</w:t>
            </w:r>
          </w:p>
        </w:tc>
      </w:tr>
      <w:tr>
        <w:trPr>
          <w:cantSplit/>
        </w:trPr>
        <w:tc>
          <w:tcPr>
            <w:tcW w:type="dxa" w:w="2232"/>
            <w:vAlign w:val="top"/>
          </w:tcPr>
          <w:p>
            <w:pPr>
              <w:spacing w:after="40" w:before="0" w:line="259" w:lineRule="auto"/>
            </w:pPr>
            <w:r>
              <w:rPr>
                <w:rFonts w:ascii="Calibri" w:hAnsi="Calibri"/>
                <w:b/>
                <w:i w:val="0"/>
                <w:color w:val="212121"/>
                <w:sz w:val="19"/>
              </w:rPr>
              <w:t>Radiculopathy (sciatica / cervical)</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Foraminal narrowing from spondylosis or disc herniation compresses a nerve root, producing dermatomal limb pain, sensory loss and weakness.</w:t>
            </w:r>
          </w:p>
        </w:tc>
      </w:tr>
      <w:tr>
        <w:trPr>
          <w:cantSplit/>
        </w:trPr>
        <w:tc>
          <w:tcPr>
            <w:tcW w:type="dxa" w:w="2232"/>
            <w:vAlign w:val="top"/>
          </w:tcPr>
          <w:p>
            <w:pPr>
              <w:spacing w:after="40" w:before="0" w:line="259" w:lineRule="auto"/>
            </w:pPr>
            <w:r>
              <w:rPr>
                <w:rFonts w:ascii="Calibri" w:hAnsi="Calibri"/>
                <w:b/>
                <w:i w:val="0"/>
                <w:color w:val="212121"/>
                <w:sz w:val="19"/>
              </w:rPr>
              <w:t>Degenerative spondylolisthesis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Facet and disc degeneration allow one vertebra to slip on another; distinctly more common in older women (about 25% of women vs 19% of men over 65).</w:t>
            </w:r>
          </w:p>
          <w:p>
            <w:pPr>
              <w:spacing w:after="40" w:before="0" w:line="259" w:lineRule="auto"/>
            </w:pPr>
            <w:r>
              <w:rPr>
                <w:rFonts w:ascii="Calibri" w:hAnsi="Calibri"/>
                <w:b/>
                <w:i w:val="0"/>
                <w:color w:val="212121"/>
                <w:sz w:val="19"/>
              </w:rPr>
              <w:t>~25% women, ~19% men (65+)</w:t>
            </w:r>
          </w:p>
        </w:tc>
      </w:tr>
      <w:tr>
        <w:trPr>
          <w:cantSplit/>
        </w:trPr>
        <w:tc>
          <w:tcPr>
            <w:tcW w:type="dxa" w:w="2232"/>
            <w:vAlign w:val="top"/>
          </w:tcPr>
          <w:p>
            <w:pPr>
              <w:spacing w:after="40" w:before="0" w:line="259" w:lineRule="auto"/>
            </w:pPr>
            <w:r>
              <w:rPr>
                <w:rFonts w:ascii="Calibri" w:hAnsi="Calibri"/>
                <w:b/>
                <w:i w:val="0"/>
                <w:color w:val="212121"/>
                <w:sz w:val="19"/>
              </w:rPr>
              <w:t>Cervical spondylotic myelopathy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Advanced cervical spondylosis compressing the cord - the commonest cause of spinal-cord dysfunction in adults over 55; often painless with hand clumsiness and gait imbalance.</w:t>
            </w:r>
          </w:p>
        </w:tc>
      </w:tr>
      <w:tr>
        <w:trPr>
          <w:cantSplit/>
        </w:trPr>
        <w:tc>
          <w:tcPr>
            <w:tcW w:type="dxa" w:w="2232"/>
            <w:vAlign w:val="top"/>
          </w:tcPr>
          <w:p>
            <w:pPr>
              <w:spacing w:after="40" w:before="0" w:line="259" w:lineRule="auto"/>
            </w:pPr>
            <w:r>
              <w:rPr>
                <w:rFonts w:ascii="Calibri" w:hAnsi="Calibri"/>
                <w:b/>
                <w:i w:val="0"/>
                <w:color w:val="212121"/>
                <w:sz w:val="19"/>
              </w:rPr>
              <w:t>Osteoporosis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 in post-menopausal women and the elderly, adding vertebral fragility, wedging and fracture risk to degenerative spine disease.</w:t>
            </w:r>
          </w:p>
        </w:tc>
      </w:tr>
      <w:tr>
        <w:trPr>
          <w:cantSplit/>
        </w:trPr>
        <w:tc>
          <w:tcPr>
            <w:tcW w:type="dxa" w:w="2232"/>
            <w:vAlign w:val="top"/>
          </w:tcPr>
          <w:p>
            <w:pPr>
              <w:spacing w:after="40" w:before="0" w:line="259" w:lineRule="auto"/>
            </w:pPr>
            <w:r>
              <w:rPr>
                <w:rFonts w:ascii="Calibri" w:hAnsi="Calibri"/>
                <w:b/>
                <w:i w:val="0"/>
                <w:color w:val="212121"/>
                <w:sz w:val="19"/>
              </w:rPr>
              <w:t>Peripheral osteoarthritis (knee / hip)</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Spondylosis frequently coexists with knee and hip OA as part of generalised osteoarthritis; knee OA affects about 28.7% of Indians aged 40+.</w:t>
            </w:r>
          </w:p>
          <w:p>
            <w:pPr>
              <w:spacing w:after="40" w:before="0" w:line="259" w:lineRule="auto"/>
            </w:pPr>
            <w:r>
              <w:rPr>
                <w:rFonts w:ascii="Calibri" w:hAnsi="Calibri"/>
                <w:b/>
                <w:i w:val="0"/>
                <w:color w:val="212121"/>
                <w:sz w:val="19"/>
              </w:rPr>
              <w:t>Knee OA ~28.7% (40+)</w:t>
            </w:r>
          </w:p>
        </w:tc>
      </w:tr>
      <w:tr>
        <w:trPr>
          <w:cantSplit/>
        </w:trPr>
        <w:tc>
          <w:tcPr>
            <w:tcW w:type="dxa" w:w="2232"/>
            <w:vAlign w:val="top"/>
          </w:tcPr>
          <w:p>
            <w:pPr>
              <w:spacing w:after="40" w:before="0" w:line="259" w:lineRule="auto"/>
            </w:pPr>
            <w:r>
              <w:rPr>
                <w:rFonts w:ascii="Calibri" w:hAnsi="Calibri"/>
                <w:b/>
                <w:i w:val="0"/>
                <w:color w:val="212121"/>
                <w:sz w:val="19"/>
              </w:rPr>
              <w:t>Vitamin D deficiency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Highly prevalent in India (about 50-90%) and associated with non-specific musculoskeletal pain and low bone density.</w:t>
            </w:r>
          </w:p>
          <w:p>
            <w:pPr>
              <w:spacing w:after="40" w:before="0" w:line="259" w:lineRule="auto"/>
            </w:pPr>
            <w:r>
              <w:rPr>
                <w:rFonts w:ascii="Calibri" w:hAnsi="Calibri"/>
                <w:b/>
                <w:i w:val="0"/>
                <w:color w:val="212121"/>
                <w:sz w:val="19"/>
              </w:rPr>
              <w:t>~50-90% (India)</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Bidirectionally linked with chronic spinal pain; distress, catastrophising and fear-avoidance predict progression to chronic disabling pain.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spondylosis is a normal, near-universal part of ageing and that imaging 'wear-and-tear' does not equal serious disease; most spinal pain settles and staying active speeds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safe lifting and load-handling: keep a neutral spine, bend the hips and knees rather than the back, hold loads close to the body, and avoid bending-and-twisting under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up an ergonomic workstation with good lumbar support and the screen at eye level, and break up prolonged sitting or forward-head 'text-neck' posture every 30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head-load carrying and prolonged static or heavily loaded postures where possible; alternate tasks and share heavy loads.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physically active and maintain a healthy weight rather than resting the spine - prolonged bed rest and inactivity worsen deconditioning.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the RED FLAGS needing prompt care: numbness or weakness spreading in the limbs, clumsy hands or unsteady walking, saddle numbness or loss of bladder/bowel control, fever, unexplained weight loss, or severe pain after significant injury.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Manual and head-load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Office/IT workers and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first episode of spinal pain</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active and return to normal activity early rather than resting; gentle range-of-motion and stretching reduce stiffness in flares.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regular core, paraspinal and gluteal strengthening (2-3 times/week) - exercise therapy has the best evidence for reducing chronic back pain and recurrence.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postural, flexibility and low-impact aerobic activity (walking, swimming, cycling; &gt;= 150 min/week) to improve fitness and pain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supervised physiotherapy and structured yoga for persistent or recurrent spinal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lumbar canal stenosis, favour flexion-based exercise and stationary cycling, which are usually better tolerated than extension activities.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axial/chronic spinal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and desk/IT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spinal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 with stenosis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Achieve and maintain a healthy weight (Asian-Indian BMI 18-22.9; waist F &lt; 80 cm, M &lt; 90 cm) to reduce axial spinal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vitamin D and calcium through safe sun exposure, diet and supplementation where deficient, to protect bone and muscle - deficiency is very common in India.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fibre-rich diet with adequate protein (pulses, dairy, eggs, lean meat/fish) to support muscle strength and bone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anti-inflammatory whole foods (vegetables, fruit, whole grains, nuts) and limit ultra-processed, energy-dense foods that promote weight gain and inflammation.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Post-menopausal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vitamin-D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treating pain-related insomnia helps break the pain-poor-sleep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 medium-firm, supportive mattress and a pillow that keeps the spine neutral - avoid sagging mattresses.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on the back with a pillow under the knees, or on the side with a pillow between the knees, to keep the spine neutral.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good sleep hygiene.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spinal pain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disturbed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morning stiffness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and all tobacco use - smoking impairs disc nutrition, accelerates disc degeneration and worsens chronic spinal pain and surgical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behavioural support and pharmacotherapy (nicotine replacement, approved medications) to quit.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quitting with exercise and weight control for the greatest musculoskeletal benefit.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 with chronic spinal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disc degeneration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Pre-surgical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and avoid heavy or binge drinking.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relying on alcohol to cope with pain or to sleep, which impairs recovery and sleep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cautious combining alcohol with analgesics, NSAIDs and muscle relaxants.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heavy intake to protect bone density and lower fall, injury and fracture risk, especially in older adults.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and 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Older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spinal pain patients on analgesics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address 'yellow flags' - distress, depression, anxiety, fear-avoidance and catastrophising - which strongly predict chronic disabling spinal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reassurance and education to reduce fear-avoidance and encourage return to activity and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behavioural therapy or psychologically informed physiotherapy for persistent or high-distress spinal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Teach stress-management, relaxation, mindfulness and pacing strategies, and address workplace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graded return to work and normal roles rather than prolonged withdrawal.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and recurrent spinal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Work-related spinal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distress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fear-avoidance patients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medicine.medscape.com/article/249036-overview" TargetMode="External"/><Relationship Id="rId10" Type="http://schemas.openxmlformats.org/officeDocument/2006/relationships/hyperlink" Target="https://www.ncbi.nlm.nih.gov/books/NBK553190/" TargetMode="External"/><Relationship Id="rId11" Type="http://schemas.openxmlformats.org/officeDocument/2006/relationships/hyperlink" Target="https://arxiv.org/abs/1610.06608" TargetMode="External"/><Relationship Id="rId12" Type="http://schemas.openxmlformats.org/officeDocument/2006/relationships/hyperlink" Target="https://journals.sagepub.com/doi/10.3233/WOR-205300" TargetMode="External"/><Relationship Id="rId13" Type="http://schemas.openxmlformats.org/officeDocument/2006/relationships/hyperlink" Target="https://journals.sagepub.com/doi/10.1177/09733698241229779" TargetMode="External"/><Relationship Id="rId14" Type="http://schemas.openxmlformats.org/officeDocument/2006/relationships/hyperlink" Target="https://pubmed.ncbi.nlm.nih.gov/11339862/" TargetMode="External"/><Relationship Id="rId15" Type="http://schemas.openxmlformats.org/officeDocument/2006/relationships/hyperlink" Target="https://ijmr.org.in/prevalence-of-hypovitaminosis-d-in-india-way-forward/" TargetMode="External"/><Relationship Id="rId16" Type="http://schemas.openxmlformats.org/officeDocument/2006/relationships/hyperlink" Target="https://www.cochrane.org/evidence/CD009790_exercise-treatment-chronic-low-back-p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