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Low Back Pain</w:t>
      </w:r>
    </w:p>
    <w:p>
      <w:pPr>
        <w:spacing w:before="0" w:after="160"/>
      </w:pPr>
      <w:r>
        <w:rPr>
          <w:rFonts w:ascii="Calibri" w:hAnsi="Calibri"/>
          <w:b/>
          <w:i w:val="0"/>
          <w:color w:val="212121"/>
          <w:sz w:val="22"/>
        </w:rPr>
        <w:t xml:space="preserve">AKA </w:t>
      </w:r>
      <w:r>
        <w:rPr>
          <w:rFonts w:ascii="Calibri" w:hAnsi="Calibri"/>
          <w:b w:val="0"/>
          <w:i w:val="0"/>
          <w:color w:val="212121"/>
          <w:sz w:val="22"/>
        </w:rPr>
        <w:t>i.e., Lumbago, Low backache (LBA), Mechanical back pain, Lumbar spine pain, Kamar dard (Hindi), Sciatica (when leg pain coexists)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Low back pain (LBP) is pain, muscle tension or stiffness localised below the costal margin and above the inferior gluteal folds, with or without referred or radiating leg pain (sciatica). It is a symptom, not a disease, and in the great majority of people no specific structural cause can be identified - this is termed non-specific or mechanical LBP. A small but critical minority arises from serious spinal pathology (fracture, malignancy, infection, cauda equina or inflammatory disease) that must be screened for. LBP is classified by duration into acute (under 6 weeks), subacute (6-12 weeks) and chronic (over 12 weeks).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Low back pain is the single largest musculoskeletal burden in India and the leading cause of disability worldwide. Point-prevalence estimates across Indian studies vary widely - commonly from about 20% to nearly 50% - depending on the population, setting and case definition. A 2022 systematic review and meta-analysis of 97 Indian studies pooled the point prevalence at about 48%, the 1-year prevalence at 51% and the lifetime prevalence at 66%, with the highest rates in women, rural residents and manual ('elementary') workers. In a large rural community survey in Gadchiroli, the point prevalence of non-specific LBP was 45%, markedly higher in women (55.7%) than men (34.1%). Globally an estimated 619 million people had LBP in 2020, projected to rise to 843 million by 2050.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Low back pain is primarily a clinical diagnosis. The essential first step is diagnostic triage into one of three groups - non-specific (mechanical) LBP, radicular syndrome (sciatica/radiculopathy), or serious spinal pathology signalled by red flags - which then guides investigation and management: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Characterise the pain: site (below costal margin, above gluteal folds), duration (acute/subacute/chronic), and pattern - mechanical pain is worse with movement/loading and eased by rest, whereas unremitting night or rest pain is a warning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 for RED FLAGS at every visit: saddle anaesthesia, new bladder/bowel dysfunction or bilateral sciatica (cauda equina); history of cancer, unexplained weight loss or night pain (malignancy); fever, IV drug use or immunosuppression (infection, including spinal tuberculosis); significant trauma, osteoporosis, prolonged steroids or age over 70 (fracture); age under 45 with inflammatory-pattern morning stiffness (spondyloarthritis).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Perform a focused neurological examination: straight leg raise (positive when it reproduces leg pain at 30-70 degrees) and crossed SLR (more specific for disc herniation), plus power, reflexes, sensation and gait to localise any nerve-root lesion (commonly L5 or S1).</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 NOT image routinely: imaging is not indicated for non-specific LBP and early imaging is linked to worse outcomes and unnecessary intervention. Reserve X-ray/MRI for red flags, progressive or severe neurological deficit, or radicular pain failing 4-6 weeks of conservative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Order blood tests (ESR, CRP, full blood count +/- specific tests) only when infection, malignancy or inflammatory disease is suspected; MRI is the investigation of choice for disc herniation, canal stenosis, cauda equina, infection and tumour.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Low back pain is classified by duration and, more usefully for management, by the diagnostic triage category:</w:t>
      </w:r>
    </w:p>
    <w:p>
      <w:pPr>
        <w:spacing w:before="0" w:after="80"/>
      </w:pPr>
      <w:r>
        <w:rPr>
          <w:rFonts w:ascii="Calibri" w:hAnsi="Calibri"/>
          <w:b w:val="0"/>
          <w:i w:val="0"/>
          <w:color w:val="212121"/>
          <w:sz w:val="21"/>
        </w:rPr>
        <w:t>(1) By duration: acute LBP lasts under 6 weeks, subacute LBP 6-12 weeks, and chronic LBP more than 12 weeks (about 3 months); recurrent LBP describes repeated acute episodes on a background of relative recovery.</w:t>
      </w:r>
    </w:p>
    <w:p>
      <w:pPr>
        <w:spacing w:before="0" w:after="80"/>
      </w:pPr>
      <w:r>
        <w:rPr>
          <w:rFonts w:ascii="Calibri" w:hAnsi="Calibri"/>
          <w:b w:val="0"/>
          <w:i w:val="0"/>
          <w:color w:val="212121"/>
          <w:sz w:val="21"/>
        </w:rPr>
        <w:t>(2) Non-specific (mechanical) LBP - by far the commonest form, accounting for roughly 90-95% of presentations - has no identifiable specific pathology and arises from the muscles, ligaments, facet joints, sacroiliac joints and intervertebral discs; it is self-limiting in most people and is safe to self-manage once red flags are excluded.</w:t>
      </w:r>
    </w:p>
    <w:p>
      <w:pPr>
        <w:spacing w:before="0" w:after="80"/>
      </w:pPr>
      <w:r>
        <w:rPr>
          <w:rFonts w:ascii="Calibri" w:hAnsi="Calibri"/>
          <w:b w:val="0"/>
          <w:i w:val="0"/>
          <w:color w:val="212121"/>
          <w:sz w:val="21"/>
        </w:rPr>
        <w:t>(3) Radicular syndrome (radicular pain / radiculopathy, i.e. sciatica) - pain and neurological symptoms in a dermatomal leg distribution from nerve-root irritation or compression, most often due to lumbar disc prolapse (L4-L5 and L5-S1) or lateral canal / foraminal stenosis; lumbar spinal stenosis produces neurogenic claudication in older adults.</w:t>
      </w:r>
    </w:p>
    <w:p>
      <w:pPr>
        <w:spacing w:before="0" w:after="80"/>
      </w:pPr>
      <w:r>
        <w:rPr>
          <w:rFonts w:ascii="Calibri" w:hAnsi="Calibri"/>
          <w:b w:val="0"/>
          <w:i w:val="0"/>
          <w:color w:val="212121"/>
          <w:sz w:val="21"/>
        </w:rPr>
        <w:t>(4) Serious / specific spinal pathology - fewer than 5-10% of cases - includes vertebral fracture, malignancy or metastasis, infection (spinal tuberculosis / Pott's spine, pyogenic discitis, epidural abscess), axial spondyloarthritis (ankylosing spondylitis) and cauda equina syndrome; these require prompt investigation and referral.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Mechanical and postural strain: Prolonged or awkward loading of the spine - sustained flexion, poor sitting posture and prolonged sitting or standing - overloads paraspinal muscles, ligaments, facet joints and discs, the commonest trigger of non-specific LBP.</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Occupational loading: Heavy manual handling, repetitive bending and twisting, lifting with poor technique and whole-body vibration (e.g. professional driving) are major drivers, especially in India's large manual workforce.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Degenerative spine disease: Age-related intervertebral disc degeneration, facet arthropathy, spondylosis and spinal stenosis reduce structural tolerance and cause chronic and radicular pain.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Disc prolapse / radiculopathy: Herniation of a lumbar intervertebral disc (usually L4-L5 or L5-S1) compresses a nerve root and produces sciatica; it is the most common structural cause of adult LBP with leg pain.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physical deconditioning: Excess body weight and weak trunk musculature increase mechanical load and modestly raise the risk of chronic and care-seeking LBP.</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Psychosocial factors: Depression, anxiety, high job strain, dissatisfaction and fear-avoidance beliefs ('yellow flags') strongly predict progression from acute to chronic disabling LBP.</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Specific spinal pathology: Osteoporotic and traumatic fractures, malignancy/metastasis, infection (including spinal tuberculosis) and inflammatory spondyloarthritis account for a small but serious minority of cases.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~30-55 years)</w:t>
            </w:r>
          </w:p>
        </w:tc>
        <w:tc>
          <w:tcPr>
            <w:tcW w:type="dxa" w:w="4276"/>
            <w:vAlign w:val="top"/>
          </w:tcPr>
          <w:p>
            <w:pPr>
              <w:spacing w:after="60" w:line="259" w:lineRule="auto"/>
            </w:pPr>
            <w:r>
              <w:rPr>
                <w:rFonts w:ascii="Calibri" w:hAnsi="Calibri"/>
                <w:b w:val="0"/>
                <w:i w:val="0"/>
                <w:color w:val="212121"/>
                <w:sz w:val="19"/>
              </w:rPr>
              <w:t>The working-age spine bears cumulative mechanical and occupational load, and disc degeneration begins early, so LBP is extremely common and peaks in mid-adult life. Most episodes are non-specific and mechanical, worse with activity and relieved by rest.</w:t>
            </w:r>
          </w:p>
          <w:p>
            <w:pPr>
              <w:spacing w:after="40" w:before="60" w:line="259" w:lineRule="auto"/>
            </w:pPr>
            <w:r>
              <w:rPr>
                <w:rFonts w:ascii="Calibri" w:hAnsi="Calibri"/>
                <w:b w:val="0"/>
                <w:i w:val="0"/>
                <w:color w:val="212121"/>
                <w:sz w:val="19"/>
              </w:rPr>
              <w:t>A 2022 meta-analysis of 97 Indian studies pooled the point prevalence of LBP at about 48%, the 1-year prevalence at 51% and the lifetime prevalence at 66%.</w:t>
            </w:r>
          </w:p>
          <w:p>
            <w:pPr>
              <w:spacing w:after="40" w:line="252" w:lineRule="auto"/>
            </w:pPr>
            <w:hyperlink r:id="rId9">
              <w:r>
                <w:rPr>
                  <w:rFonts w:ascii="Calibri" w:hAnsi="Calibri" w:cs="Calibri"/>
                  <w:sz w:val="18"/>
                  <w:color w:val="1155CC"/>
                  <w:u w:val="single"/>
                </w:rPr>
                <w:t xml:space="preserve">pubmed.ncbi.nlm.nih.gov/35964222 - LBP prevalence in India (meta-analysis)</w:t>
              </w:r>
            </w:hyperlink>
          </w:p>
          <w:p>
            <w:pPr>
              <w:spacing w:before="60" w:after="40"/>
            </w:pPr>
            <w:r>
              <w:rPr>
                <w:rFonts w:ascii="Calibri" w:hAnsi="Calibri"/>
                <w:b w:val="0"/>
                <w:i w:val="0"/>
                <w:color w:val="5A5A5A"/>
                <w:sz w:val="18"/>
              </w:rPr>
              <w:t>#lowbackpain  #mechanicalLBP  #lumbago  #workingage  #discdegeneration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In older adults LBP increasingly reflects degenerative disc and facet disease, spinal stenosis with neurogenic claudication, and osteoporotic vertebral fractures. Although the number of cases peaks around 50-55 years, the disability caused by LBP is greatest in the oldest age groups.</w:t>
            </w:r>
          </w:p>
          <w:p>
            <w:pPr>
              <w:spacing w:after="40" w:before="60" w:line="259" w:lineRule="auto"/>
            </w:pPr>
            <w:r>
              <w:rPr>
                <w:rFonts w:ascii="Calibri" w:hAnsi="Calibri"/>
                <w:b w:val="0"/>
                <w:i w:val="0"/>
                <w:color w:val="212121"/>
                <w:sz w:val="19"/>
              </w:rPr>
              <w:t>WHO reports that the number of LBP cases is highest at ages 50-55 and that prevalence rises with age up to about 80 years, with the greatest disability burden among those aged 80-85.</w:t>
            </w:r>
          </w:p>
          <w:p>
            <w:pPr>
              <w:spacing w:after="40" w:line="252" w:lineRule="auto"/>
            </w:pPr>
            <w:hyperlink r:id="rId10">
              <w:r>
                <w:rPr>
                  <w:rFonts w:ascii="Calibri" w:hAnsi="Calibri" w:cs="Calibri"/>
                  <w:sz w:val="18"/>
                  <w:color w:val="1155CC"/>
                  <w:u w:val="single"/>
                </w:rPr>
                <w:t xml:space="preserve">who.int - low back pain fact sheet</w:t>
              </w:r>
            </w:hyperlink>
          </w:p>
          <w:p>
            <w:pPr>
              <w:spacing w:before="60" w:after="40"/>
            </w:pPr>
            <w:r>
              <w:rPr>
                <w:rFonts w:ascii="Calibri" w:hAnsi="Calibri"/>
                <w:b w:val="0"/>
                <w:i w:val="0"/>
                <w:color w:val="5A5A5A"/>
                <w:sz w:val="18"/>
              </w:rPr>
              <w:t>#ageing  #spinalstenosis  #osteoporosis  #vertebralfracture  #degenerative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Women in India carry a higher LBP burden through pregnancy-related biomechanical load, domestic and agricultural manual work (carrying water, fodder and children), and post-menopausal osteoporosis. Genetic and hormonal disc-degeneration factors also contribute.</w:t>
            </w:r>
          </w:p>
          <w:p>
            <w:pPr>
              <w:spacing w:after="40" w:before="60" w:line="259" w:lineRule="auto"/>
            </w:pPr>
            <w:r>
              <w:rPr>
                <w:rFonts w:ascii="Calibri" w:hAnsi="Calibri"/>
                <w:b w:val="0"/>
                <w:i w:val="0"/>
                <w:color w:val="212121"/>
                <w:sz w:val="19"/>
              </w:rPr>
              <w:t>In rural Gadchiroli the point prevalence of non-specific LBP was 45% overall but markedly higher in women (55.7%) than men (34.1%); radiculopathy was also commoner in women (14.6% vs 7.3%).</w:t>
            </w:r>
          </w:p>
          <w:p>
            <w:pPr>
              <w:spacing w:after="40" w:line="252" w:lineRule="auto"/>
            </w:pPr>
            <w:hyperlink r:id="rId11">
              <w:r>
                <w:rPr>
                  <w:rFonts w:ascii="Calibri" w:hAnsi="Calibri" w:cs="Calibri"/>
                  <w:sz w:val="18"/>
                  <w:color w:val="1155CC"/>
                  <w:u w:val="single"/>
                </w:rPr>
                <w:t xml:space="preserve">jogh.org - back pain prevalence, rural Gadchiroli, India</w:t>
              </w:r>
            </w:hyperlink>
          </w:p>
          <w:p>
            <w:pPr>
              <w:spacing w:before="60" w:after="40"/>
            </w:pPr>
            <w:r>
              <w:rPr>
                <w:rFonts w:ascii="Calibri" w:hAnsi="Calibri"/>
                <w:b w:val="0"/>
                <w:i w:val="0"/>
                <w:color w:val="5A5A5A"/>
                <w:sz w:val="18"/>
              </w:rPr>
              <w:t>#womenshealth  #pregnancy  #postmenopausal  #domesticload  #osteoporosis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and low-income workers</w:t>
            </w:r>
          </w:p>
        </w:tc>
        <w:tc>
          <w:tcPr>
            <w:tcW w:type="dxa" w:w="4276"/>
            <w:vAlign w:val="top"/>
          </w:tcPr>
          <w:p>
            <w:pPr>
              <w:spacing w:after="60" w:line="259" w:lineRule="auto"/>
            </w:pPr>
            <w:r>
              <w:rPr>
                <w:rFonts w:ascii="Calibri" w:hAnsi="Calibri"/>
                <w:b w:val="0"/>
                <w:i w:val="0"/>
                <w:color w:val="212121"/>
                <w:sz w:val="19"/>
              </w:rPr>
              <w:t>Physically demanding, low-control jobs with heavy lifting, poor ergonomics and limited access to care concentrate LBP risk in lower-income and elementary occupations. Continued work despite pain fuels chronicity and lost livelihood.</w:t>
            </w:r>
          </w:p>
          <w:p>
            <w:pPr>
              <w:spacing w:after="40" w:before="60" w:line="259" w:lineRule="auto"/>
            </w:pPr>
            <w:r>
              <w:rPr>
                <w:rFonts w:ascii="Calibri" w:hAnsi="Calibri"/>
                <w:b w:val="0"/>
                <w:i w:val="0"/>
                <w:color w:val="212121"/>
                <w:sz w:val="19"/>
              </w:rPr>
              <w:t>The Indian meta-analysis found pooled LBP prevalence highest among women, rural residents and 'elementary' (manual) workers.</w:t>
            </w:r>
          </w:p>
          <w:p>
            <w:pPr>
              <w:spacing w:after="40" w:line="252" w:lineRule="auto"/>
            </w:pPr>
            <w:hyperlink r:id="rId9">
              <w:r>
                <w:rPr>
                  <w:rFonts w:ascii="Calibri" w:hAnsi="Calibri" w:cs="Calibri"/>
                  <w:sz w:val="18"/>
                  <w:color w:val="1155CC"/>
                  <w:u w:val="single"/>
                </w:rPr>
                <w:t xml:space="preserve">pubmed.ncbi.nlm.nih.gov/35964222 - highest in manual workers</w:t>
              </w:r>
            </w:hyperlink>
          </w:p>
          <w:p>
            <w:pPr>
              <w:spacing w:before="60" w:after="40"/>
            </w:pPr>
            <w:r>
              <w:rPr>
                <w:rFonts w:ascii="Calibri" w:hAnsi="Calibri"/>
                <w:b w:val="0"/>
                <w:i w:val="0"/>
                <w:color w:val="5A5A5A"/>
                <w:sz w:val="18"/>
              </w:rPr>
              <w:t>#manuallabour  #occupational  #lowincome  #ergonomics  #elementaryworkers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agricultural population</w:t>
            </w:r>
          </w:p>
        </w:tc>
        <w:tc>
          <w:tcPr>
            <w:tcW w:type="dxa" w:w="4276"/>
            <w:vAlign w:val="top"/>
          </w:tcPr>
          <w:p>
            <w:pPr>
              <w:spacing w:after="60" w:line="259" w:lineRule="auto"/>
            </w:pPr>
            <w:r>
              <w:rPr>
                <w:rFonts w:ascii="Calibri" w:hAnsi="Calibri"/>
                <w:b w:val="0"/>
                <w:i w:val="0"/>
                <w:color w:val="212121"/>
                <w:sz w:val="19"/>
              </w:rPr>
              <w:t>Rural livelihoods involve prolonged stooping, manual harvesting, load carrying and squatting on hard surfaces, and rural women in particular combine field and household labour, giving very high community prevalence.</w:t>
            </w:r>
          </w:p>
          <w:p>
            <w:pPr>
              <w:spacing w:after="40" w:before="60" w:line="259" w:lineRule="auto"/>
            </w:pPr>
            <w:r>
              <w:rPr>
                <w:rFonts w:ascii="Calibri" w:hAnsi="Calibri"/>
                <w:b w:val="0"/>
                <w:i w:val="0"/>
                <w:color w:val="212121"/>
                <w:sz w:val="19"/>
              </w:rPr>
              <w:t>A community survey in rural Gadchiroli found a point prevalence of back pain of about 49%, with non-specific LBP (45%) the largest group and prevalence rising with age.</w:t>
            </w:r>
          </w:p>
          <w:p>
            <w:pPr>
              <w:spacing w:after="40" w:line="252" w:lineRule="auto"/>
            </w:pPr>
            <w:hyperlink r:id="rId11">
              <w:r>
                <w:rPr>
                  <w:rFonts w:ascii="Calibri" w:hAnsi="Calibri" w:cs="Calibri"/>
                  <w:sz w:val="18"/>
                  <w:color w:val="1155CC"/>
                  <w:u w:val="single"/>
                </w:rPr>
                <w:t xml:space="preserve">jogh.org - rural community back pain, India</w:t>
              </w:r>
            </w:hyperlink>
          </w:p>
          <w:p>
            <w:pPr>
              <w:spacing w:before="60" w:after="40"/>
            </w:pPr>
            <w:r>
              <w:rPr>
                <w:rFonts w:ascii="Calibri" w:hAnsi="Calibri"/>
                <w:b w:val="0"/>
                <w:i w:val="0"/>
                <w:color w:val="5A5A5A"/>
                <w:sz w:val="18"/>
              </w:rPr>
              <w:t>#rural  #agriculture  #stooping  #loadcarrying  #communityburden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Urban desk / IT workforce</w:t>
            </w:r>
          </w:p>
        </w:tc>
        <w:tc>
          <w:tcPr>
            <w:tcW w:type="dxa" w:w="4276"/>
            <w:vAlign w:val="top"/>
          </w:tcPr>
          <w:p>
            <w:pPr>
              <w:spacing w:after="60" w:line="259" w:lineRule="auto"/>
            </w:pPr>
            <w:r>
              <w:rPr>
                <w:rFonts w:ascii="Calibri" w:hAnsi="Calibri"/>
                <w:b w:val="0"/>
                <w:i w:val="0"/>
                <w:color w:val="212121"/>
                <w:sz w:val="19"/>
              </w:rPr>
              <w:t>India's fast-growing urban office and IT sector spends long hours seated at poorly set-up workstations with forward-flexed posture and little movement, a classic driver of non-specific mechanical LBP.</w:t>
            </w:r>
          </w:p>
          <w:p>
            <w:pPr>
              <w:spacing w:after="40" w:before="60" w:line="259" w:lineRule="auto"/>
            </w:pPr>
            <w:r>
              <w:rPr>
                <w:rFonts w:ascii="Calibri" w:hAnsi="Calibri"/>
                <w:b w:val="0"/>
                <w:i w:val="0"/>
                <w:color w:val="212121"/>
                <w:sz w:val="19"/>
              </w:rPr>
              <w:t>WHO lists low physical activity levels and high physical stress at work among the leading risk factors for non-specific LBP.</w:t>
            </w:r>
          </w:p>
          <w:p>
            <w:pPr>
              <w:spacing w:after="40" w:line="252" w:lineRule="auto"/>
            </w:pPr>
            <w:hyperlink r:id="rId10">
              <w:r>
                <w:rPr>
                  <w:rFonts w:ascii="Calibri" w:hAnsi="Calibri" w:cs="Calibri"/>
                  <w:sz w:val="18"/>
                  <w:color w:val="1155CC"/>
                  <w:u w:val="single"/>
                </w:rPr>
                <w:t xml:space="preserve">who.int - risk factors for non-specific LBP</w:t>
              </w:r>
            </w:hyperlink>
          </w:p>
          <w:p>
            <w:pPr>
              <w:spacing w:before="60" w:after="40"/>
            </w:pPr>
            <w:r>
              <w:rPr>
                <w:rFonts w:ascii="Calibri" w:hAnsi="Calibri"/>
                <w:b w:val="0"/>
                <w:i w:val="0"/>
                <w:color w:val="5A5A5A"/>
                <w:sz w:val="18"/>
              </w:rPr>
              <w:t>#deskjob  #ITprofessionals  #poorergonomics  #prolongedsitting  #urban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drivers, screen-bound adults</w:t>
            </w:r>
          </w:p>
        </w:tc>
        <w:tc>
          <w:tcPr>
            <w:tcW w:type="dxa" w:w="4276"/>
            <w:vAlign w:val="top"/>
          </w:tcPr>
          <w:p>
            <w:pPr>
              <w:spacing w:after="60" w:line="259" w:lineRule="auto"/>
            </w:pPr>
            <w:r>
              <w:rPr>
                <w:rFonts w:ascii="Calibri" w:hAnsi="Calibri"/>
                <w:b w:val="0"/>
                <w:i w:val="0"/>
                <w:color w:val="212121"/>
                <w:sz w:val="19"/>
              </w:rPr>
              <w:t>Prolonged sitting and physical inactivity weaken and decondition the trunk and gluteal muscles, increase static disc loading and stiffen the lumbar spine, all of which predispose to and perpetuate LBP. Professional drivers additionally face whole-body vibration.</w:t>
            </w:r>
          </w:p>
          <w:p>
            <w:pPr>
              <w:spacing w:after="40" w:before="60" w:line="259" w:lineRule="auto"/>
            </w:pPr>
            <w:r>
              <w:rPr>
                <w:rFonts w:ascii="Calibri" w:hAnsi="Calibri"/>
                <w:b w:val="0"/>
                <w:i w:val="0"/>
                <w:color w:val="212121"/>
                <w:sz w:val="19"/>
              </w:rPr>
              <w:t>Low physical activity is a recognised, modifiable risk factor for non-specific LBP; regular activity and avoiding prolonged sitting are protective.</w:t>
            </w:r>
          </w:p>
          <w:p>
            <w:pPr>
              <w:spacing w:after="40" w:line="252" w:lineRule="auto"/>
            </w:pPr>
            <w:hyperlink r:id="rId10">
              <w:r>
                <w:rPr>
                  <w:rFonts w:ascii="Calibri" w:hAnsi="Calibri" w:cs="Calibri"/>
                  <w:sz w:val="18"/>
                  <w:color w:val="1155CC"/>
                  <w:u w:val="single"/>
                </w:rPr>
                <w:t xml:space="preserve">who.int - physical activity and LBP</w:t>
              </w:r>
            </w:hyperlink>
          </w:p>
          <w:p>
            <w:pPr>
              <w:spacing w:before="60" w:after="40"/>
            </w:pPr>
            <w:r>
              <w:rPr>
                <w:rFonts w:ascii="Calibri" w:hAnsi="Calibri"/>
                <w:b w:val="0"/>
                <w:i w:val="0"/>
                <w:color w:val="5A5A5A"/>
                <w:sz w:val="18"/>
              </w:rPr>
              <w:t>#sedentary  #prolongedsitting  #deconditioning  #drivers  #screenbound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loading (heavy)</w:t>
            </w:r>
          </w:p>
        </w:tc>
        <w:tc>
          <w:tcPr>
            <w:tcW w:type="dxa" w:w="2160"/>
            <w:vAlign w:val="top"/>
          </w:tcPr>
          <w:p>
            <w:pPr>
              <w:spacing w:after="40" w:before="0" w:line="259" w:lineRule="auto"/>
            </w:pPr>
            <w:r>
              <w:rPr>
                <w:rFonts w:ascii="Calibri" w:hAnsi="Calibri"/>
                <w:b w:val="0"/>
                <w:i w:val="0"/>
                <w:color w:val="212121"/>
                <w:sz w:val="19"/>
              </w:rPr>
              <w:t>Farmers, construction and mill/loader workers</w:t>
            </w:r>
          </w:p>
        </w:tc>
        <w:tc>
          <w:tcPr>
            <w:tcW w:type="dxa" w:w="4276"/>
            <w:vAlign w:val="top"/>
          </w:tcPr>
          <w:p>
            <w:pPr>
              <w:spacing w:after="60" w:line="259" w:lineRule="auto"/>
            </w:pPr>
            <w:r>
              <w:rPr>
                <w:rFonts w:ascii="Calibri" w:hAnsi="Calibri"/>
                <w:b w:val="0"/>
                <w:i w:val="0"/>
                <w:color w:val="212121"/>
                <w:sz w:val="19"/>
              </w:rPr>
              <w:t>Repetitive heavy lifting, carrying, bending and twisting in awkward postures - the reality of much Indian manual work - directly overloads spinal structures and is strongly linked to chronic occupational LBP.</w:t>
            </w:r>
          </w:p>
          <w:p>
            <w:pPr>
              <w:spacing w:after="40" w:before="60" w:line="259" w:lineRule="auto"/>
            </w:pPr>
            <w:r>
              <w:rPr>
                <w:rFonts w:ascii="Calibri" w:hAnsi="Calibri"/>
                <w:b w:val="0"/>
                <w:i w:val="0"/>
                <w:color w:val="212121"/>
                <w:sz w:val="19"/>
              </w:rPr>
              <w:t>Among Indian jute-mill workers, load handling and repetitive movements were significantly associated with chronic low back pain.</w:t>
            </w:r>
          </w:p>
          <w:p>
            <w:pPr>
              <w:spacing w:after="40" w:line="252" w:lineRule="auto"/>
            </w:pPr>
            <w:hyperlink r:id="rId12">
              <w:r>
                <w:rPr>
                  <w:rFonts w:ascii="Calibri" w:hAnsi="Calibri" w:cs="Calibri"/>
                  <w:sz w:val="18"/>
                  <w:color w:val="1155CC"/>
                  <w:u w:val="single"/>
                </w:rPr>
                <w:t xml:space="preserve">pmc.ncbi.nlm.nih.gov - load handling &amp; chronic LBP, India</w:t>
              </w:r>
            </w:hyperlink>
          </w:p>
          <w:p>
            <w:pPr>
              <w:spacing w:before="60" w:after="40"/>
            </w:pPr>
            <w:r>
              <w:rPr>
                <w:rFonts w:ascii="Calibri" w:hAnsi="Calibri"/>
                <w:b w:val="0"/>
                <w:i w:val="0"/>
                <w:color w:val="5A5A5A"/>
                <w:sz w:val="18"/>
              </w:rPr>
              <w:t>#manualhandling  #heavylifting  #construction  #farmers  #occupationalLBP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and tobacco users</w:t>
            </w:r>
          </w:p>
        </w:tc>
        <w:tc>
          <w:tcPr>
            <w:tcW w:type="dxa" w:w="4276"/>
            <w:vAlign w:val="top"/>
          </w:tcPr>
          <w:p>
            <w:pPr>
              <w:spacing w:after="60" w:line="259" w:lineRule="auto"/>
            </w:pPr>
            <w:r>
              <w:rPr>
                <w:rFonts w:ascii="Calibri" w:hAnsi="Calibri"/>
                <w:b w:val="0"/>
                <w:i w:val="0"/>
                <w:color w:val="212121"/>
                <w:sz w:val="19"/>
              </w:rPr>
              <w:t>Smoking impairs disc nutrition and micro-circulation, promotes disc degeneration and heightens pain sensitivity, increasing both the incidence and chronicity of LBP; the association is strongest for chronic and disabling pain.</w:t>
            </w:r>
          </w:p>
          <w:p>
            <w:pPr>
              <w:spacing w:after="40" w:before="60" w:line="259" w:lineRule="auto"/>
            </w:pPr>
            <w:r>
              <w:rPr>
                <w:rFonts w:ascii="Calibri" w:hAnsi="Calibri"/>
                <w:b w:val="0"/>
                <w:i w:val="0"/>
                <w:color w:val="212121"/>
                <w:sz w:val="19"/>
              </w:rPr>
              <w:t>A meta-analysis found current smoking raised the odds of chronic LBP (OR ~1.79) and disabling LBP (OR ~2.14), with the incidence association strongest in adolescents (OR ~1.82).</w:t>
            </w:r>
          </w:p>
          <w:p>
            <w:pPr>
              <w:spacing w:after="40" w:line="252" w:lineRule="auto"/>
            </w:pPr>
            <w:hyperlink r:id="rId13">
              <w:r>
                <w:rPr>
                  <w:rFonts w:ascii="Calibri" w:hAnsi="Calibri" w:cs="Calibri"/>
                  <w:sz w:val="18"/>
                  <w:color w:val="1155CC"/>
                  <w:u w:val="single"/>
                </w:rPr>
                <w:t xml:space="preserve">pubmed.ncbi.nlm.nih.gov/20102998 - smoking &amp; LBP meta-analysis</w:t>
              </w:r>
            </w:hyperlink>
          </w:p>
          <w:p>
            <w:pPr>
              <w:spacing w:before="60" w:after="40"/>
            </w:pPr>
            <w:r>
              <w:rPr>
                <w:rFonts w:ascii="Calibri" w:hAnsi="Calibri"/>
                <w:b w:val="0"/>
                <w:i w:val="0"/>
                <w:color w:val="5A5A5A"/>
                <w:sz w:val="18"/>
              </w:rPr>
              <w:t>#smoking  #tobacco  #discnutrition  #chronicpain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Evidence linking alcohol to LBP is weak and inconsistent, but heavy use is associated with poorer pain coping, deconditioning, falls and osteoporosis, and can complicate analgesic use in chronic LBP.</w:t>
            </w:r>
          </w:p>
          <w:p>
            <w:pPr>
              <w:spacing w:after="40" w:before="60" w:line="259" w:lineRule="auto"/>
            </w:pPr>
            <w:r>
              <w:rPr>
                <w:rFonts w:ascii="Calibri" w:hAnsi="Calibri"/>
                <w:b w:val="0"/>
                <w:i w:val="0"/>
                <w:color w:val="212121"/>
                <w:sz w:val="19"/>
              </w:rPr>
              <w:t>Any independent effect of alcohol on LBP appears small; heavy drinking is best viewed as a general health and recovery risk rather than a primary cause.</w:t>
            </w:r>
          </w:p>
          <w:p>
            <w:pPr>
              <w:spacing w:before="60" w:after="40"/>
            </w:pPr>
            <w:r>
              <w:rPr>
                <w:rFonts w:ascii="Calibri" w:hAnsi="Calibri"/>
                <w:b w:val="0"/>
                <w:i w:val="0"/>
                <w:color w:val="5A5A5A"/>
                <w:sz w:val="18"/>
              </w:rPr>
              <w:t>#alcohol  #heavydrinking  #deconditioning  #painmanagement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&gt;= 23)</w:t>
            </w:r>
          </w:p>
        </w:tc>
        <w:tc>
          <w:tcPr>
            <w:tcW w:type="dxa" w:w="4276"/>
            <w:vAlign w:val="top"/>
          </w:tcPr>
          <w:p>
            <w:pPr>
              <w:spacing w:after="60" w:line="259" w:lineRule="auto"/>
            </w:pPr>
            <w:r>
              <w:rPr>
                <w:rFonts w:ascii="Calibri" w:hAnsi="Calibri"/>
                <w:b w:val="0"/>
                <w:i w:val="0"/>
                <w:color w:val="212121"/>
                <w:sz w:val="19"/>
              </w:rPr>
              <w:t>Excess body weight increases compressive load on lumbar discs and facet joints and is accompanied by reduced fitness, modestly raising the risk and persistence of LBP; Asian-Indian overweight begins at a BMI of 23.</w:t>
            </w:r>
          </w:p>
          <w:p>
            <w:pPr>
              <w:spacing w:after="40" w:before="60" w:line="259" w:lineRule="auto"/>
            </w:pPr>
            <w:r>
              <w:rPr>
                <w:rFonts w:ascii="Calibri" w:hAnsi="Calibri"/>
                <w:b w:val="0"/>
                <w:i w:val="0"/>
                <w:color w:val="212121"/>
                <w:sz w:val="19"/>
              </w:rPr>
              <w:t>In a meta-analysis, overweight individuals had a higher prevalence of LBP than normal-weight people, intermediate between normal weight and obesity.</w:t>
            </w:r>
          </w:p>
          <w:p>
            <w:pPr>
              <w:spacing w:after="40" w:line="252" w:lineRule="auto"/>
            </w:pPr>
            <w:hyperlink r:id="rId14">
              <w:r>
                <w:rPr>
                  <w:rFonts w:ascii="Calibri" w:hAnsi="Calibri" w:cs="Calibri"/>
                  <w:sz w:val="18"/>
                  <w:color w:val="1155CC"/>
                  <w:u w:val="single"/>
                </w:rPr>
                <w:t xml:space="preserve">academic.oup.com - obesity/overweight &amp; LBP meta-analysis</w:t>
              </w:r>
            </w:hyperlink>
          </w:p>
          <w:p>
            <w:pPr>
              <w:spacing w:before="60" w:after="40"/>
            </w:pPr>
            <w:r>
              <w:rPr>
                <w:rFonts w:ascii="Calibri" w:hAnsi="Calibri"/>
                <w:b w:val="0"/>
                <w:i w:val="0"/>
                <w:color w:val="5A5A5A"/>
                <w:sz w:val="18"/>
              </w:rPr>
              <w:t>#overweight  #spinalload  #asianBMI  #deconditioning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central obesity</w:t>
            </w:r>
          </w:p>
        </w:tc>
        <w:tc>
          <w:tcPr>
            <w:tcW w:type="dxa" w:w="4276"/>
            <w:vAlign w:val="top"/>
          </w:tcPr>
          <w:p>
            <w:pPr>
              <w:spacing w:after="60" w:line="259" w:lineRule="auto"/>
            </w:pPr>
            <w:r>
              <w:rPr>
                <w:rFonts w:ascii="Calibri" w:hAnsi="Calibri"/>
                <w:b w:val="0"/>
                <w:i w:val="0"/>
                <w:color w:val="212121"/>
                <w:sz w:val="19"/>
              </w:rPr>
              <w:t>Obesity, especially central adiposity, increases mechanical loading, alters posture and gait, and adds low-grade inflammation, raising the odds of chronic and care-seeking LBP.</w:t>
            </w:r>
          </w:p>
          <w:p>
            <w:pPr>
              <w:spacing w:after="40" w:before="60" w:line="259" w:lineRule="auto"/>
            </w:pPr>
            <w:r>
              <w:rPr>
                <w:rFonts w:ascii="Calibri" w:hAnsi="Calibri"/>
                <w:b w:val="0"/>
                <w:i w:val="0"/>
                <w:color w:val="212121"/>
                <w:sz w:val="19"/>
              </w:rPr>
              <w:t>Obesity was associated with higher odds of LBP in the past 12 months (OR ~1.33), chronic LBP (OR ~1.43) and seeking care for LBP (OR ~1.56).</w:t>
            </w:r>
          </w:p>
          <w:p>
            <w:pPr>
              <w:spacing w:after="40" w:line="252" w:lineRule="auto"/>
            </w:pPr>
            <w:hyperlink r:id="rId14">
              <w:r>
                <w:rPr>
                  <w:rFonts w:ascii="Calibri" w:hAnsi="Calibri" w:cs="Calibri"/>
                  <w:sz w:val="18"/>
                  <w:color w:val="1155CC"/>
                  <w:u w:val="single"/>
                </w:rPr>
                <w:t xml:space="preserve">academic.oup.com - obesity &amp; LBP meta-analysis</w:t>
              </w:r>
            </w:hyperlink>
          </w:p>
          <w:p>
            <w:pPr>
              <w:spacing w:before="60" w:after="40"/>
            </w:pPr>
            <w:r>
              <w:rPr>
                <w:rFonts w:ascii="Calibri" w:hAnsi="Calibri"/>
                <w:b w:val="0"/>
                <w:i w:val="0"/>
                <w:color w:val="5A5A5A"/>
                <w:sz w:val="18"/>
              </w:rPr>
              <w:t>#obesity  #centraladiposity  #chronicLBP  #mechanicalload  #inflammation</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 vitamin-D / low-calcium intake, limited sun exposure</w:t>
            </w:r>
          </w:p>
        </w:tc>
        <w:tc>
          <w:tcPr>
            <w:tcW w:type="dxa" w:w="4276"/>
            <w:vAlign w:val="top"/>
          </w:tcPr>
          <w:p>
            <w:pPr>
              <w:spacing w:after="60" w:line="259" w:lineRule="auto"/>
            </w:pPr>
            <w:r>
              <w:rPr>
                <w:rFonts w:ascii="Calibri" w:hAnsi="Calibri"/>
                <w:b w:val="0"/>
                <w:i w:val="0"/>
                <w:color w:val="212121"/>
                <w:sz w:val="19"/>
              </w:rPr>
              <w:t>Vitamin D and calcium insufficiency - very common in India despite abundant sunshine - contribute to musculoskeletal pain, low bone density and osteoporotic vertebral fracture, and may aggravate chronic LBP.</w:t>
            </w:r>
          </w:p>
          <w:p>
            <w:pPr>
              <w:spacing w:after="40" w:before="60" w:line="259" w:lineRule="auto"/>
            </w:pPr>
            <w:r>
              <w:rPr>
                <w:rFonts w:ascii="Calibri" w:hAnsi="Calibri"/>
                <w:b w:val="0"/>
                <w:i w:val="0"/>
                <w:color w:val="212121"/>
                <w:sz w:val="19"/>
              </w:rPr>
              <w:t>Vitamin D deficiency is highly prevalent among Indian patients with chronic and subacute low back pain, and correction has been studied as an adjunct to pain management.</w:t>
            </w:r>
          </w:p>
          <w:p>
            <w:pPr>
              <w:spacing w:after="40" w:line="252" w:lineRule="auto"/>
            </w:pPr>
            <w:hyperlink r:id="rId15">
              <w:r>
                <w:rPr>
                  <w:rFonts w:ascii="Calibri" w:hAnsi="Calibri" w:cs="Calibri"/>
                  <w:sz w:val="18"/>
                  <w:color w:val="1155CC"/>
                  <w:u w:val="single"/>
                </w:rPr>
                <w:t xml:space="preserve">pubmed.ncbi.nlm.nih.gov/28842760 - vitamin D &amp; LBP in India</w:t>
              </w:r>
            </w:hyperlink>
          </w:p>
          <w:p>
            <w:pPr>
              <w:spacing w:before="60" w:after="40"/>
            </w:pPr>
            <w:r>
              <w:rPr>
                <w:rFonts w:ascii="Calibri" w:hAnsi="Calibri"/>
                <w:b w:val="0"/>
                <w:i w:val="0"/>
                <w:color w:val="5A5A5A"/>
                <w:sz w:val="18"/>
              </w:rPr>
              <w:t>#vitaminD  #calcium  #bonehealth  #osteoporosis  #Indiadeficiency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disc degeneration / early LBP</w:t>
            </w:r>
          </w:p>
        </w:tc>
        <w:tc>
          <w:tcPr>
            <w:tcW w:type="dxa" w:w="4276"/>
            <w:vAlign w:val="top"/>
          </w:tcPr>
          <w:p>
            <w:pPr>
              <w:spacing w:after="60" w:line="259" w:lineRule="auto"/>
            </w:pPr>
            <w:r>
              <w:rPr>
                <w:rFonts w:ascii="Calibri" w:hAnsi="Calibri"/>
                <w:b w:val="0"/>
                <w:i w:val="0"/>
                <w:color w:val="212121"/>
                <w:sz w:val="19"/>
              </w:rPr>
              <w:t>Twin and family studies show that intervertebral disc degeneration and susceptibility to LBP are substantially heritable, so a family history of early back trouble or disc disease raises individual risk.</w:t>
            </w:r>
          </w:p>
          <w:p>
            <w:pPr>
              <w:spacing w:after="40" w:before="60" w:line="259" w:lineRule="auto"/>
            </w:pPr>
            <w:r>
              <w:rPr>
                <w:rFonts w:ascii="Calibri" w:hAnsi="Calibri"/>
                <w:b w:val="0"/>
                <w:i w:val="0"/>
                <w:color w:val="212121"/>
                <w:sz w:val="19"/>
              </w:rPr>
              <w:t>The UK Twin Spine Study identified lumbar disc degeneration and genetic factors as the main risk factors for low back pain in women.</w:t>
            </w:r>
          </w:p>
          <w:p>
            <w:pPr>
              <w:spacing w:after="40" w:line="252" w:lineRule="auto"/>
            </w:pPr>
            <w:hyperlink r:id="rId16">
              <w:r>
                <w:rPr>
                  <w:rFonts w:ascii="Calibri" w:hAnsi="Calibri" w:cs="Calibri"/>
                  <w:sz w:val="18"/>
                  <w:color w:val="1155CC"/>
                  <w:u w:val="single"/>
                </w:rPr>
                <w:t xml:space="preserve">pubmed.ncbi.nlm.nih.gov/21646416 - genetics &amp; disc degeneration (twin study)</w:t>
              </w:r>
            </w:hyperlink>
          </w:p>
          <w:p>
            <w:pPr>
              <w:spacing w:before="60" w:after="40"/>
            </w:pPr>
            <w:r>
              <w:rPr>
                <w:rFonts w:ascii="Calibri" w:hAnsi="Calibri"/>
                <w:b w:val="0"/>
                <w:i w:val="0"/>
                <w:color w:val="5A5A5A"/>
                <w:sz w:val="18"/>
              </w:rPr>
              <w:t>#genetics  #heritability  #discdegeneration  #familyhistory  #twinstudy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Lumbar disc prolapse / sciatica</w:t>
            </w:r>
          </w:p>
        </w:tc>
        <w:tc>
          <w:tcPr>
            <w:tcW w:type="dxa" w:w="2160"/>
            <w:vAlign w:val="top"/>
          </w:tcPr>
          <w:p>
            <w:pPr>
              <w:spacing w:after="40" w:before="0" w:line="259" w:lineRule="auto"/>
            </w:pPr>
            <w:r>
              <w:rPr>
                <w:rFonts w:ascii="Calibri" w:hAnsi="Calibri"/>
                <w:b w:val="0"/>
                <w:i w:val="0"/>
                <w:color w:val="212121"/>
                <w:sz w:val="19"/>
              </w:rPr>
              <w:t>Patients with disc herniation and radiculopathy</w:t>
            </w:r>
          </w:p>
        </w:tc>
        <w:tc>
          <w:tcPr>
            <w:tcW w:type="dxa" w:w="4276"/>
            <w:vAlign w:val="top"/>
          </w:tcPr>
          <w:p>
            <w:pPr>
              <w:spacing w:after="60" w:line="259" w:lineRule="auto"/>
            </w:pPr>
            <w:r>
              <w:rPr>
                <w:rFonts w:ascii="Calibri" w:hAnsi="Calibri"/>
                <w:b w:val="0"/>
                <w:i w:val="0"/>
                <w:color w:val="212121"/>
                <w:sz w:val="19"/>
              </w:rPr>
              <w:t>A prolapsed lumbar disc compressing a nerve root causes sciatica - dermatomal leg pain, sometimes with numbness or weakness. It overlaps with mechanical LBP and is the commonest structural cause of adult back pain, peaking in early-to-mid adulthood.</w:t>
            </w:r>
          </w:p>
          <w:p>
            <w:pPr>
              <w:spacing w:after="40" w:before="60" w:line="259" w:lineRule="auto"/>
            </w:pPr>
            <w:r>
              <w:rPr>
                <w:rFonts w:ascii="Calibri" w:hAnsi="Calibri"/>
                <w:b w:val="0"/>
                <w:i w:val="0"/>
                <w:color w:val="212121"/>
                <w:sz w:val="19"/>
              </w:rPr>
              <w:t>About 5% of men and 2.5% of women experience sciatica in their lifetime; symptomatic herniation peaks at 30-50 years and roughly 95% of lumbar herniations occur at L4-L5 or L5-S1.</w:t>
            </w:r>
          </w:p>
          <w:p>
            <w:pPr>
              <w:spacing w:after="40" w:line="252" w:lineRule="auto"/>
            </w:pPr>
            <w:hyperlink r:id="rId17">
              <w:r>
                <w:rPr>
                  <w:rFonts w:ascii="Calibri" w:hAnsi="Calibri" w:cs="Calibri"/>
                  <w:sz w:val="18"/>
                  <w:color w:val="1155CC"/>
                  <w:u w:val="single"/>
                </w:rPr>
                <w:t xml:space="preserve">emedicine.medscape.com - lumbar disc disease epidemiology</w:t>
              </w:r>
            </w:hyperlink>
          </w:p>
          <w:p>
            <w:pPr>
              <w:spacing w:before="60" w:after="40"/>
            </w:pPr>
            <w:r>
              <w:rPr>
                <w:rFonts w:ascii="Calibri" w:hAnsi="Calibri"/>
                <w:b w:val="0"/>
                <w:i w:val="0"/>
                <w:color w:val="5A5A5A"/>
                <w:sz w:val="18"/>
              </w:rPr>
              <w:t>#discprolapse  #sciatica  #radiculopathy  #L4L5  #L5S1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Lumbar spondylosis / DDD</w:t>
            </w:r>
          </w:p>
        </w:tc>
        <w:tc>
          <w:tcPr>
            <w:tcW w:type="dxa" w:w="2160"/>
            <w:vAlign w:val="top"/>
          </w:tcPr>
          <w:p>
            <w:pPr>
              <w:spacing w:after="40" w:before="0" w:line="259" w:lineRule="auto"/>
            </w:pPr>
            <w:r>
              <w:rPr>
                <w:rFonts w:ascii="Calibri" w:hAnsi="Calibri"/>
                <w:b w:val="0"/>
                <w:i w:val="0"/>
                <w:color w:val="212121"/>
                <w:sz w:val="19"/>
              </w:rPr>
              <w:t>Patients with degenerative disc / facet disease</w:t>
            </w:r>
          </w:p>
        </w:tc>
        <w:tc>
          <w:tcPr>
            <w:tcW w:type="dxa" w:w="4276"/>
            <w:vAlign w:val="top"/>
          </w:tcPr>
          <w:p>
            <w:pPr>
              <w:spacing w:after="60" w:line="259" w:lineRule="auto"/>
            </w:pPr>
            <w:r>
              <w:rPr>
                <w:rFonts w:ascii="Calibri" w:hAnsi="Calibri"/>
                <w:b w:val="0"/>
                <w:i w:val="0"/>
                <w:color w:val="212121"/>
                <w:sz w:val="19"/>
              </w:rPr>
              <w:t>Age-related degeneration of discs and facet joints (spondylosis) reduces the spine's structural tolerance and is the most frequent background to chronic mechanical LBP, and can progress to spinal stenosis.</w:t>
            </w:r>
          </w:p>
          <w:p>
            <w:pPr>
              <w:spacing w:after="40" w:before="60" w:line="259" w:lineRule="auto"/>
            </w:pPr>
            <w:r>
              <w:rPr>
                <w:rFonts w:ascii="Calibri" w:hAnsi="Calibri"/>
                <w:b w:val="0"/>
                <w:i w:val="0"/>
                <w:color w:val="212121"/>
                <w:sz w:val="19"/>
              </w:rPr>
              <w:t>The lifetime prevalence of low back pain is around 80%, with disc and degenerative disorders being the most common cause of adult LBP.</w:t>
            </w:r>
          </w:p>
          <w:p>
            <w:pPr>
              <w:spacing w:after="40" w:line="252" w:lineRule="auto"/>
            </w:pPr>
            <w:hyperlink r:id="rId17">
              <w:r>
                <w:rPr>
                  <w:rFonts w:ascii="Calibri" w:hAnsi="Calibri" w:cs="Calibri"/>
                  <w:sz w:val="18"/>
                  <w:color w:val="1155CC"/>
                  <w:u w:val="single"/>
                </w:rPr>
                <w:t xml:space="preserve">emedicine.medscape.com - degenerative causes of LBP</w:t>
              </w:r>
            </w:hyperlink>
          </w:p>
          <w:p>
            <w:pPr>
              <w:spacing w:before="60" w:after="40"/>
            </w:pPr>
            <w:r>
              <w:rPr>
                <w:rFonts w:ascii="Calibri" w:hAnsi="Calibri"/>
                <w:b w:val="0"/>
                <w:i w:val="0"/>
                <w:color w:val="5A5A5A"/>
                <w:sz w:val="18"/>
              </w:rPr>
              <w:t>#spondylosis  #DDD  #facetarthropathy  #chronicLBP  #stenosis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anxiety</w:t>
            </w:r>
          </w:p>
        </w:tc>
        <w:tc>
          <w:tcPr>
            <w:tcW w:type="dxa" w:w="2160"/>
            <w:vAlign w:val="top"/>
          </w:tcPr>
          <w:p>
            <w:pPr>
              <w:spacing w:after="40" w:before="0" w:line="259" w:lineRule="auto"/>
            </w:pPr>
            <w:r>
              <w:rPr>
                <w:rFonts w:ascii="Calibri" w:hAnsi="Calibri"/>
                <w:b w:val="0"/>
                <w:i w:val="0"/>
                <w:color w:val="212121"/>
                <w:sz w:val="19"/>
              </w:rPr>
              <w:t>Patients with psychological distress ('yellow flags')</w:t>
            </w:r>
          </w:p>
        </w:tc>
        <w:tc>
          <w:tcPr>
            <w:tcW w:type="dxa" w:w="4276"/>
            <w:vAlign w:val="top"/>
          </w:tcPr>
          <w:p>
            <w:pPr>
              <w:spacing w:after="60" w:line="259" w:lineRule="auto"/>
            </w:pPr>
            <w:r>
              <w:rPr>
                <w:rFonts w:ascii="Calibri" w:hAnsi="Calibri"/>
                <w:b w:val="0"/>
                <w:i w:val="0"/>
                <w:color w:val="212121"/>
                <w:sz w:val="19"/>
              </w:rPr>
              <w:t>Depression, anxiety, fear-avoidance beliefs and high job strain do not usually start LBP but are powerful predictors of its transition to chronic, disabling pain and of poorer treatment response; they are central targets in chronic LBP care.</w:t>
            </w:r>
          </w:p>
          <w:p>
            <w:pPr>
              <w:spacing w:after="40" w:before="60" w:line="259" w:lineRule="auto"/>
            </w:pPr>
            <w:r>
              <w:rPr>
                <w:rFonts w:ascii="Calibri" w:hAnsi="Calibri"/>
                <w:b w:val="0"/>
                <w:i w:val="0"/>
                <w:color w:val="212121"/>
                <w:sz w:val="19"/>
              </w:rPr>
              <w:t>Systematic reviews identify psychological distress, depressive mood and fear-avoidance as consistent psychosocial risk factors for chronicity in primary-care LBP.</w:t>
            </w:r>
          </w:p>
          <w:p>
            <w:pPr>
              <w:spacing w:after="40" w:line="252" w:lineRule="auto"/>
            </w:pPr>
            <w:hyperlink r:id="rId18">
              <w:r>
                <w:rPr>
                  <w:rFonts w:ascii="Calibri" w:hAnsi="Calibri" w:cs="Calibri"/>
                  <w:sz w:val="18"/>
                  <w:color w:val="1155CC"/>
                  <w:u w:val="single"/>
                </w:rPr>
                <w:t xml:space="preserve">pubmed.ncbi.nlm.nih.gov/20833704 - psychosocial risk factors for chronic LBP</w:t>
              </w:r>
            </w:hyperlink>
          </w:p>
          <w:p>
            <w:pPr>
              <w:spacing w:before="60" w:after="40"/>
            </w:pPr>
            <w:r>
              <w:rPr>
                <w:rFonts w:ascii="Calibri" w:hAnsi="Calibri"/>
                <w:b w:val="0"/>
                <w:i w:val="0"/>
                <w:color w:val="5A5A5A"/>
                <w:sz w:val="18"/>
              </w:rPr>
              <w:t>#yellowflags  #depression  #fearavoidance  #chronicity  #biopsychosocial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Osteoporosis</w:t>
            </w:r>
          </w:p>
        </w:tc>
        <w:tc>
          <w:tcPr>
            <w:tcW w:type="dxa" w:w="2160"/>
            <w:vAlign w:val="top"/>
          </w:tcPr>
          <w:p>
            <w:pPr>
              <w:spacing w:after="40" w:before="0" w:line="259" w:lineRule="auto"/>
            </w:pPr>
            <w:r>
              <w:rPr>
                <w:rFonts w:ascii="Calibri" w:hAnsi="Calibri"/>
                <w:b w:val="0"/>
                <w:i w:val="0"/>
                <w:color w:val="212121"/>
                <w:sz w:val="19"/>
              </w:rPr>
              <w:t>Post-menopausal women and elderly with low bone density</w:t>
            </w:r>
          </w:p>
        </w:tc>
        <w:tc>
          <w:tcPr>
            <w:tcW w:type="dxa" w:w="4276"/>
            <w:vAlign w:val="top"/>
          </w:tcPr>
          <w:p>
            <w:pPr>
              <w:spacing w:after="60" w:line="259" w:lineRule="auto"/>
            </w:pPr>
            <w:r>
              <w:rPr>
                <w:rFonts w:ascii="Calibri" w:hAnsi="Calibri"/>
                <w:b w:val="0"/>
                <w:i w:val="0"/>
                <w:color w:val="212121"/>
                <w:sz w:val="19"/>
              </w:rPr>
              <w:t>Osteoporosis predisposes to vertebral compression fractures, a cause of sudden or progressive back pain and height loss in older adults, particularly post-menopausal women; such fractures can occur with minimal trauma.</w:t>
            </w:r>
          </w:p>
          <w:p>
            <w:pPr>
              <w:spacing w:after="40" w:before="60" w:line="259" w:lineRule="auto"/>
            </w:pPr>
            <w:r>
              <w:rPr>
                <w:rFonts w:ascii="Calibri" w:hAnsi="Calibri"/>
                <w:b w:val="0"/>
                <w:i w:val="0"/>
                <w:color w:val="212121"/>
                <w:sz w:val="19"/>
              </w:rPr>
              <w:t>Osteoporotic vertebral fracture is an important cause of acute and chronic back pain in the elderly and a recognised red-flag consideration (fragility fracture) in older patients.</w:t>
            </w:r>
          </w:p>
          <w:p>
            <w:pPr>
              <w:spacing w:before="60" w:after="40"/>
            </w:pPr>
            <w:r>
              <w:rPr>
                <w:rFonts w:ascii="Calibri" w:hAnsi="Calibri"/>
                <w:b w:val="0"/>
                <w:i w:val="0"/>
                <w:color w:val="5A5A5A"/>
                <w:sz w:val="18"/>
              </w:rPr>
              <w:t>#osteoporosis  #vertebralfracture  #postmenopausal  #fragility  #elderly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matter: physical inactivity and deconditioning weaken trunk support and predispose to LBP, while heavy manual loading and repetitive lifting overload the spine. Regular moderate activity and exercise reduce recurrence and chronic disability.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mainly through body weight (obesity raises chronic and care-seeking LBP) and through vitamin-D/calcium status affecting bone health; there is no specific 'LBP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short sleep have a bidirectional relationship with LBP - pain disturbs sleep, and poor sleep lowers pain thresholds and predicts persistence of chronic back pain.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Current smoking is associated with increased incidence and, more strongly, chronic and disabling LBP (OR ~1.3-1.8), likely via impaired disc nutrition and pain modulation.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for an independent effect of alcohol on LBP is weak and inconsistent; heavy use is relevant mainly to falls, osteoporosis and analgesic interactions.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distress, fear-avoidance and job dissatisfaction ('yellow flags') are among the strongest predictors of progression to chronic, disabling LBP.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Sudden or repetitive lifting (especially with a bent and twisted spine), awkward loads, prolonged forward flexion, jerky movements and whole-body vibration are the classic mechanical triggers of acute LBP episodes and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static postures - slumped sitting, forward-head/forward-flexed working, sustained standing and poor workstation ergonomics - sustain paraspinal loading and are a leading driver of non-specific mechanical LBP; frequent position change is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increases spinal load and the risk of chronic LBP</w:t>
            </w:r>
          </w:p>
          <w:p>
            <w:pPr>
              <w:spacing w:after="40" w:line="252" w:lineRule="auto"/>
            </w:pPr>
            <w:hyperlink r:id="rId14">
              <w:r>
                <w:rPr>
                  <w:rFonts w:ascii="Calibri" w:hAnsi="Calibri" w:cs="Calibri"/>
                  <w:sz w:val="18"/>
                  <w:color w:val="1155CC"/>
                  <w:u w:val="single"/>
                </w:rPr>
                <w:t xml:space="preserve">https://academic.oup.com/aje/article/171/2/135/130619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overweight, obese</w:t>
            </w:r>
          </w:p>
        </w:tc>
        <w:tc>
          <w:tcPr>
            <w:tcW w:type="dxa" w:w="1512"/>
            <w:vAlign w:val="top"/>
          </w:tcPr>
          <w:p>
            <w:pPr>
              <w:spacing w:after="40" w:before="0" w:line="259" w:lineRule="auto"/>
            </w:pPr>
            <w:r>
              <w:rPr>
                <w:rFonts w:ascii="Calibri" w:hAnsi="Calibri"/>
                <w:b w:val="0"/>
                <w:i w:val="0"/>
                <w:color w:val="212121"/>
                <w:sz w:val="19"/>
              </w:rPr>
              <w:t>M &lt; 90; F &lt; 80 cm</w:t>
            </w:r>
          </w:p>
        </w:tc>
        <w:tc>
          <w:tcPr>
            <w:tcW w:type="dxa" w:w="1512"/>
            <w:vAlign w:val="top"/>
          </w:tcPr>
          <w:p>
            <w:pPr>
              <w:spacing w:after="40" w:before="0" w:line="259" w:lineRule="auto"/>
            </w:pPr>
            <w:r>
              <w:rPr>
                <w:rFonts w:ascii="Calibri" w:hAnsi="Calibri"/>
                <w:b w:val="0"/>
                <w:i w:val="0"/>
                <w:color w:val="212121"/>
                <w:sz w:val="19"/>
              </w:rPr>
              <w:t>M &gt;= 90; F &gt;= 80 cm</w:t>
            </w:r>
          </w:p>
        </w:tc>
        <w:tc>
          <w:tcPr>
            <w:tcW w:type="dxa" w:w="1468"/>
            <w:vAlign w:val="top"/>
          </w:tcPr>
          <w:p>
            <w:pPr>
              <w:spacing w:after="40" w:before="0" w:line="259" w:lineRule="auto"/>
            </w:pPr>
            <w:r>
              <w:rPr>
                <w:rFonts w:ascii="Calibri" w:hAnsi="Calibri"/>
                <w:b w:val="0"/>
                <w:i w:val="0"/>
                <w:color w:val="212121"/>
                <w:sz w:val="19"/>
              </w:rPr>
              <w:t>Central obesity adds mechanical load and alters posture and gait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activity (minutes/week)</w:t>
            </w:r>
          </w:p>
        </w:tc>
        <w:tc>
          <w:tcPr>
            <w:tcW w:type="dxa" w:w="1655"/>
            <w:vAlign w:val="top"/>
          </w:tcPr>
          <w:p>
            <w:pPr>
              <w:spacing w:after="40" w:before="0" w:line="259" w:lineRule="auto"/>
            </w:pPr>
            <w:r>
              <w:rPr>
                <w:rFonts w:ascii="Calibri" w:hAnsi="Calibri"/>
                <w:b w:val="0"/>
                <w:i w:val="0"/>
                <w:color w:val="212121"/>
                <w:sz w:val="19"/>
              </w:rPr>
              <w:t>Adults, sedentary workers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deconditions trunk muscles; activity lowers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Trunk / core conditioning (sessions/week)</w:t>
            </w:r>
          </w:p>
        </w:tc>
        <w:tc>
          <w:tcPr>
            <w:tcW w:type="dxa" w:w="1655"/>
            <w:vAlign w:val="top"/>
          </w:tcPr>
          <w:p>
            <w:pPr>
              <w:spacing w:after="40" w:before="0" w:line="259" w:lineRule="auto"/>
            </w:pPr>
            <w:r>
              <w:rPr>
                <w:rFonts w:ascii="Calibri" w:hAnsi="Calibri"/>
                <w:b w:val="0"/>
                <w:i w:val="0"/>
                <w:color w:val="212121"/>
                <w:sz w:val="19"/>
              </w:rPr>
              <w:t>Adults, chronic/recurrent LBP</w:t>
            </w:r>
          </w:p>
        </w:tc>
        <w:tc>
          <w:tcPr>
            <w:tcW w:type="dxa" w:w="1512"/>
            <w:vAlign w:val="top"/>
          </w:tcPr>
          <w:p>
            <w:pPr>
              <w:spacing w:after="40" w:before="0" w:line="259" w:lineRule="auto"/>
            </w:pPr>
            <w:r>
              <w:rPr>
                <w:rFonts w:ascii="Calibri" w:hAnsi="Calibri"/>
                <w:b w:val="0"/>
                <w:i w:val="0"/>
                <w:color w:val="212121"/>
                <w:sz w:val="19"/>
              </w:rPr>
              <w:t>2-3 sessions/week</w:t>
            </w:r>
          </w:p>
        </w:tc>
        <w:tc>
          <w:tcPr>
            <w:tcW w:type="dxa" w:w="1512"/>
            <w:vAlign w:val="top"/>
          </w:tcPr>
          <w:p>
            <w:pPr>
              <w:spacing w:after="40" w:before="0" w:line="259" w:lineRule="auto"/>
            </w:pPr>
            <w:r>
              <w:rPr>
                <w:rFonts w:ascii="Calibri" w:hAnsi="Calibri"/>
                <w:b w:val="0"/>
                <w:i w:val="0"/>
                <w:color w:val="212121"/>
                <w:sz w:val="19"/>
              </w:rPr>
              <w:t>None</w:t>
            </w:r>
          </w:p>
        </w:tc>
        <w:tc>
          <w:tcPr>
            <w:tcW w:type="dxa" w:w="1468"/>
            <w:vAlign w:val="top"/>
          </w:tcPr>
          <w:p>
            <w:pPr>
              <w:spacing w:after="40" w:before="0" w:line="259" w:lineRule="auto"/>
            </w:pPr>
            <w:r>
              <w:rPr>
                <w:rFonts w:ascii="Calibri" w:hAnsi="Calibri"/>
                <w:b w:val="0"/>
                <w:i w:val="0"/>
                <w:color w:val="212121"/>
                <w:sz w:val="19"/>
              </w:rPr>
              <w:t>Core and general exercise reduce chronic LBP and relapse</w:t>
            </w:r>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sitting without a break (minutes)</w:t>
            </w:r>
          </w:p>
        </w:tc>
        <w:tc>
          <w:tcPr>
            <w:tcW w:type="dxa" w:w="1655"/>
            <w:vAlign w:val="top"/>
          </w:tcPr>
          <w:p>
            <w:pPr>
              <w:spacing w:after="40" w:before="0" w:line="259" w:lineRule="auto"/>
            </w:pPr>
            <w:r>
              <w:rPr>
                <w:rFonts w:ascii="Calibri" w:hAnsi="Calibri"/>
                <w:b w:val="0"/>
                <w:i w:val="0"/>
                <w:color w:val="212121"/>
                <w:sz w:val="19"/>
              </w:rPr>
              <w:t>Desk/IT workers, drivers</w:t>
            </w:r>
          </w:p>
        </w:tc>
        <w:tc>
          <w:tcPr>
            <w:tcW w:type="dxa" w:w="1512"/>
            <w:vAlign w:val="top"/>
          </w:tcPr>
          <w:p>
            <w:pPr>
              <w:spacing w:after="40" w:before="0" w:line="259" w:lineRule="auto"/>
            </w:pPr>
            <w:r>
              <w:rPr>
                <w:rFonts w:ascii="Calibri" w:hAnsi="Calibri"/>
                <w:b w:val="0"/>
                <w:i w:val="0"/>
                <w:color w:val="212121"/>
                <w:sz w:val="19"/>
              </w:rPr>
              <w:t>&lt;= 30-45 min then move</w:t>
            </w:r>
          </w:p>
        </w:tc>
        <w:tc>
          <w:tcPr>
            <w:tcW w:type="dxa" w:w="1512"/>
            <w:vAlign w:val="top"/>
          </w:tcPr>
          <w:p>
            <w:pPr>
              <w:spacing w:after="40" w:before="0" w:line="259" w:lineRule="auto"/>
            </w:pPr>
            <w:r>
              <w:rPr>
                <w:rFonts w:ascii="Calibri" w:hAnsi="Calibri"/>
                <w:b w:val="0"/>
                <w:i w:val="0"/>
                <w:color w:val="212121"/>
                <w:sz w:val="19"/>
              </w:rPr>
              <w:t>&gt; 60-90 min uninterrupted</w:t>
            </w:r>
          </w:p>
        </w:tc>
        <w:tc>
          <w:tcPr>
            <w:tcW w:type="dxa" w:w="1468"/>
            <w:vAlign w:val="top"/>
          </w:tcPr>
          <w:p>
            <w:pPr>
              <w:spacing w:after="40" w:before="0" w:line="259" w:lineRule="auto"/>
            </w:pPr>
            <w:r>
              <w:rPr>
                <w:rFonts w:ascii="Calibri" w:hAnsi="Calibri"/>
                <w:b w:val="0"/>
                <w:i w:val="0"/>
                <w:color w:val="212121"/>
                <w:sz w:val="19"/>
              </w:rPr>
              <w:t>Break up prolonged sitting; change position frequently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daily sitting (hours)</w:t>
            </w:r>
          </w:p>
        </w:tc>
        <w:tc>
          <w:tcPr>
            <w:tcW w:type="dxa" w:w="1655"/>
            <w:vAlign w:val="top"/>
          </w:tcPr>
          <w:p>
            <w:pPr>
              <w:spacing w:after="40" w:before="0" w:line="259" w:lineRule="auto"/>
            </w:pPr>
            <w:r>
              <w:rPr>
                <w:rFonts w:ascii="Calibri" w:hAnsi="Calibri"/>
                <w:b w:val="0"/>
                <w:i w:val="0"/>
                <w:color w:val="212121"/>
                <w:sz w:val="19"/>
              </w:rPr>
              <w:t>Office workers</w:t>
            </w:r>
          </w:p>
        </w:tc>
        <w:tc>
          <w:tcPr>
            <w:tcW w:type="dxa" w:w="1512"/>
            <w:vAlign w:val="top"/>
          </w:tcPr>
          <w:p>
            <w:pPr>
              <w:spacing w:after="40" w:before="0" w:line="259" w:lineRule="auto"/>
            </w:pPr>
            <w:r>
              <w:rPr>
                <w:rFonts w:ascii="Calibri" w:hAnsi="Calibri"/>
                <w:b w:val="0"/>
                <w:i w:val="0"/>
                <w:color w:val="212121"/>
                <w:sz w:val="19"/>
              </w:rPr>
              <w:t>&lt; 6 h/day</w:t>
            </w:r>
          </w:p>
        </w:tc>
        <w:tc>
          <w:tcPr>
            <w:tcW w:type="dxa" w:w="1512"/>
            <w:vAlign w:val="top"/>
          </w:tcPr>
          <w:p>
            <w:pPr>
              <w:spacing w:after="40" w:before="0" w:line="259" w:lineRule="auto"/>
            </w:pPr>
            <w:r>
              <w:rPr>
                <w:rFonts w:ascii="Calibri" w:hAnsi="Calibri"/>
                <w:b w:val="0"/>
                <w:i w:val="0"/>
                <w:color w:val="212121"/>
                <w:sz w:val="19"/>
              </w:rPr>
              <w:t>&gt;= 8 h/day</w:t>
            </w:r>
          </w:p>
        </w:tc>
        <w:tc>
          <w:tcPr>
            <w:tcW w:type="dxa" w:w="1468"/>
            <w:vAlign w:val="top"/>
          </w:tcPr>
          <w:p>
            <w:pPr>
              <w:spacing w:after="40" w:before="0" w:line="259" w:lineRule="auto"/>
            </w:pPr>
            <w:r>
              <w:rPr>
                <w:rFonts w:ascii="Calibri" w:hAnsi="Calibri"/>
                <w:b w:val="0"/>
                <w:i w:val="0"/>
                <w:color w:val="212121"/>
                <w:sz w:val="19"/>
              </w:rPr>
              <w:t>Prolonged static sitting sustains paraspinal loading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Manual load handled / lifting technique</w:t>
            </w:r>
          </w:p>
        </w:tc>
        <w:tc>
          <w:tcPr>
            <w:tcW w:type="dxa" w:w="1655"/>
            <w:vAlign w:val="top"/>
          </w:tcPr>
          <w:p>
            <w:pPr>
              <w:spacing w:after="40" w:before="0" w:line="259" w:lineRule="auto"/>
            </w:pPr>
            <w:r>
              <w:rPr>
                <w:rFonts w:ascii="Calibri" w:hAnsi="Calibri"/>
                <w:b w:val="0"/>
                <w:i w:val="0"/>
                <w:color w:val="212121"/>
                <w:sz w:val="19"/>
              </w:rPr>
              <w:t>Manual workers, farmers, loaders</w:t>
            </w:r>
          </w:p>
        </w:tc>
        <w:tc>
          <w:tcPr>
            <w:tcW w:type="dxa" w:w="1512"/>
            <w:vAlign w:val="top"/>
          </w:tcPr>
          <w:p>
            <w:pPr>
              <w:spacing w:after="40" w:before="0" w:line="259" w:lineRule="auto"/>
            </w:pPr>
            <w:r>
              <w:rPr>
                <w:rFonts w:ascii="Calibri" w:hAnsi="Calibri"/>
                <w:b w:val="0"/>
                <w:i w:val="0"/>
                <w:color w:val="212121"/>
                <w:sz w:val="19"/>
              </w:rPr>
              <w:t>Within safe limits, hip-hinge technique</w:t>
            </w:r>
          </w:p>
        </w:tc>
        <w:tc>
          <w:tcPr>
            <w:tcW w:type="dxa" w:w="1512"/>
            <w:vAlign w:val="top"/>
          </w:tcPr>
          <w:p>
            <w:pPr>
              <w:spacing w:after="40" w:before="0" w:line="259" w:lineRule="auto"/>
            </w:pPr>
            <w:r>
              <w:rPr>
                <w:rFonts w:ascii="Calibri" w:hAnsi="Calibri"/>
                <w:b w:val="0"/>
                <w:i w:val="0"/>
                <w:color w:val="212121"/>
                <w:sz w:val="19"/>
              </w:rPr>
              <w:t>Repetitive heavy or awkward/twisted lifting</w:t>
            </w:r>
          </w:p>
        </w:tc>
        <w:tc>
          <w:tcPr>
            <w:tcW w:type="dxa" w:w="1468"/>
            <w:vAlign w:val="top"/>
          </w:tcPr>
          <w:p>
            <w:pPr>
              <w:spacing w:after="60" w:line="259" w:lineRule="auto"/>
            </w:pPr>
            <w:r>
              <w:rPr>
                <w:rFonts w:ascii="Calibri" w:hAnsi="Calibri"/>
                <w:b w:val="0"/>
                <w:i w:val="0"/>
                <w:color w:val="212121"/>
                <w:sz w:val="19"/>
              </w:rPr>
              <w:t>Poor lifting technique and heavy repetitive loads trigger acute LBP</w:t>
            </w:r>
          </w:p>
          <w:p>
            <w:pPr>
              <w:spacing w:after="40" w:line="252" w:lineRule="auto"/>
            </w:pPr>
            <w:hyperlink r:id="rId12">
              <w:r>
                <w:rPr>
                  <w:rFonts w:ascii="Calibri" w:hAnsi="Calibri" w:cs="Calibri"/>
                  <w:sz w:val="18"/>
                  <w:color w:val="1155CC"/>
                  <w:u w:val="single"/>
                </w:rPr>
                <w:t xml:space="preserve">https://pmc.ncbi.nlm.nih.gov/articles/PMC4985573/</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smoking is linked to more chronic and disabling LBP</w:t>
            </w:r>
          </w:p>
          <w:p>
            <w:pPr>
              <w:spacing w:after="40" w:line="252" w:lineRule="auto"/>
            </w:pPr>
            <w:hyperlink r:id="rId13">
              <w:r>
                <w:rPr>
                  <w:rFonts w:ascii="Calibri" w:hAnsi="Calibri" w:cs="Calibri"/>
                  <w:sz w:val="18"/>
                  <w:color w:val="1155CC"/>
                  <w:u w:val="single"/>
                </w:rPr>
                <w:t xml:space="preserve">https://pubmed.ncbi.nlm.nih.gov/20102998/</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chronic LBP</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 or poor quality</w:t>
            </w:r>
          </w:p>
        </w:tc>
        <w:tc>
          <w:tcPr>
            <w:tcW w:type="dxa" w:w="1468"/>
            <w:vAlign w:val="top"/>
          </w:tcPr>
          <w:p>
            <w:pPr>
              <w:spacing w:after="40" w:before="0" w:line="259" w:lineRule="auto"/>
            </w:pPr>
            <w:r>
              <w:rPr>
                <w:rFonts w:ascii="Calibri" w:hAnsi="Calibri"/>
                <w:b w:val="0"/>
                <w:i w:val="0"/>
                <w:color w:val="212121"/>
                <w:sz w:val="19"/>
              </w:rPr>
              <w:t>Poor sleep lowers pain thresholds and predicts persistence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 elderly, chronic LBP</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is common in India and linked to musculoskeletal pain and low bone density</w:t>
            </w:r>
          </w:p>
          <w:p>
            <w:pPr>
              <w:spacing w:after="40" w:line="252" w:lineRule="auto"/>
            </w:pPr>
            <w:hyperlink r:id="rId15">
              <w:r>
                <w:rPr>
                  <w:rFonts w:ascii="Calibri" w:hAnsi="Calibri" w:cs="Calibri"/>
                  <w:sz w:val="18"/>
                  <w:color w:val="1155CC"/>
                  <w:u w:val="single"/>
                </w:rPr>
                <w:t xml:space="preserve">https://pubmed.ncbi.nlm.nih.gov/28842760/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X-ray lumbosacral spine</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Normal alignment and bone</w:t>
            </w:r>
          </w:p>
        </w:tc>
        <w:tc>
          <w:tcPr>
            <w:tcW w:type="dxa" w:w="950"/>
            <w:vAlign w:val="top"/>
          </w:tcPr>
          <w:p>
            <w:pPr>
              <w:spacing w:after="40" w:before="0" w:line="259" w:lineRule="auto"/>
            </w:pPr>
            <w:r>
              <w:rPr>
                <w:rFonts w:ascii="Calibri" w:hAnsi="Calibri"/>
                <w:b w:val="0"/>
                <w:i w:val="0"/>
                <w:color w:val="212121"/>
                <w:sz w:val="16"/>
              </w:rPr>
              <w:t>Fracture, spondylolisthesis, destruction, disc-space loss</w:t>
            </w:r>
          </w:p>
        </w:tc>
        <w:tc>
          <w:tcPr>
            <w:tcW w:type="dxa" w:w="1036"/>
            <w:vAlign w:val="top"/>
          </w:tcPr>
          <w:p>
            <w:pPr>
              <w:spacing w:after="40" w:before="0" w:line="259" w:lineRule="auto"/>
            </w:pPr>
            <w:r>
              <w:rPr>
                <w:rFonts w:ascii="Calibri" w:hAnsi="Calibri"/>
                <w:b w:val="0"/>
                <w:i w:val="0"/>
                <w:color w:val="212121"/>
                <w:sz w:val="16"/>
              </w:rPr>
              <w:t>Detects fracture, deformity, gross bony pathology; low yield in non-specific LBP</w:t>
            </w:r>
          </w:p>
        </w:tc>
        <w:tc>
          <w:tcPr>
            <w:tcW w:type="dxa" w:w="1036"/>
            <w:vAlign w:val="top"/>
          </w:tcPr>
          <w:p>
            <w:pPr>
              <w:spacing w:after="40" w:before="0" w:line="259" w:lineRule="auto"/>
            </w:pPr>
            <w:r>
              <w:rPr>
                <w:rFonts w:ascii="Calibri" w:hAnsi="Calibri"/>
                <w:b w:val="0"/>
                <w:i w:val="0"/>
                <w:color w:val="212121"/>
                <w:sz w:val="16"/>
              </w:rPr>
              <w:t>Trauma, elderly, suspected fracture/deformity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indicated for non-specific LBP; use only with red flags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lumbar spine</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compressive/infective/neoplastic lesion</w:t>
            </w:r>
          </w:p>
        </w:tc>
        <w:tc>
          <w:tcPr>
            <w:tcW w:type="dxa" w:w="950"/>
            <w:vAlign w:val="top"/>
          </w:tcPr>
          <w:p>
            <w:pPr>
              <w:spacing w:after="40" w:before="0" w:line="259" w:lineRule="auto"/>
            </w:pPr>
            <w:r>
              <w:rPr>
                <w:rFonts w:ascii="Calibri" w:hAnsi="Calibri"/>
                <w:b w:val="0"/>
                <w:i w:val="0"/>
                <w:color w:val="212121"/>
                <w:sz w:val="16"/>
              </w:rPr>
              <w:t>Disc herniation, canal/foraminal stenosis, cauda equina, infection, tumour</w:t>
            </w:r>
          </w:p>
        </w:tc>
        <w:tc>
          <w:tcPr>
            <w:tcW w:type="dxa" w:w="1036"/>
            <w:vAlign w:val="top"/>
          </w:tcPr>
          <w:p>
            <w:pPr>
              <w:spacing w:after="40" w:before="0" w:line="259" w:lineRule="auto"/>
            </w:pPr>
            <w:r>
              <w:rPr>
                <w:rFonts w:ascii="Calibri" w:hAnsi="Calibri"/>
                <w:b w:val="0"/>
                <w:i w:val="0"/>
                <w:color w:val="212121"/>
                <w:sz w:val="16"/>
              </w:rPr>
              <w:t>Investigation of choice for nerve-root, cord, infective and neoplastic causes</w:t>
            </w:r>
          </w:p>
        </w:tc>
        <w:tc>
          <w:tcPr>
            <w:tcW w:type="dxa" w:w="1036"/>
            <w:vAlign w:val="top"/>
          </w:tcPr>
          <w:p>
            <w:pPr>
              <w:spacing w:after="40" w:before="0" w:line="259" w:lineRule="auto"/>
            </w:pPr>
            <w:r>
              <w:rPr>
                <w:rFonts w:ascii="Calibri" w:hAnsi="Calibri"/>
                <w:b w:val="0"/>
                <w:i w:val="0"/>
                <w:color w:val="212121"/>
                <w:sz w:val="16"/>
              </w:rPr>
              <w:t>Persistent radiculopathy, red flags,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 for red flags or radiculopathy failing 4-6 weeks conservative care; early routine MRI worsens outcomes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C-reactive protein</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Raised markers suggest infection, malignancy or inflammatory spondyloarthritis</w:t>
            </w:r>
          </w:p>
        </w:tc>
        <w:tc>
          <w:tcPr>
            <w:tcW w:type="dxa" w:w="1036"/>
            <w:vAlign w:val="top"/>
          </w:tcPr>
          <w:p>
            <w:pPr>
              <w:spacing w:after="40" w:before="0" w:line="259" w:lineRule="auto"/>
            </w:pPr>
            <w:r>
              <w:rPr>
                <w:rFonts w:ascii="Calibri" w:hAnsi="Calibri"/>
                <w:b w:val="0"/>
                <w:i w:val="0"/>
                <w:color w:val="212121"/>
                <w:sz w:val="16"/>
              </w:rPr>
              <w:t>Fever, night pain, weight loss, suspected TB spine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Order only when serious pathology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Full blood count</w:t>
            </w:r>
          </w:p>
        </w:tc>
        <w:tc>
          <w:tcPr>
            <w:tcW w:type="dxa" w:w="950"/>
            <w:vAlign w:val="top"/>
          </w:tcPr>
          <w:p>
            <w:pPr>
              <w:spacing w:after="40" w:before="0" w:line="259" w:lineRule="auto"/>
            </w:pPr>
            <w:r>
              <w:rPr>
                <w:rFonts w:ascii="Calibri" w:hAnsi="Calibri"/>
                <w:b w:val="0"/>
                <w:i w:val="0"/>
                <w:color w:val="212121"/>
                <w:sz w:val="16"/>
              </w:rPr>
              <w:t>Normal indices</w:t>
            </w:r>
          </w:p>
        </w:tc>
        <w:tc>
          <w:tcPr>
            <w:tcW w:type="dxa" w:w="950"/>
            <w:vAlign w:val="top"/>
          </w:tcPr>
          <w:p>
            <w:pPr>
              <w:spacing w:after="40" w:before="0" w:line="259" w:lineRule="auto"/>
            </w:pPr>
            <w:r>
              <w:rPr>
                <w:rFonts w:ascii="Calibri" w:hAnsi="Calibri"/>
                <w:b w:val="0"/>
                <w:i w:val="0"/>
                <w:color w:val="212121"/>
                <w:sz w:val="16"/>
              </w:rPr>
              <w:t>Anaemia, leucocytosis</w:t>
            </w:r>
          </w:p>
        </w:tc>
        <w:tc>
          <w:tcPr>
            <w:tcW w:type="dxa" w:w="1036"/>
            <w:vAlign w:val="top"/>
          </w:tcPr>
          <w:p>
            <w:pPr>
              <w:spacing w:after="40" w:before="0" w:line="259" w:lineRule="auto"/>
            </w:pPr>
            <w:r>
              <w:rPr>
                <w:rFonts w:ascii="Calibri" w:hAnsi="Calibri"/>
                <w:b w:val="0"/>
                <w:i w:val="0"/>
                <w:color w:val="212121"/>
                <w:sz w:val="16"/>
              </w:rPr>
              <w:t>Anaemia may indicate malignancy; leucocytosis suggests infection</w:t>
            </w:r>
          </w:p>
        </w:tc>
        <w:tc>
          <w:tcPr>
            <w:tcW w:type="dxa" w:w="1036"/>
            <w:vAlign w:val="top"/>
          </w:tcPr>
          <w:p>
            <w:pPr>
              <w:spacing w:after="40" w:before="0" w:line="259" w:lineRule="auto"/>
            </w:pPr>
            <w:r>
              <w:rPr>
                <w:rFonts w:ascii="Calibri" w:hAnsi="Calibri"/>
                <w:b w:val="0"/>
                <w:i w:val="0"/>
                <w:color w:val="212121"/>
                <w:sz w:val="16"/>
              </w:rPr>
              <w:t>Suspected infection or 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Adjunct to inflammatory markers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&gt;= 30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Deficiency contributes to musculoskeletal pain and low bone density</w:t>
            </w:r>
          </w:p>
        </w:tc>
        <w:tc>
          <w:tcPr>
            <w:tcW w:type="dxa" w:w="1036"/>
            <w:vAlign w:val="top"/>
          </w:tcPr>
          <w:p>
            <w:pPr>
              <w:spacing w:after="40" w:before="0" w:line="259" w:lineRule="auto"/>
            </w:pPr>
            <w:r>
              <w:rPr>
                <w:rFonts w:ascii="Calibri" w:hAnsi="Calibri"/>
                <w:b w:val="0"/>
                <w:i w:val="0"/>
                <w:color w:val="212121"/>
                <w:sz w:val="16"/>
              </w:rPr>
              <w:t>Chronic LBP, elderly, post-menopausal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common in India; correct as an adjunct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calcium, phosphate, ALP</w:t>
            </w:r>
          </w:p>
        </w:tc>
        <w:tc>
          <w:tcPr>
            <w:tcW w:type="dxa" w:w="892"/>
            <w:vAlign w:val="top"/>
          </w:tcPr>
          <w:p>
            <w:pPr>
              <w:spacing w:after="40" w:before="0" w:line="259" w:lineRule="auto"/>
            </w:pPr>
            <w:r>
              <w:rPr>
                <w:rFonts w:ascii="Calibri" w:hAnsi="Calibri"/>
                <w:b w:val="0"/>
                <w:i w:val="0"/>
                <w:color w:val="212121"/>
                <w:sz w:val="16"/>
              </w:rPr>
              <w:t>Bone profile</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 (high ALP/calcium)</w:t>
            </w:r>
          </w:p>
        </w:tc>
        <w:tc>
          <w:tcPr>
            <w:tcW w:type="dxa" w:w="1036"/>
            <w:vAlign w:val="top"/>
          </w:tcPr>
          <w:p>
            <w:pPr>
              <w:spacing w:after="40" w:before="0" w:line="259" w:lineRule="auto"/>
            </w:pPr>
            <w:r>
              <w:rPr>
                <w:rFonts w:ascii="Calibri" w:hAnsi="Calibri"/>
                <w:b w:val="0"/>
                <w:i w:val="0"/>
                <w:color w:val="212121"/>
                <w:sz w:val="16"/>
              </w:rPr>
              <w:t>Screens for metabolic bone disease and bony metastasis</w:t>
            </w:r>
          </w:p>
        </w:tc>
        <w:tc>
          <w:tcPr>
            <w:tcW w:type="dxa" w:w="1036"/>
            <w:vAlign w:val="top"/>
          </w:tcPr>
          <w:p>
            <w:pPr>
              <w:spacing w:after="40" w:before="0" w:line="259" w:lineRule="auto"/>
            </w:pPr>
            <w:r>
              <w:rPr>
                <w:rFonts w:ascii="Calibri" w:hAnsi="Calibri"/>
                <w:b w:val="0"/>
                <w:i w:val="0"/>
                <w:color w:val="212121"/>
                <w:sz w:val="16"/>
              </w:rPr>
              <w:t>Elderly, suspected fracture or malignancy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Interpret with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Immunogenetic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axial spondyloarthritis in inflammatory-pattern back pain</w:t>
            </w:r>
          </w:p>
        </w:tc>
        <w:tc>
          <w:tcPr>
            <w:tcW w:type="dxa" w:w="1036"/>
            <w:vAlign w:val="top"/>
          </w:tcPr>
          <w:p>
            <w:pPr>
              <w:spacing w:after="40" w:before="0" w:line="259" w:lineRule="auto"/>
            </w:pPr>
            <w:r>
              <w:rPr>
                <w:rFonts w:ascii="Calibri" w:hAnsi="Calibri"/>
                <w:b w:val="0"/>
                <w:i w:val="0"/>
                <w:color w:val="212121"/>
                <w:sz w:val="16"/>
              </w:rPr>
              <w:t>Age &lt; 45, morning stiffness, night pain improving with movement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with clinical inflammatory-back-pain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Nerve conduction / EMG</w:t>
            </w:r>
          </w:p>
        </w:tc>
        <w:tc>
          <w:tcPr>
            <w:tcW w:type="dxa" w:w="892"/>
            <w:vAlign w:val="top"/>
          </w:tcPr>
          <w:p>
            <w:pPr>
              <w:spacing w:after="40" w:before="0" w:line="259" w:lineRule="auto"/>
            </w:pPr>
            <w:r>
              <w:rPr>
                <w:rFonts w:ascii="Calibri" w:hAnsi="Calibri"/>
                <w:b w:val="0"/>
                <w:i w:val="0"/>
                <w:color w:val="212121"/>
                <w:sz w:val="16"/>
              </w:rPr>
              <w:t>Electrodiagnostics</w:t>
            </w:r>
          </w:p>
        </w:tc>
        <w:tc>
          <w:tcPr>
            <w:tcW w:type="dxa" w:w="950"/>
            <w:vAlign w:val="top"/>
          </w:tcPr>
          <w:p>
            <w:pPr>
              <w:spacing w:after="40" w:before="0" w:line="259" w:lineRule="auto"/>
            </w:pPr>
            <w:r>
              <w:rPr>
                <w:rFonts w:ascii="Calibri" w:hAnsi="Calibri"/>
                <w:b w:val="0"/>
                <w:i w:val="0"/>
                <w:color w:val="212121"/>
                <w:sz w:val="16"/>
              </w:rPr>
              <w:t>Normal conduction</w:t>
            </w:r>
          </w:p>
        </w:tc>
        <w:tc>
          <w:tcPr>
            <w:tcW w:type="dxa" w:w="950"/>
            <w:vAlign w:val="top"/>
          </w:tcPr>
          <w:p>
            <w:pPr>
              <w:spacing w:after="40" w:before="0" w:line="259" w:lineRule="auto"/>
            </w:pPr>
            <w:r>
              <w:rPr>
                <w:rFonts w:ascii="Calibri" w:hAnsi="Calibri"/>
                <w:b w:val="0"/>
                <w:i w:val="0"/>
                <w:color w:val="212121"/>
                <w:sz w:val="16"/>
              </w:rPr>
              <w:t>Radiculopathy pattern</w:t>
            </w:r>
          </w:p>
        </w:tc>
        <w:tc>
          <w:tcPr>
            <w:tcW w:type="dxa" w:w="1036"/>
            <w:vAlign w:val="top"/>
          </w:tcPr>
          <w:p>
            <w:pPr>
              <w:spacing w:after="40" w:before="0" w:line="259" w:lineRule="auto"/>
            </w:pPr>
            <w:r>
              <w:rPr>
                <w:rFonts w:ascii="Calibri" w:hAnsi="Calibri"/>
                <w:b w:val="0"/>
                <w:i w:val="0"/>
                <w:color w:val="212121"/>
                <w:sz w:val="16"/>
              </w:rPr>
              <w:t>Confirms and localises nerve-root involvement when clinical picture is unclear</w:t>
            </w:r>
          </w:p>
        </w:tc>
        <w:tc>
          <w:tcPr>
            <w:tcW w:type="dxa" w:w="1036"/>
            <w:vAlign w:val="top"/>
          </w:tcPr>
          <w:p>
            <w:pPr>
              <w:spacing w:after="40" w:before="0" w:line="259" w:lineRule="auto"/>
            </w:pPr>
            <w:r>
              <w:rPr>
                <w:rFonts w:ascii="Calibri" w:hAnsi="Calibri"/>
                <w:b w:val="0"/>
                <w:i w:val="0"/>
                <w:color w:val="212121"/>
                <w:sz w:val="16"/>
              </w:rPr>
              <w:t>Atypical or multilevel radiculopathy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Adjunct to MRI, not first-line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Bone density</w:t>
            </w:r>
          </w:p>
        </w:tc>
        <w:tc>
          <w:tcPr>
            <w:tcW w:type="dxa" w:w="1036"/>
            <w:vAlign w:val="top"/>
          </w:tcPr>
          <w:p>
            <w:pPr>
              <w:spacing w:after="40" w:before="0" w:line="259" w:lineRule="auto"/>
            </w:pPr>
            <w:r>
              <w:rPr>
                <w:rFonts w:ascii="Calibri" w:hAnsi="Calibri"/>
                <w:b w:val="0"/>
                <w:i w:val="0"/>
                <w:color w:val="212121"/>
                <w:sz w:val="16"/>
              </w:rPr>
              <w:t>DEXA scan</w:t>
            </w:r>
          </w:p>
        </w:tc>
        <w:tc>
          <w:tcPr>
            <w:tcW w:type="dxa" w:w="892"/>
            <w:vAlign w:val="top"/>
          </w:tcPr>
          <w:p>
            <w:pPr>
              <w:spacing w:after="40" w:before="0" w:line="259" w:lineRule="auto"/>
            </w:pPr>
            <w:r>
              <w:rPr>
                <w:rFonts w:ascii="Calibri" w:hAnsi="Calibri"/>
                <w:b w:val="0"/>
                <w:i w:val="0"/>
                <w:color w:val="212121"/>
                <w:sz w:val="16"/>
              </w:rPr>
              <w:t>Bone densitometry</w:t>
            </w:r>
          </w:p>
        </w:tc>
        <w:tc>
          <w:tcPr>
            <w:tcW w:type="dxa" w:w="950"/>
            <w:vAlign w:val="top"/>
          </w:tcPr>
          <w:p>
            <w:pPr>
              <w:spacing w:after="40" w:before="0" w:line="259" w:lineRule="auto"/>
            </w:pPr>
            <w:r>
              <w:rPr>
                <w:rFonts w:ascii="Calibri" w:hAnsi="Calibri"/>
                <w:b w:val="0"/>
                <w:i w:val="0"/>
                <w:color w:val="212121"/>
                <w:sz w:val="16"/>
              </w:rPr>
              <w:t>T-score &gt;= -1.0</w:t>
            </w:r>
          </w:p>
        </w:tc>
        <w:tc>
          <w:tcPr>
            <w:tcW w:type="dxa" w:w="950"/>
            <w:vAlign w:val="top"/>
          </w:tcPr>
          <w:p>
            <w:pPr>
              <w:spacing w:after="40" w:before="0" w:line="259" w:lineRule="auto"/>
            </w:pPr>
            <w:r>
              <w:rPr>
                <w:rFonts w:ascii="Calibri" w:hAnsi="Calibri"/>
                <w:b w:val="0"/>
                <w:i w:val="0"/>
                <w:color w:val="212121"/>
                <w:sz w:val="16"/>
              </w:rPr>
              <w:t>T-score &lt;= -2.5 (osteoporosis)</w:t>
            </w:r>
          </w:p>
        </w:tc>
        <w:tc>
          <w:tcPr>
            <w:tcW w:type="dxa" w:w="1036"/>
            <w:vAlign w:val="top"/>
          </w:tcPr>
          <w:p>
            <w:pPr>
              <w:spacing w:after="40" w:before="0" w:line="259" w:lineRule="auto"/>
            </w:pPr>
            <w:r>
              <w:rPr>
                <w:rFonts w:ascii="Calibri" w:hAnsi="Calibri"/>
                <w:b w:val="0"/>
                <w:i w:val="0"/>
                <w:color w:val="212121"/>
                <w:sz w:val="16"/>
              </w:rPr>
              <w:t>Quantifies osteoporosis risk for vertebral fracture</w:t>
            </w:r>
          </w:p>
        </w:tc>
        <w:tc>
          <w:tcPr>
            <w:tcW w:type="dxa" w:w="1036"/>
            <w:vAlign w:val="top"/>
          </w:tcPr>
          <w:p>
            <w:pPr>
              <w:spacing w:after="40" w:before="0" w:line="259" w:lineRule="auto"/>
            </w:pPr>
            <w:r>
              <w:rPr>
                <w:rFonts w:ascii="Calibri" w:hAnsi="Calibri"/>
                <w:b w:val="0"/>
                <w:i w:val="0"/>
                <w:color w:val="212121"/>
                <w:sz w:val="16"/>
              </w:rPr>
              <w:t>Post-menopausal women, elderly, fragility fracture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fracture-prevention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characterisation</w:t>
            </w:r>
          </w:p>
        </w:tc>
        <w:tc>
          <w:tcPr>
            <w:tcW w:type="dxa" w:w="979"/>
            <w:vAlign w:val="top"/>
          </w:tcPr>
          <w:p>
            <w:pPr>
              <w:spacing w:after="40" w:before="0" w:line="259" w:lineRule="auto"/>
            </w:pPr>
            <w:r>
              <w:rPr>
                <w:rFonts w:ascii="Calibri" w:hAnsi="Calibri"/>
                <w:b w:val="0"/>
                <w:i w:val="0"/>
                <w:color w:val="212121"/>
                <w:sz w:val="16"/>
              </w:rPr>
              <w:t>Site, duration, mechanical vs inflammatory pattern</w:t>
            </w:r>
          </w:p>
        </w:tc>
        <w:tc>
          <w:tcPr>
            <w:tcW w:type="dxa" w:w="950"/>
            <w:vAlign w:val="top"/>
          </w:tcPr>
          <w:p>
            <w:pPr>
              <w:spacing w:after="40" w:before="0" w:line="259" w:lineRule="auto"/>
            </w:pPr>
            <w:r>
              <w:rPr>
                <w:rFonts w:ascii="Calibri" w:hAnsi="Calibri"/>
                <w:b w:val="0"/>
                <w:i w:val="0"/>
                <w:color w:val="212121"/>
                <w:sz w:val="16"/>
              </w:rPr>
              <w:t>Mechanical: worse on activity, eased by rest</w:t>
            </w:r>
          </w:p>
        </w:tc>
        <w:tc>
          <w:tcPr>
            <w:tcW w:type="dxa" w:w="950"/>
            <w:vAlign w:val="top"/>
          </w:tcPr>
          <w:p>
            <w:pPr>
              <w:spacing w:after="40" w:before="0" w:line="259" w:lineRule="auto"/>
            </w:pPr>
            <w:r>
              <w:rPr>
                <w:rFonts w:ascii="Calibri" w:hAnsi="Calibri"/>
                <w:b w:val="0"/>
                <w:i w:val="0"/>
                <w:color w:val="212121"/>
                <w:sz w:val="16"/>
              </w:rPr>
              <w:t>Unremitting night/rest pain; inflammatory morning stiffness</w:t>
            </w:r>
          </w:p>
        </w:tc>
        <w:tc>
          <w:tcPr>
            <w:tcW w:type="dxa" w:w="1036"/>
            <w:vAlign w:val="top"/>
          </w:tcPr>
          <w:p>
            <w:pPr>
              <w:spacing w:after="40" w:before="0" w:line="259" w:lineRule="auto"/>
            </w:pPr>
            <w:r>
              <w:rPr>
                <w:rFonts w:ascii="Calibri" w:hAnsi="Calibri"/>
                <w:b w:val="0"/>
                <w:i w:val="0"/>
                <w:color w:val="212121"/>
                <w:sz w:val="16"/>
              </w:rPr>
              <w:t>Separates benign mechanical LBP from patterns suggesting serious or inflammatory disease</w:t>
            </w:r>
          </w:p>
        </w:tc>
        <w:tc>
          <w:tcPr>
            <w:tcW w:type="dxa" w:w="1036"/>
            <w:vAlign w:val="top"/>
          </w:tcPr>
          <w:p>
            <w:pPr>
              <w:spacing w:after="40" w:before="0" w:line="259" w:lineRule="auto"/>
            </w:pPr>
            <w:r>
              <w:rPr>
                <w:rFonts w:ascii="Calibri" w:hAnsi="Calibri"/>
                <w:b w:val="0"/>
                <w:i w:val="0"/>
                <w:color w:val="212121"/>
                <w:sz w:val="16"/>
              </w:rPr>
              <w:t>All patients with LBP</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 step in triage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w:t>
            </w:r>
          </w:p>
        </w:tc>
        <w:tc>
          <w:tcPr>
            <w:tcW w:type="dxa" w:w="979"/>
            <w:vAlign w:val="top"/>
          </w:tcPr>
          <w:p>
            <w:pPr>
              <w:spacing w:after="40" w:before="0" w:line="259" w:lineRule="auto"/>
            </w:pPr>
            <w:r>
              <w:rPr>
                <w:rFonts w:ascii="Calibri" w:hAnsi="Calibri"/>
                <w:b w:val="0"/>
                <w:i w:val="0"/>
                <w:color w:val="212121"/>
                <w:sz w:val="16"/>
              </w:rPr>
              <w:t>Cancer, weight loss, fever, IVDU, steroids, trauma, bladder/bowel, saddle numbness</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Flags possible fracture, malignancy, infection (incl. TB spine) or cauda equina</w:t>
            </w:r>
          </w:p>
        </w:tc>
        <w:tc>
          <w:tcPr>
            <w:tcW w:type="dxa" w:w="1036"/>
            <w:vAlign w:val="top"/>
          </w:tcPr>
          <w:p>
            <w:pPr>
              <w:spacing w:after="40" w:before="0" w:line="259" w:lineRule="auto"/>
            </w:pPr>
            <w:r>
              <w:rPr>
                <w:rFonts w:ascii="Calibri" w:hAnsi="Calibri"/>
                <w:b w:val="0"/>
                <w:i w:val="0"/>
                <w:color w:val="212121"/>
                <w:sz w:val="16"/>
              </w:rPr>
              <w:t>All patients, especially elderly and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Mandatory at every assessment; positive flags prompt urgent workup/referral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ergonomic history</w:t>
            </w:r>
          </w:p>
        </w:tc>
        <w:tc>
          <w:tcPr>
            <w:tcW w:type="dxa" w:w="979"/>
            <w:vAlign w:val="top"/>
          </w:tcPr>
          <w:p>
            <w:pPr>
              <w:spacing w:after="40" w:before="0" w:line="259" w:lineRule="auto"/>
            </w:pPr>
            <w:r>
              <w:rPr>
                <w:rFonts w:ascii="Calibri" w:hAnsi="Calibri"/>
                <w:b w:val="0"/>
                <w:i w:val="0"/>
                <w:color w:val="212121"/>
                <w:sz w:val="16"/>
              </w:rPr>
              <w:t>Lifting, sitting hours, posture, vibration</w:t>
            </w:r>
          </w:p>
        </w:tc>
        <w:tc>
          <w:tcPr>
            <w:tcW w:type="dxa" w:w="950"/>
            <w:vAlign w:val="top"/>
          </w:tcPr>
          <w:p>
            <w:pPr>
              <w:spacing w:after="40" w:before="0" w:line="259" w:lineRule="auto"/>
            </w:pPr>
            <w:r>
              <w:rPr>
                <w:rFonts w:ascii="Calibri" w:hAnsi="Calibri"/>
                <w:b w:val="0"/>
                <w:i w:val="0"/>
                <w:color w:val="212121"/>
                <w:sz w:val="16"/>
              </w:rPr>
              <w:t>Good ergonomics, varied posture</w:t>
            </w:r>
          </w:p>
        </w:tc>
        <w:tc>
          <w:tcPr>
            <w:tcW w:type="dxa" w:w="950"/>
            <w:vAlign w:val="top"/>
          </w:tcPr>
          <w:p>
            <w:pPr>
              <w:spacing w:after="40" w:before="0" w:line="259" w:lineRule="auto"/>
            </w:pPr>
            <w:r>
              <w:rPr>
                <w:rFonts w:ascii="Calibri" w:hAnsi="Calibri"/>
                <w:b w:val="0"/>
                <w:i w:val="0"/>
                <w:color w:val="212121"/>
                <w:sz w:val="16"/>
              </w:rPr>
              <w:t>Heavy manual handling, prolonged sitting, poor workstation</w:t>
            </w:r>
          </w:p>
        </w:tc>
        <w:tc>
          <w:tcPr>
            <w:tcW w:type="dxa" w:w="1036"/>
            <w:vAlign w:val="top"/>
          </w:tcPr>
          <w:p>
            <w:pPr>
              <w:spacing w:after="40" w:before="0" w:line="259" w:lineRule="auto"/>
            </w:pPr>
            <w:r>
              <w:rPr>
                <w:rFonts w:ascii="Calibri" w:hAnsi="Calibri"/>
                <w:b w:val="0"/>
                <w:i w:val="0"/>
                <w:color w:val="212121"/>
                <w:sz w:val="16"/>
              </w:rPr>
              <w:t>Identifies modifiable mechanical drivers</w:t>
            </w:r>
          </w:p>
        </w:tc>
        <w:tc>
          <w:tcPr>
            <w:tcW w:type="dxa" w:w="1036"/>
            <w:vAlign w:val="top"/>
          </w:tcPr>
          <w:p>
            <w:pPr>
              <w:spacing w:after="40" w:before="0" w:line="259" w:lineRule="auto"/>
            </w:pPr>
            <w:r>
              <w:rPr>
                <w:rFonts w:ascii="Calibri" w:hAnsi="Calibri"/>
                <w:b w:val="0"/>
                <w:i w:val="0"/>
                <w:color w:val="212121"/>
                <w:sz w:val="16"/>
              </w:rPr>
              <w:t>Manual workers, desk/IT staff, drivers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ergonomic and activity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(yellow-flag) screen</w:t>
            </w:r>
          </w:p>
        </w:tc>
        <w:tc>
          <w:tcPr>
            <w:tcW w:type="dxa" w:w="979"/>
            <w:vAlign w:val="top"/>
          </w:tcPr>
          <w:p>
            <w:pPr>
              <w:spacing w:after="40" w:before="0" w:line="259" w:lineRule="auto"/>
            </w:pPr>
            <w:r>
              <w:rPr>
                <w:rFonts w:ascii="Calibri" w:hAnsi="Calibri"/>
                <w:b w:val="0"/>
                <w:i w:val="0"/>
                <w:color w:val="212121"/>
                <w:sz w:val="16"/>
              </w:rPr>
              <w:t>Distress, depression, fear-avoidance, job dissatisfaction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Predicts transition to chronic disabling LBP and poorer outcomes</w:t>
            </w:r>
          </w:p>
        </w:tc>
        <w:tc>
          <w:tcPr>
            <w:tcW w:type="dxa" w:w="1036"/>
            <w:vAlign w:val="top"/>
          </w:tcPr>
          <w:p>
            <w:pPr>
              <w:spacing w:after="40" w:before="0" w:line="259" w:lineRule="auto"/>
            </w:pPr>
            <w:r>
              <w:rPr>
                <w:rFonts w:ascii="Calibri" w:hAnsi="Calibri"/>
                <w:b w:val="0"/>
                <w:i w:val="0"/>
                <w:color w:val="212121"/>
                <w:sz w:val="16"/>
              </w:rPr>
              <w:t>Subacute/chronic LBP, work-related pain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chronic LBP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 and palpation</w:t>
            </w:r>
          </w:p>
        </w:tc>
        <w:tc>
          <w:tcPr>
            <w:tcW w:type="dxa" w:w="979"/>
            <w:vAlign w:val="top"/>
          </w:tcPr>
          <w:p>
            <w:pPr>
              <w:spacing w:after="40" w:before="0" w:line="259" w:lineRule="auto"/>
            </w:pPr>
            <w:r>
              <w:rPr>
                <w:rFonts w:ascii="Calibri" w:hAnsi="Calibri"/>
                <w:b w:val="0"/>
                <w:i w:val="0"/>
                <w:color w:val="212121"/>
                <w:sz w:val="16"/>
              </w:rPr>
              <w:t>Posture, deformity, paraspinal tenderness/spasm, spinous tenderness</w:t>
            </w:r>
          </w:p>
        </w:tc>
        <w:tc>
          <w:tcPr>
            <w:tcW w:type="dxa" w:w="950"/>
            <w:vAlign w:val="top"/>
          </w:tcPr>
          <w:p>
            <w:pPr>
              <w:spacing w:after="40" w:before="0" w:line="259" w:lineRule="auto"/>
            </w:pPr>
            <w:r>
              <w:rPr>
                <w:rFonts w:ascii="Calibri" w:hAnsi="Calibri"/>
                <w:b w:val="0"/>
                <w:i w:val="0"/>
                <w:color w:val="212121"/>
                <w:sz w:val="16"/>
              </w:rPr>
              <w:t>No deformity or focal tenderness</w:t>
            </w:r>
          </w:p>
        </w:tc>
        <w:tc>
          <w:tcPr>
            <w:tcW w:type="dxa" w:w="950"/>
            <w:vAlign w:val="top"/>
          </w:tcPr>
          <w:p>
            <w:pPr>
              <w:spacing w:after="40" w:before="0" w:line="259" w:lineRule="auto"/>
            </w:pPr>
            <w:r>
              <w:rPr>
                <w:rFonts w:ascii="Calibri" w:hAnsi="Calibri"/>
                <w:b w:val="0"/>
                <w:i w:val="0"/>
                <w:color w:val="212121"/>
                <w:sz w:val="16"/>
              </w:rPr>
              <w:t>Muscle spasm, focal spinous tenderness, gibbus/deformity</w:t>
            </w:r>
          </w:p>
        </w:tc>
        <w:tc>
          <w:tcPr>
            <w:tcW w:type="dxa" w:w="1036"/>
            <w:vAlign w:val="top"/>
          </w:tcPr>
          <w:p>
            <w:pPr>
              <w:spacing w:after="40" w:before="0" w:line="259" w:lineRule="auto"/>
            </w:pPr>
            <w:r>
              <w:rPr>
                <w:rFonts w:ascii="Calibri" w:hAnsi="Calibri"/>
                <w:b w:val="0"/>
                <w:i w:val="0"/>
                <w:color w:val="212121"/>
                <w:sz w:val="16"/>
              </w:rPr>
              <w:t>Focal bony tenderness or deformity may indicate fracture or TB spine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Gibbus suggests spinal tuberculosis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Range of motion</w:t>
            </w:r>
          </w:p>
        </w:tc>
        <w:tc>
          <w:tcPr>
            <w:tcW w:type="dxa" w:w="979"/>
            <w:vAlign w:val="top"/>
          </w:tcPr>
          <w:p>
            <w:pPr>
              <w:spacing w:after="40" w:before="0" w:line="259" w:lineRule="auto"/>
            </w:pPr>
            <w:r>
              <w:rPr>
                <w:rFonts w:ascii="Calibri" w:hAnsi="Calibri"/>
                <w:b w:val="0"/>
                <w:i w:val="0"/>
                <w:color w:val="212121"/>
                <w:sz w:val="16"/>
              </w:rPr>
              <w:t>Lumbar flexion/extension; modified Schober's test</w:t>
            </w:r>
          </w:p>
        </w:tc>
        <w:tc>
          <w:tcPr>
            <w:tcW w:type="dxa" w:w="950"/>
            <w:vAlign w:val="top"/>
          </w:tcPr>
          <w:p>
            <w:pPr>
              <w:spacing w:after="40" w:before="0" w:line="259" w:lineRule="auto"/>
            </w:pPr>
            <w:r>
              <w:rPr>
                <w:rFonts w:ascii="Calibri" w:hAnsi="Calibri"/>
                <w:b w:val="0"/>
                <w:i w:val="0"/>
                <w:color w:val="212121"/>
                <w:sz w:val="16"/>
              </w:rPr>
              <w:t>Full, pain-free movement</w:t>
            </w:r>
          </w:p>
        </w:tc>
        <w:tc>
          <w:tcPr>
            <w:tcW w:type="dxa" w:w="950"/>
            <w:vAlign w:val="top"/>
          </w:tcPr>
          <w:p>
            <w:pPr>
              <w:spacing w:after="40" w:before="0" w:line="259" w:lineRule="auto"/>
            </w:pPr>
            <w:r>
              <w:rPr>
                <w:rFonts w:ascii="Calibri" w:hAnsi="Calibri"/>
                <w:b w:val="0"/>
                <w:i w:val="0"/>
                <w:color w:val="212121"/>
                <w:sz w:val="16"/>
              </w:rPr>
              <w:t>Restricted/painful movement; reduced Schober's</w:t>
            </w:r>
          </w:p>
        </w:tc>
        <w:tc>
          <w:tcPr>
            <w:tcW w:type="dxa" w:w="1036"/>
            <w:vAlign w:val="top"/>
          </w:tcPr>
          <w:p>
            <w:pPr>
              <w:spacing w:after="40" w:before="0" w:line="259" w:lineRule="auto"/>
            </w:pPr>
            <w:r>
              <w:rPr>
                <w:rFonts w:ascii="Calibri" w:hAnsi="Calibri"/>
                <w:b w:val="0"/>
                <w:i w:val="0"/>
                <w:color w:val="212121"/>
                <w:sz w:val="16"/>
              </w:rPr>
              <w:t>Reduced Schober's supports inflammatory (ankylosing) spondylitis</w:t>
            </w:r>
          </w:p>
        </w:tc>
        <w:tc>
          <w:tcPr>
            <w:tcW w:type="dxa" w:w="1036"/>
            <w:vAlign w:val="top"/>
          </w:tcPr>
          <w:p>
            <w:pPr>
              <w:spacing w:after="40" w:before="0" w:line="259" w:lineRule="auto"/>
            </w:pPr>
            <w:r>
              <w:rPr>
                <w:rFonts w:ascii="Calibri" w:hAnsi="Calibri"/>
                <w:b w:val="0"/>
                <w:i w:val="0"/>
                <w:color w:val="212121"/>
                <w:sz w:val="16"/>
              </w:rPr>
              <w:t>Chronic and inflammatory-pattern LBP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pain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Straight leg raise, power, reflexes, sensation, gait</w:t>
            </w:r>
          </w:p>
        </w:tc>
        <w:tc>
          <w:tcPr>
            <w:tcW w:type="dxa" w:w="950"/>
            <w:vAlign w:val="top"/>
          </w:tcPr>
          <w:p>
            <w:pPr>
              <w:spacing w:after="40" w:before="0" w:line="259" w:lineRule="auto"/>
            </w:pPr>
            <w:r>
              <w:rPr>
                <w:rFonts w:ascii="Calibri" w:hAnsi="Calibri"/>
                <w:b w:val="0"/>
                <w:i w:val="0"/>
                <w:color w:val="212121"/>
                <w:sz w:val="16"/>
              </w:rPr>
              <w:t>Negative SLR, intact neurology</w:t>
            </w:r>
          </w:p>
        </w:tc>
        <w:tc>
          <w:tcPr>
            <w:tcW w:type="dxa" w:w="950"/>
            <w:vAlign w:val="top"/>
          </w:tcPr>
          <w:p>
            <w:pPr>
              <w:spacing w:after="40" w:before="0" w:line="259" w:lineRule="auto"/>
            </w:pPr>
            <w:r>
              <w:rPr>
                <w:rFonts w:ascii="Calibri" w:hAnsi="Calibri"/>
                <w:b w:val="0"/>
                <w:i w:val="0"/>
                <w:color w:val="212121"/>
                <w:sz w:val="16"/>
              </w:rPr>
              <w:t>Positive SLR at 30-70 degrees, myotomal weakness, absent reflex, sensory loss</w:t>
            </w:r>
          </w:p>
        </w:tc>
        <w:tc>
          <w:tcPr>
            <w:tcW w:type="dxa" w:w="1036"/>
            <w:vAlign w:val="top"/>
          </w:tcPr>
          <w:p>
            <w:pPr>
              <w:spacing w:after="40" w:before="0" w:line="259" w:lineRule="auto"/>
            </w:pPr>
            <w:r>
              <w:rPr>
                <w:rFonts w:ascii="Calibri" w:hAnsi="Calibri"/>
                <w:b w:val="0"/>
                <w:i w:val="0"/>
                <w:color w:val="212121"/>
                <w:sz w:val="16"/>
              </w:rPr>
              <w:t>Localises lumbar radiculopathy (commonly L5/S1); crossed SLR is specific for disc herniation</w:t>
            </w:r>
          </w:p>
        </w:tc>
        <w:tc>
          <w:tcPr>
            <w:tcW w:type="dxa" w:w="1036"/>
            <w:vAlign w:val="top"/>
          </w:tcPr>
          <w:p>
            <w:pPr>
              <w:spacing w:after="40" w:before="0" w:line="259" w:lineRule="auto"/>
            </w:pPr>
            <w:r>
              <w:rPr>
                <w:rFonts w:ascii="Calibri" w:hAnsi="Calibri"/>
                <w:b w:val="0"/>
                <w:i w:val="0"/>
                <w:color w:val="212121"/>
                <w:sz w:val="16"/>
              </w:rPr>
              <w:t>Sciatica, suspected disc prolapse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Progressive deficit warrants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Cauda equina / sacral screen</w:t>
            </w:r>
          </w:p>
        </w:tc>
        <w:tc>
          <w:tcPr>
            <w:tcW w:type="dxa" w:w="979"/>
            <w:vAlign w:val="top"/>
          </w:tcPr>
          <w:p>
            <w:pPr>
              <w:spacing w:after="40" w:before="0" w:line="259" w:lineRule="auto"/>
            </w:pPr>
            <w:r>
              <w:rPr>
                <w:rFonts w:ascii="Calibri" w:hAnsi="Calibri"/>
                <w:b w:val="0"/>
                <w:i w:val="0"/>
                <w:color w:val="212121"/>
                <w:sz w:val="16"/>
              </w:rPr>
              <w:t>Saddle sensation, anal tone, bladder (post-void residual)</w:t>
            </w:r>
          </w:p>
        </w:tc>
        <w:tc>
          <w:tcPr>
            <w:tcW w:type="dxa" w:w="950"/>
            <w:vAlign w:val="top"/>
          </w:tcPr>
          <w:p>
            <w:pPr>
              <w:spacing w:after="40" w:before="0" w:line="259" w:lineRule="auto"/>
            </w:pPr>
            <w:r>
              <w:rPr>
                <w:rFonts w:ascii="Calibri" w:hAnsi="Calibri"/>
                <w:b w:val="0"/>
                <w:i w:val="0"/>
                <w:color w:val="212121"/>
                <w:sz w:val="16"/>
              </w:rPr>
              <w:t>Normal saddle sensation and tone</w:t>
            </w:r>
          </w:p>
        </w:tc>
        <w:tc>
          <w:tcPr>
            <w:tcW w:type="dxa" w:w="950"/>
            <w:vAlign w:val="top"/>
          </w:tcPr>
          <w:p>
            <w:pPr>
              <w:spacing w:after="40" w:before="0" w:line="259" w:lineRule="auto"/>
            </w:pPr>
            <w:r>
              <w:rPr>
                <w:rFonts w:ascii="Calibri" w:hAnsi="Calibri"/>
                <w:b w:val="0"/>
                <w:i w:val="0"/>
                <w:color w:val="212121"/>
                <w:sz w:val="16"/>
              </w:rPr>
              <w:t>Saddle anaesthesia, lax tone, urinary retention</w:t>
            </w:r>
          </w:p>
        </w:tc>
        <w:tc>
          <w:tcPr>
            <w:tcW w:type="dxa" w:w="1036"/>
            <w:vAlign w:val="top"/>
          </w:tcPr>
          <w:p>
            <w:pPr>
              <w:spacing w:after="40" w:before="0" w:line="259" w:lineRule="auto"/>
            </w:pPr>
            <w:r>
              <w:rPr>
                <w:rFonts w:ascii="Calibri" w:hAnsi="Calibri"/>
                <w:b w:val="0"/>
                <w:i w:val="0"/>
                <w:color w:val="212121"/>
                <w:sz w:val="16"/>
              </w:rPr>
              <w:t>Detects cauda equina syndrome - a surgical emergency</w:t>
            </w:r>
          </w:p>
        </w:tc>
        <w:tc>
          <w:tcPr>
            <w:tcW w:type="dxa" w:w="1036"/>
            <w:vAlign w:val="top"/>
          </w:tcPr>
          <w:p>
            <w:pPr>
              <w:spacing w:after="40" w:before="0" w:line="259" w:lineRule="auto"/>
            </w:pPr>
            <w:r>
              <w:rPr>
                <w:rFonts w:ascii="Calibri" w:hAnsi="Calibri"/>
                <w:b w:val="0"/>
                <w:i w:val="0"/>
                <w:color w:val="212121"/>
                <w:sz w:val="16"/>
              </w:rPr>
              <w:t>Bilateral sciatica, bladder/bowel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findings need emergency MRI and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Localised low back ache and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aching pain and stiffness across the lower back, often after activity or prolonged posture.</w:t>
            </w:r>
          </w:p>
        </w:tc>
      </w:tr>
      <w:tr>
        <w:trPr>
          <w:cantSplit/>
        </w:trPr>
        <w:tc>
          <w:tcPr>
            <w:tcW w:type="dxa" w:w="2304"/>
            <w:vAlign w:val="top"/>
          </w:tcPr>
          <w:p>
            <w:pPr>
              <w:spacing w:after="40" w:before="0" w:line="259" w:lineRule="auto"/>
            </w:pPr>
            <w:r>
              <w:rPr>
                <w:rFonts w:ascii="Calibri" w:hAnsi="Calibri"/>
                <w:b/>
                <w:i w:val="0"/>
                <w:color w:val="212121"/>
                <w:sz w:val="19"/>
              </w:rPr>
              <w:t>Pain worse with movement / lifting, eased by rest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mechanical pattern of non-specific LBP.</w:t>
            </w:r>
          </w:p>
        </w:tc>
      </w:tr>
      <w:tr>
        <w:trPr>
          <w:cantSplit/>
        </w:trPr>
        <w:tc>
          <w:tcPr>
            <w:tcW w:type="dxa" w:w="2304"/>
            <w:vAlign w:val="top"/>
          </w:tcPr>
          <w:p>
            <w:pPr>
              <w:spacing w:after="40" w:before="0" w:line="259" w:lineRule="auto"/>
            </w:pPr>
            <w:r>
              <w:rPr>
                <w:rFonts w:ascii="Calibri" w:hAnsi="Calibri"/>
                <w:b/>
                <w:i w:val="0"/>
                <w:color w:val="212121"/>
                <w:sz w:val="19"/>
              </w:rPr>
              <w:t>Paraspinal muscle spasm /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tightening and guarding of the back muscles, limiting movement.</w:t>
            </w:r>
          </w:p>
        </w:tc>
      </w:tr>
      <w:tr>
        <w:trPr>
          <w:cantSplit/>
        </w:trPr>
        <w:tc>
          <w:tcPr>
            <w:tcW w:type="dxa" w:w="2304"/>
            <w:vAlign w:val="top"/>
          </w:tcPr>
          <w:p>
            <w:pPr>
              <w:spacing w:after="40" w:before="0" w:line="259" w:lineRule="auto"/>
            </w:pPr>
            <w:r>
              <w:rPr>
                <w:rFonts w:ascii="Calibri" w:hAnsi="Calibri"/>
                <w:b/>
                <w:i w:val="0"/>
                <w:color w:val="212121"/>
                <w:sz w:val="19"/>
              </w:rPr>
              <w:t>Reduced spinal mobility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bending, straightening or turning due to pain and stiffness.</w:t>
            </w:r>
          </w:p>
        </w:tc>
      </w:tr>
      <w:tr>
        <w:trPr>
          <w:cantSplit/>
        </w:trPr>
        <w:tc>
          <w:tcPr>
            <w:tcW w:type="dxa" w:w="2304"/>
            <w:vAlign w:val="top"/>
          </w:tcPr>
          <w:p>
            <w:pPr>
              <w:spacing w:after="40" w:before="0" w:line="259" w:lineRule="auto"/>
            </w:pPr>
            <w:r>
              <w:rPr>
                <w:rFonts w:ascii="Calibri" w:hAnsi="Calibri"/>
                <w:b/>
                <w:i w:val="0"/>
                <w:color w:val="212121"/>
                <w:sz w:val="19"/>
              </w:rPr>
              <w:t>Radiating leg pain (sciatica)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 shooting into the buttock and down the leg, often below the knee, from nerve-root irritation.</w:t>
            </w:r>
          </w:p>
        </w:tc>
      </w:tr>
      <w:tr>
        <w:trPr>
          <w:cantSplit/>
        </w:trPr>
        <w:tc>
          <w:tcPr>
            <w:tcW w:type="dxa" w:w="2304"/>
            <w:vAlign w:val="top"/>
          </w:tcPr>
          <w:p>
            <w:pPr>
              <w:spacing w:after="40" w:before="0" w:line="259" w:lineRule="auto"/>
            </w:pPr>
            <w:r>
              <w:rPr>
                <w:rFonts w:ascii="Calibri" w:hAnsi="Calibri"/>
                <w:b/>
                <w:i w:val="0"/>
                <w:color w:val="212121"/>
                <w:sz w:val="19"/>
              </w:rPr>
              <w:t>Numbness or tingling in the leg/foot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Dermatomal paraesthesia suggesting nerve-root involvement (e.g. L5 or S1).</w:t>
            </w:r>
          </w:p>
        </w:tc>
      </w:tr>
      <w:tr>
        <w:trPr>
          <w:cantSplit/>
        </w:trPr>
        <w:tc>
          <w:tcPr>
            <w:tcW w:type="dxa" w:w="2304"/>
            <w:vAlign w:val="top"/>
          </w:tcPr>
          <w:p>
            <w:pPr>
              <w:spacing w:after="40" w:before="0" w:line="259" w:lineRule="auto"/>
            </w:pPr>
            <w:r>
              <w:rPr>
                <w:rFonts w:ascii="Calibri" w:hAnsi="Calibri"/>
                <w:b/>
                <w:i w:val="0"/>
                <w:color w:val="212121"/>
                <w:sz w:val="19"/>
              </w:rPr>
              <w:t>Leg or foot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Myotomal weakness such as foot drop indicates significant nerve-root compression.</w:t>
            </w:r>
          </w:p>
        </w:tc>
      </w:tr>
      <w:tr>
        <w:trPr>
          <w:cantSplit/>
        </w:trPr>
        <w:tc>
          <w:tcPr>
            <w:tcW w:type="dxa" w:w="2304"/>
            <w:vAlign w:val="top"/>
          </w:tcPr>
          <w:p>
            <w:pPr>
              <w:spacing w:after="40" w:before="0" w:line="259" w:lineRule="auto"/>
            </w:pPr>
            <w:r>
              <w:rPr>
                <w:rFonts w:ascii="Calibri" w:hAnsi="Calibri"/>
                <w:b/>
                <w:i w:val="0"/>
                <w:color w:val="212121"/>
                <w:sz w:val="19"/>
              </w:rPr>
              <w:t>Pain radiating with cough / sneeze / straining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Increased pain on Valsalva suggests discogenic or radicular origin.</w:t>
            </w:r>
          </w:p>
        </w:tc>
      </w:tr>
      <w:tr>
        <w:trPr>
          <w:cantSplit/>
        </w:trPr>
        <w:tc>
          <w:tcPr>
            <w:tcW w:type="dxa" w:w="2304"/>
            <w:vAlign w:val="top"/>
          </w:tcPr>
          <w:p>
            <w:pPr>
              <w:spacing w:after="40" w:before="0" w:line="259" w:lineRule="auto"/>
            </w:pPr>
            <w:r>
              <w:rPr>
                <w:rFonts w:ascii="Calibri" w:hAnsi="Calibri"/>
                <w:b/>
                <w:i w:val="0"/>
                <w:color w:val="212121"/>
                <w:sz w:val="19"/>
              </w:rPr>
              <w:t>Inflammatory-pattern pain with morning stiffness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Prolonged (&gt;30 min) morning stiffness improving with movement suggests axial spondyloarthritis.</w:t>
            </w:r>
          </w:p>
        </w:tc>
      </w:tr>
      <w:tr>
        <w:trPr>
          <w:cantSplit/>
        </w:trPr>
        <w:tc>
          <w:tcPr>
            <w:tcW w:type="dxa" w:w="2304"/>
            <w:vAlign w:val="top"/>
          </w:tcPr>
          <w:p>
            <w:pPr>
              <w:spacing w:after="40" w:before="0" w:line="259" w:lineRule="auto"/>
            </w:pPr>
            <w:r>
              <w:rPr>
                <w:rFonts w:ascii="Calibri" w:hAnsi="Calibri"/>
                <w:b/>
                <w:i w:val="0"/>
                <w:color w:val="212121"/>
                <w:sz w:val="19"/>
              </w:rPr>
              <w:t>Unremitting night or rest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Pain not relieved by rest is a red flag for malignancy or infection.</w:t>
            </w:r>
          </w:p>
        </w:tc>
      </w:tr>
      <w:tr>
        <w:trPr>
          <w:cantSplit/>
        </w:trPr>
        <w:tc>
          <w:tcPr>
            <w:tcW w:type="dxa" w:w="2304"/>
            <w:vAlign w:val="top"/>
          </w:tcPr>
          <w:p>
            <w:pPr>
              <w:spacing w:after="40" w:before="0" w:line="259" w:lineRule="auto"/>
            </w:pPr>
            <w:r>
              <w:rPr>
                <w:rFonts w:ascii="Calibri" w:hAnsi="Calibri"/>
                <w:b/>
                <w:i w:val="0"/>
                <w:color w:val="212121"/>
                <w:sz w:val="19"/>
              </w:rPr>
              <w:t>Saddle anaesthesia with bladder/bowel dysfunction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Numbness of the perineum with urinary retention or incontinence indicates cauda equina syndrome - a surgical emergency.</w:t>
            </w:r>
          </w:p>
        </w:tc>
      </w:tr>
      <w:tr>
        <w:trPr>
          <w:cantSplit/>
        </w:trPr>
        <w:tc>
          <w:tcPr>
            <w:tcW w:type="dxa" w:w="2304"/>
            <w:vAlign w:val="top"/>
          </w:tcPr>
          <w:p>
            <w:pPr>
              <w:spacing w:after="40" w:before="0" w:line="259" w:lineRule="auto"/>
            </w:pPr>
            <w:r>
              <w:rPr>
                <w:rFonts w:ascii="Calibri" w:hAnsi="Calibri"/>
                <w:b/>
                <w:i w:val="0"/>
                <w:color w:val="212121"/>
                <w:sz w:val="19"/>
              </w:rPr>
              <w:t>Fever or unexplained weight loss with back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Constitutional features raise concern for spinal infection (incl. tuberculosis) or malignancy.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Paraspinal muscle spasm and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tightness and protective stiffening of the lumbar muscles.</w:t>
            </w:r>
          </w:p>
        </w:tc>
      </w:tr>
      <w:tr>
        <w:trPr>
          <w:cantSplit/>
        </w:trPr>
        <w:tc>
          <w:tcPr>
            <w:tcW w:type="dxa" w:w="3456"/>
            <w:vAlign w:val="top"/>
          </w:tcPr>
          <w:p>
            <w:pPr>
              <w:spacing w:after="40" w:before="0" w:line="259" w:lineRule="auto"/>
            </w:pPr>
            <w:r>
              <w:rPr>
                <w:rFonts w:ascii="Calibri" w:hAnsi="Calibri"/>
                <w:b/>
                <w:i w:val="0"/>
                <w:color w:val="212121"/>
                <w:sz w:val="19"/>
              </w:rPr>
              <w:t>Localised lumbar / spinous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spinous-process tenderness can indicate fracture or infection; diffuse muscular tenderness is usual in mechanical LBP.</w:t>
            </w:r>
          </w:p>
        </w:tc>
      </w:tr>
      <w:tr>
        <w:trPr>
          <w:cantSplit/>
        </w:trPr>
        <w:tc>
          <w:tcPr>
            <w:tcW w:type="dxa" w:w="3456"/>
            <w:vAlign w:val="top"/>
          </w:tcPr>
          <w:p>
            <w:pPr>
              <w:spacing w:after="40" w:before="0" w:line="259" w:lineRule="auto"/>
            </w:pPr>
            <w:r>
              <w:rPr>
                <w:rFonts w:ascii="Calibri" w:hAnsi="Calibri"/>
                <w:b/>
                <w:i w:val="0"/>
                <w:color w:val="212121"/>
                <w:sz w:val="19"/>
              </w:rPr>
              <w:t>Restricted / painful lumbar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flexion, extension and lateral movement.</w:t>
            </w:r>
          </w:p>
        </w:tc>
      </w:tr>
      <w:tr>
        <w:trPr>
          <w:cantSplit/>
        </w:trPr>
        <w:tc>
          <w:tcPr>
            <w:tcW w:type="dxa" w:w="3456"/>
            <w:vAlign w:val="top"/>
          </w:tcPr>
          <w:p>
            <w:pPr>
              <w:spacing w:after="40" w:before="0" w:line="259" w:lineRule="auto"/>
            </w:pPr>
            <w:r>
              <w:rPr>
                <w:rFonts w:ascii="Calibri" w:hAnsi="Calibri"/>
                <w:b/>
                <w:i w:val="0"/>
                <w:color w:val="212121"/>
                <w:sz w:val="19"/>
              </w:rPr>
              <w:t>Positive straight leg raise (30-70 degrees)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Reproduction of leg pain on passive leg elevation indicates lower lumbar nerve-root tension.</w:t>
            </w:r>
          </w:p>
        </w:tc>
      </w:tr>
      <w:tr>
        <w:trPr>
          <w:cantSplit/>
        </w:trPr>
        <w:tc>
          <w:tcPr>
            <w:tcW w:type="dxa" w:w="3456"/>
            <w:vAlign w:val="top"/>
          </w:tcPr>
          <w:p>
            <w:pPr>
              <w:spacing w:after="40" w:before="0" w:line="259" w:lineRule="auto"/>
            </w:pPr>
            <w:r>
              <w:rPr>
                <w:rFonts w:ascii="Calibri" w:hAnsi="Calibri"/>
                <w:b/>
                <w:i w:val="0"/>
                <w:color w:val="212121"/>
                <w:sz w:val="19"/>
              </w:rPr>
              <w:t>Positive crossed straight leg raise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Contralateral leg raise reproducing symptoms is highly specific for disc herniation.</w:t>
            </w:r>
          </w:p>
        </w:tc>
      </w:tr>
      <w:tr>
        <w:trPr>
          <w:cantSplit/>
        </w:trPr>
        <w:tc>
          <w:tcPr>
            <w:tcW w:type="dxa" w:w="3456"/>
            <w:vAlign w:val="top"/>
          </w:tcPr>
          <w:p>
            <w:pPr>
              <w:spacing w:after="40" w:before="0" w:line="259" w:lineRule="auto"/>
            </w:pPr>
            <w:r>
              <w:rPr>
                <w:rFonts w:ascii="Calibri" w:hAnsi="Calibri"/>
                <w:b/>
                <w:i w:val="0"/>
                <w:color w:val="212121"/>
                <w:sz w:val="19"/>
              </w:rPr>
              <w:t>Myotomal motor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Weak great-toe extension (L5) or plantarflexion (S1) localises the affected root.</w:t>
            </w:r>
          </w:p>
        </w:tc>
      </w:tr>
      <w:tr>
        <w:trPr>
          <w:cantSplit/>
        </w:trPr>
        <w:tc>
          <w:tcPr>
            <w:tcW w:type="dxa" w:w="3456"/>
            <w:vAlign w:val="top"/>
          </w:tcPr>
          <w:p>
            <w:pPr>
              <w:spacing w:after="40" w:before="0" w:line="259" w:lineRule="auto"/>
            </w:pPr>
            <w:r>
              <w:rPr>
                <w:rFonts w:ascii="Calibri" w:hAnsi="Calibri"/>
                <w:b/>
                <w:i w:val="0"/>
                <w:color w:val="212121"/>
                <w:sz w:val="19"/>
              </w:rPr>
              <w:t>Diminished or absent ankle / knee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Absent ankle jerk (S1) or knee jerk (L4) supports radiculopathy.</w:t>
            </w:r>
          </w:p>
        </w:tc>
      </w:tr>
      <w:tr>
        <w:trPr>
          <w:cantSplit/>
        </w:trPr>
        <w:tc>
          <w:tcPr>
            <w:tcW w:type="dxa" w:w="3456"/>
            <w:vAlign w:val="top"/>
          </w:tcPr>
          <w:p>
            <w:pPr>
              <w:spacing w:after="40" w:before="0" w:line="259" w:lineRule="auto"/>
            </w:pPr>
            <w:r>
              <w:rPr>
                <w:rFonts w:ascii="Calibri" w:hAnsi="Calibri"/>
                <w:b/>
                <w:i w:val="0"/>
                <w:color w:val="212121"/>
                <w:sz w:val="19"/>
              </w:rPr>
              <w:t>Dermatomal sensory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sensation in an L5 or S1 distribution.</w:t>
            </w:r>
          </w:p>
        </w:tc>
      </w:tr>
      <w:tr>
        <w:trPr>
          <w:cantSplit/>
        </w:trPr>
        <w:tc>
          <w:tcPr>
            <w:tcW w:type="dxa" w:w="3456"/>
            <w:vAlign w:val="top"/>
          </w:tcPr>
          <w:p>
            <w:pPr>
              <w:spacing w:after="40" w:before="0" w:line="259" w:lineRule="auto"/>
            </w:pPr>
            <w:r>
              <w:rPr>
                <w:rFonts w:ascii="Calibri" w:hAnsi="Calibri"/>
                <w:b/>
                <w:i w:val="0"/>
                <w:color w:val="212121"/>
                <w:sz w:val="19"/>
              </w:rPr>
              <w:t>Reduced modified Schober's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Limited lumbar flexion excursion supports inflammatory (ankylosing) spondylitis.</w:t>
            </w:r>
          </w:p>
        </w:tc>
      </w:tr>
      <w:tr>
        <w:trPr>
          <w:cantSplit/>
        </w:trPr>
        <w:tc>
          <w:tcPr>
            <w:tcW w:type="dxa" w:w="3456"/>
            <w:vAlign w:val="top"/>
          </w:tcPr>
          <w:p>
            <w:pPr>
              <w:spacing w:after="40" w:before="0" w:line="259" w:lineRule="auto"/>
            </w:pPr>
            <w:r>
              <w:rPr>
                <w:rFonts w:ascii="Calibri" w:hAnsi="Calibri"/>
                <w:b/>
                <w:i w:val="0"/>
                <w:color w:val="212121"/>
                <w:sz w:val="19"/>
              </w:rPr>
              <w:t>Antalgic gait / sciatic list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Trunk shift and guarded walking to offload the painful side.</w:t>
            </w:r>
          </w:p>
        </w:tc>
      </w:tr>
      <w:tr>
        <w:trPr>
          <w:cantSplit/>
        </w:trPr>
        <w:tc>
          <w:tcPr>
            <w:tcW w:type="dxa" w:w="3456"/>
            <w:vAlign w:val="top"/>
          </w:tcPr>
          <w:p>
            <w:pPr>
              <w:spacing w:after="40" w:before="0" w:line="259" w:lineRule="auto"/>
            </w:pPr>
            <w:r>
              <w:rPr>
                <w:rFonts w:ascii="Calibri" w:hAnsi="Calibri"/>
                <w:b/>
                <w:i w:val="0"/>
                <w:color w:val="212121"/>
                <w:sz w:val="19"/>
              </w:rPr>
              <w:t>Saddle anaesthesia / reduced anal tone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Perineal sensory loss and lax sphincter tone signal cauda equina syndrome.</w:t>
            </w:r>
          </w:p>
        </w:tc>
      </w:tr>
      <w:tr>
        <w:trPr>
          <w:cantSplit/>
        </w:trPr>
        <w:tc>
          <w:tcPr>
            <w:tcW w:type="dxa" w:w="3456"/>
            <w:vAlign w:val="top"/>
          </w:tcPr>
          <w:p>
            <w:pPr>
              <w:spacing w:after="40" w:before="0" w:line="259" w:lineRule="auto"/>
            </w:pPr>
            <w:r>
              <w:rPr>
                <w:rFonts w:ascii="Calibri" w:hAnsi="Calibri"/>
                <w:b/>
                <w:i w:val="0"/>
                <w:color w:val="212121"/>
                <w:sz w:val="19"/>
              </w:rPr>
              <w:t>Gibbus / angular spinal deformity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sharp kyphotic deformity is characteristic of spinal tuberculosis (Pott's spine) or vertebral collapse.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pain, muscle spasm and functional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Restricted mobility and difficulty with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Short-term work absence and reduced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pain</w:t>
            </w:r>
          </w:p>
        </w:tc>
        <w:tc>
          <w:tcPr>
            <w:tcW w:type="dxa" w:w="2980"/>
            <w:vAlign w:val="top"/>
          </w:tcPr>
          <w:p>
            <w:pPr>
              <w:spacing w:after="40" w:before="0" w:line="259" w:lineRule="auto"/>
            </w:pPr>
            <w:r>
              <w:rPr>
                <w:rFonts w:ascii="Calibri" w:hAnsi="Calibri"/>
                <w:b w:val="0"/>
                <w:i w:val="0"/>
                <w:color w:val="212121"/>
                <w:sz w:val="19"/>
              </w:rPr>
              <w:t>Direct short-term consequences of the acute painful episode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Transition of acute pain to chronic low 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radiculopathy with nerve-root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episodes and progressive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overuse, including inappropriate opioid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low mood, anxiety and fear-avoidance behaviour</w:t>
            </w:r>
          </w:p>
        </w:tc>
        <w:tc>
          <w:tcPr>
            <w:tcW w:type="dxa" w:w="2980"/>
            <w:vAlign w:val="top"/>
          </w:tcPr>
          <w:p>
            <w:pPr>
              <w:spacing w:after="40" w:before="0" w:line="259" w:lineRule="auto"/>
            </w:pPr>
            <w:r>
              <w:rPr>
                <w:rFonts w:ascii="Calibri" w:hAnsi="Calibri"/>
                <w:b w:val="0"/>
                <w:i w:val="0"/>
                <w:color w:val="212121"/>
                <w:sz w:val="19"/>
              </w:rPr>
              <w:t>Result from unresolved pain, poor recovery and psychosocial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pain with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Cauda equina syndrome with permanent bladder, bowel and sexual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neurological deficit (e.g. foot drop)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Failed back surgery syndrome and chronic pain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Osteoporotic vertebral collapse with deformity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social withdrawal from chronic disability</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Lumbar disc herniation / sciatica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structural cause of LBP with leg pain; about 5% of men and 2.5% of women have sciatica in their lifetime, usually from L4-L5 or L5-S1 herniation.</w:t>
            </w:r>
          </w:p>
        </w:tc>
      </w:tr>
      <w:tr>
        <w:trPr>
          <w:cantSplit/>
        </w:trPr>
        <w:tc>
          <w:tcPr>
            <w:tcW w:type="dxa" w:w="2232"/>
            <w:vAlign w:val="top"/>
          </w:tcPr>
          <w:p>
            <w:pPr>
              <w:spacing w:after="40" w:before="0" w:line="259" w:lineRule="auto"/>
            </w:pPr>
            <w:r>
              <w:rPr>
                <w:rFonts w:ascii="Calibri" w:hAnsi="Calibri"/>
                <w:b/>
                <w:i w:val="0"/>
                <w:color w:val="212121"/>
                <w:sz w:val="19"/>
              </w:rPr>
              <w:t>Lumbar spondylosis / degenerative disc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Age-related disc and facet degeneration underlies most chronic mechanical LBP and can progress to spinal stenosis.</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Increases mechanical spinal load and is associated with higher odds of chronic and care-seeking LBP.</w:t>
            </w:r>
          </w:p>
        </w:tc>
      </w:tr>
      <w:tr>
        <w:trPr>
          <w:cantSplit/>
        </w:trPr>
        <w:tc>
          <w:tcPr>
            <w:tcW w:type="dxa" w:w="2232"/>
            <w:vAlign w:val="top"/>
          </w:tcPr>
          <w:p>
            <w:pPr>
              <w:spacing w:after="40" w:before="0" w:line="259" w:lineRule="auto"/>
            </w:pPr>
            <w:r>
              <w:rPr>
                <w:rFonts w:ascii="Calibri" w:hAnsi="Calibri"/>
                <w:b/>
                <w:i w:val="0"/>
                <w:color w:val="212121"/>
                <w:sz w:val="19"/>
              </w:rPr>
              <w:t>Osteoporosis and vertebral fragility fracture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major cause of acute and chronic back pain in post-menopausal women and the elderly.</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Bidirectionally linked with chronic LBP; psychological distress strongly predicts persistence and disability.</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associated with musculoskeletal pain and low bone density in LBP patients.</w:t>
            </w:r>
          </w:p>
        </w:tc>
      </w:tr>
      <w:tr>
        <w:trPr>
          <w:cantSplit/>
        </w:trPr>
        <w:tc>
          <w:tcPr>
            <w:tcW w:type="dxa" w:w="2232"/>
            <w:vAlign w:val="top"/>
          </w:tcPr>
          <w:p>
            <w:pPr>
              <w:spacing w:after="40" w:before="0" w:line="259" w:lineRule="auto"/>
            </w:pPr>
            <w:r>
              <w:rPr>
                <w:rFonts w:ascii="Calibri" w:hAnsi="Calibri"/>
                <w:b/>
                <w:i w:val="0"/>
                <w:color w:val="212121"/>
                <w:sz w:val="19"/>
              </w:rPr>
              <w:t>Osteoarthritis of hip and knee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degenerative and mechanical mechanisms and alters gait, aggravating back load.</w:t>
            </w:r>
          </w:p>
        </w:tc>
      </w:tr>
      <w:tr>
        <w:trPr>
          <w:cantSplit/>
        </w:trPr>
        <w:tc>
          <w:tcPr>
            <w:tcW w:type="dxa" w:w="2232"/>
            <w:vAlign w:val="top"/>
          </w:tcPr>
          <w:p>
            <w:pPr>
              <w:spacing w:after="40" w:before="0" w:line="259" w:lineRule="auto"/>
            </w:pPr>
            <w:r>
              <w:rPr>
                <w:rFonts w:ascii="Calibri" w:hAnsi="Calibri"/>
                <w:b/>
                <w:i w:val="0"/>
                <w:color w:val="212121"/>
                <w:sz w:val="19"/>
              </w:rPr>
              <w:t>Axial spondyloarthritis / ankylosing spondylitis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Inflammatory cause of chronic back pain in younger adults, with morning stiffness and HLA-B27 association.</w:t>
            </w:r>
          </w:p>
        </w:tc>
      </w:tr>
      <w:tr>
        <w:trPr>
          <w:cantSplit/>
        </w:trPr>
        <w:tc>
          <w:tcPr>
            <w:tcW w:type="dxa" w:w="2232"/>
            <w:vAlign w:val="top"/>
          </w:tcPr>
          <w:p>
            <w:pPr>
              <w:spacing w:after="40" w:before="0" w:line="259" w:lineRule="auto"/>
            </w:pPr>
            <w:r>
              <w:rPr>
                <w:rFonts w:ascii="Calibri" w:hAnsi="Calibri"/>
                <w:b/>
                <w:i w:val="0"/>
                <w:color w:val="212121"/>
                <w:sz w:val="19"/>
              </w:rPr>
              <w:t>Spinal tuberculosis (Pott's spine)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 important infective cause of back pain in India, presenting with night pain, constitutional symptoms and sometimes gibbus deformity.</w:t>
            </w:r>
          </w:p>
        </w:tc>
      </w:tr>
      <w:tr>
        <w:trPr>
          <w:cantSplit/>
        </w:trPr>
        <w:tc>
          <w:tcPr>
            <w:tcW w:type="dxa" w:w="2232"/>
            <w:vAlign w:val="top"/>
          </w:tcPr>
          <w:p>
            <w:pPr>
              <w:spacing w:after="40" w:before="0" w:line="259" w:lineRule="auto"/>
            </w:pPr>
            <w:r>
              <w:rPr>
                <w:rFonts w:ascii="Calibri" w:hAnsi="Calibri"/>
                <w:b/>
                <w:i w:val="0"/>
                <w:color w:val="212121"/>
                <w:sz w:val="19"/>
              </w:rPr>
              <w:t>Sleep disturbance / insomnia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with chronic LBP and lowers pain thresholds, perpetuating a pain-poor sleep cycle.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low back pain is non-specific, not dangerous, and improves within a few weeks; staying active speeds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bed rest - it delays recovery; continue normal activities within the limits of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safe lifting: keep the load close, hinge at the hips and knees, keep the back neutral and avoid twisting while lifting.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an ergonomic workstation and break up prolonged sitting with movement every 30-45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need prompt medical care: numbness around the genitals/buttocks, loss of bladder or bowel control, severe or progressive leg weakness, fever, unexplained weight loss, or pain that is constant and worse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keep physically active to reduce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and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first episode of LBP</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and return to normal activity early rather than resting; graded activity reduces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general exercise (brisk walking, swimming, cycling) - exercise is one of the few interventions proven to reduce chronic LBP and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core and back strengthening and stretching (trunk stabilisation, hip and hamstring flexibility) 2-3 times a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structured yoga or supervised physiotherapy for persistent or recurrent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posture and use frequent position changes and micro-breaks during sedentary or standing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or chronic LBP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LBP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an episode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(Asian-Indian BMI 18-22.9) to reduce spinal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through safe sun exposure, diet and supplementation where deficient, to protect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adequate protein to support muscle and 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energy-dense foods that promote weight gain.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vitamin-D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treating pain-related insomnia helps break the pain-poor sleep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supportive (medium-firm) mattress and a comfortable sleeping position - side-lying with a pillow between the knees, or supine with a pillow under the knees.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good sleep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obstructive sleep apnoea and mood disturbance that worsen chronic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LBP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pain-related insomnia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 smoking impairs disc nutrition and is linked to more chronic and disabling 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adolescents especially, as the smoking-LBP association is strongest at younger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chronic LBP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avoid heavy or binge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relying on alcohol to cope with pain, which impairs recovery and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combining alcohol with analgesics and muscle relaxants.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intake to lower fall and fracture risk, especially in older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LBP patients on analgesics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'yellow flags' - distress, depression, anxiety, fear-avoidance and job dissatisfaction - which strongly predict chronic disabling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reassurance and education to reduce fear-avoidance and encourage a return to activity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or psychologically informed physiotherapy for persistent or high-distress LBP.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relaxation and pacing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graded return to work and normal roles rather than prolonged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recurrent LBP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Work-related LBP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distress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fear-avoidance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5964222/" TargetMode="External"/><Relationship Id="rId10" Type="http://schemas.openxmlformats.org/officeDocument/2006/relationships/hyperlink" Target="https://www.who.int/news-room/fact-sheets/detail/low-back-pain" TargetMode="External"/><Relationship Id="rId11" Type="http://schemas.openxmlformats.org/officeDocument/2006/relationships/hyperlink" Target="https://jogh.org/2021/jogh-11-12004" TargetMode="External"/><Relationship Id="rId12" Type="http://schemas.openxmlformats.org/officeDocument/2006/relationships/hyperlink" Target="https://pmc.ncbi.nlm.nih.gov/articles/PMC4985573/" TargetMode="External"/><Relationship Id="rId13" Type="http://schemas.openxmlformats.org/officeDocument/2006/relationships/hyperlink" Target="https://pubmed.ncbi.nlm.nih.gov/20102998/" TargetMode="External"/><Relationship Id="rId14" Type="http://schemas.openxmlformats.org/officeDocument/2006/relationships/hyperlink" Target="https://academic.oup.com/aje/article/171/2/135/130619" TargetMode="External"/><Relationship Id="rId15" Type="http://schemas.openxmlformats.org/officeDocument/2006/relationships/hyperlink" Target="https://pubmed.ncbi.nlm.nih.gov/28842760/" TargetMode="External"/><Relationship Id="rId16" Type="http://schemas.openxmlformats.org/officeDocument/2006/relationships/hyperlink" Target="https://pubmed.ncbi.nlm.nih.gov/21646416/" TargetMode="External"/><Relationship Id="rId17" Type="http://schemas.openxmlformats.org/officeDocument/2006/relationships/hyperlink" Target="https://emedicine.medscape.com/article/249113-overview" TargetMode="External"/><Relationship Id="rId18" Type="http://schemas.openxmlformats.org/officeDocument/2006/relationships/hyperlink" Target="https://pubmed.ncbi.nlm.nih.gov/20833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