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Neck Pain / Cervical Spondylosis</w:t>
      </w:r>
    </w:p>
    <w:p>
      <w:pPr>
        <w:spacing w:before="0" w:after="160"/>
      </w:pPr>
      <w:r>
        <w:rPr>
          <w:rFonts w:ascii="Calibri" w:hAnsi="Calibri"/>
          <w:b/>
          <w:i w:val="0"/>
          <w:color w:val="212121"/>
          <w:sz w:val="22"/>
        </w:rPr>
        <w:t xml:space="preserve">AKA </w:t>
      </w:r>
      <w:r>
        <w:rPr>
          <w:rFonts w:ascii="Calibri" w:hAnsi="Calibri"/>
          <w:b w:val="0"/>
          <w:i w:val="0"/>
          <w:color w:val="212121"/>
          <w:sz w:val="22"/>
        </w:rPr>
        <w:t>i.e., Cervicalgia, Cervical spondylosis, Cervical osteoarthritis, Neck arthritis, Gardan dard (Hindi), Text neck / Tech neck, Cervical radiculopathy (when arm pain coexists), Cervical spondylotic myelopathy (when the cord is involved)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Neck pain (cervicalgia) is pain, stiffness or muscle tension felt between the base of the skull (occiput) and the cervicothoracic junction, with or without pain referred into the head, shoulder girdle or arm. In most people no specific structural cause is found - this is non-specific (mechanical) neck pain. Cervical spondylosis is the age-related degenerative change of the cervical intervertebral discs, facet joints and ligaments (disc desiccation, osteophytes, ligament thickening) and is the commonest structural background to chronic neck pain; when it narrows the neural foramen or spinal canal it produces cervical radiculopathy (nerve-root compression) or cervical spondylotic myelopathy (spinal-cord compression). Neck pain is classified by duration into acute (under 6 weeks), subacute (6-12 weeks) and chronic (over 12 weeks).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Neck pain is one of the largest musculoskeletal burdens in India and worldwide, and is rising sharply with screen and smartphone use. Indian reviews estimate that cervical spondylosis affects on the order of 10 million people per year in India, with an annual incidence of neck pain in adults of about 25-50%, and roughly 75% of people over 50 years showing narrowing of the spinal canal or intervertebral foramina. A 2025 meta-analysis of Indian occupational studies pooled the prevalence of work-related neck pain at about 40%, highest in artisans (59%), textile (49%), healthcare (47%) and construction (44%) workers and 31% in IT professionals. Globally, the GBD 2021 study estimated 203 million people had neck pain in 2020, projected to reach 269 million by 2050 (a 32.5% rise), with prevalence higher in women and peaking between 45 and 74 years. Among Indian college smartphone users, one study found 46.9% reported neck pain ('text neck').</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Neck pain is primarily a clinical diagnosis. The essential first step is diagnostic triage into non-specific (mechanical) neck pain, cervical radiculopathy, cervical myelopathy, or serious/specific spinal pathology signalled by red flags - which then guides investigation and management: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Characterise the pain: site (occiput to cervicothoracic junction), duration (acute/subacute/chronic), radiation (head, shoulder, arm) and pattern - mechanical pain is worse with sustained posture or movement and eased by rest, whereas unremitting night or rest pain is a warning feature.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 for RED FLAGS at every visit: significant trauma, osteoporosis or age over 65 (fracture); history of cancer, unexplained weight loss or night pain (malignancy); fever, IV drug use, immunosuppression or neck stiffness (infection, including cervical spinal tuberculosis); hand clumsiness, gait imbalance, bladder/bowel change or a positive Hoffmann/Babinski sign (cervical myelopathy - a neurosurgical concern); and drop attacks, vertigo or visual disturbance on neck movement (vertebrobasilar involvement).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Perform a focused neurological examination of the upper limbs: Spurling's test (extension, rotation and axial loading reproducing dermatomal arm pain is about 95% sensitive and 94% specific for radiculopathy), plus power, reflexes and sensation to localise a nerve-root lesion (commonly C6 or C7), and long-tract signs (Hoffmann, hyperreflexia, clonus, gait) to detect myelopathy.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Do NOT image routinely: imaging is not indicated for acute non-specific neck pain and degenerative changes are near-universal with age, so findings must be correlated clinically. Reserve X-ray/MRI for red flags, significant trauma, progressive neurological deficit, suspected myelopathy, or radicular pain failing 4-6 weeks of conservative care.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Order blood tests (ESR, CRP, full blood count) only when infection, malignancy or inflammatory disease is suspected; MRI of the cervical spine is the investigation of choice for disc herniation, foraminal or canal stenosis, cord compression (myelopathy), infection and tumour, and CT best shows bony detail, fracture and ossified posterior longitudinal ligament.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Neck pain is classified by duration and, more usefully for management, by the diagnostic triage category and the clinical syndrome of cervical spondylosis:</w:t>
      </w:r>
    </w:p>
    <w:p>
      <w:pPr>
        <w:spacing w:before="0" w:after="80"/>
      </w:pPr>
      <w:r>
        <w:rPr>
          <w:rFonts w:ascii="Calibri" w:hAnsi="Calibri"/>
          <w:b w:val="0"/>
          <w:i w:val="0"/>
          <w:color w:val="212121"/>
          <w:sz w:val="21"/>
        </w:rPr>
        <w:t>(1) By duration: acute neck pain lasts under 6 weeks, subacute 6-12 weeks, and chronic more than 12 weeks (about 3 months); recurrent neck pain describes repeated acute episodes on a background of relative recovery.</w:t>
      </w:r>
    </w:p>
    <w:p>
      <w:pPr>
        <w:spacing w:before="0" w:after="80"/>
      </w:pPr>
      <w:r>
        <w:rPr>
          <w:rFonts w:ascii="Calibri" w:hAnsi="Calibri"/>
          <w:b w:val="0"/>
          <w:i w:val="0"/>
          <w:color w:val="212121"/>
          <w:sz w:val="21"/>
        </w:rPr>
        <w:t>(2) Non-specific (mechanical) neck pain - by far the commonest form - has no identifiable specific pathology and arises from the muscles, ligaments, facet joints and discs of the neck; it is usually self-limiting and safe to self-manage once red flags are excluded. Postural/tension and 'text-neck' patterns fall here.</w:t>
      </w:r>
    </w:p>
    <w:p>
      <w:pPr>
        <w:spacing w:before="0" w:after="80"/>
      </w:pPr>
      <w:r>
        <w:rPr>
          <w:rFonts w:ascii="Calibri" w:hAnsi="Calibri"/>
          <w:b w:val="0"/>
          <w:i w:val="0"/>
          <w:color w:val="212121"/>
          <w:sz w:val="21"/>
        </w:rPr>
        <w:t>(3) Cervical radiculopathy (axial neck pain with dermatomal arm symptoms) - pain, paraesthesia and weakness in a nerve-root distribution from foraminal narrowing by spondylotic osteophytes or a herniated disc, most often at C6-C7 (C7 root) and C5-C6 (C6 root); most cases settle within 1-2 years without surgery.</w:t>
      </w:r>
    </w:p>
    <w:p>
      <w:pPr>
        <w:spacing w:before="0" w:after="80"/>
      </w:pPr>
      <w:r>
        <w:rPr>
          <w:rFonts w:ascii="Calibri" w:hAnsi="Calibri"/>
          <w:b w:val="0"/>
          <w:i w:val="0"/>
          <w:color w:val="212121"/>
          <w:sz w:val="21"/>
        </w:rPr>
        <w:t>(4) Cervical spondylotic myelopathy - progressive spinal-cord compression from advanced spondylosis, the commonest cause of spinal-cord dysfunction in adults over 55; it is often painless and presents insidiously with hand clumsiness, gait imbalance and long-tract signs, and moderate-to-severe cases require surgical decompression.</w:t>
      </w:r>
    </w:p>
    <w:p>
      <w:pPr>
        <w:spacing w:before="0" w:after="80"/>
      </w:pPr>
      <w:r>
        <w:rPr>
          <w:rFonts w:ascii="Calibri" w:hAnsi="Calibri"/>
          <w:b w:val="0"/>
          <w:i w:val="0"/>
          <w:color w:val="212121"/>
          <w:sz w:val="21"/>
        </w:rPr>
        <w:t>(5) Whiplash-associated disorder and serious / specific pathology - a minority of cases - includes acceleration-deceleration (road-traffic) neck injury, vertebral fracture, malignancy or metastasis, infection (cervical tuberculosis / Pott's spine, discitis, epidural abscess) and inflammatory disease (rheumatoid or axial spondyloarthritis of the cervical spine); these require prompt investigation and referral.</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Degenerative cervical spondylosis: Age-related disc desiccation, loss of disc height, osteophyte (bone spur) formation and facet arthropathy reduce the structural tolerance of the neck and are the commonest background to chronic neck pain, radiculopathy and myelopathy.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Postural and mechanical strain: Sustained forward-head posture, prolonged neck flexion over screens and phones ('text neck'), and static desk work overload the paraspinal muscles, facet joints and discs - the leading trigger of non-specific mechanical neck pain and increasingly common with screen 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Occupational loading: Prolonged static or awkward neck postures (IT and desk work, dentistry, healthcare, tailoring), repetitive movements and head-load carrying - common in India - are major drivers, especially in a large manual and informal workforce.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Cervical disc herniation / radiculopathy: Prolapse of a cervical disc (usually C5-C6 or C6-C7) or spondylotic foraminal narrowing compresses a nerve root and produces brachialgia (arm pain) with sensory or motor signs.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Trauma and whiplash: Acceleration-deceleration injury from road-traffic collisions and falls injures cervical soft tissues and can cause acute and chronic neck pain; India's high road-traffic-injury burden makes this an important cause.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Obesity and physical deconditioning: Excess body weight, weak deep-neck and scapular stabiliser muscles and general physical inactivity raise the risk and persistence of neck pain.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Psychosocial factors and specific pathology: Depression, anxiety, high job strain and poor coping ('yellow flags') strongly predict chronic disabling neck pain; a small but serious minority is due to fracture, malignancy, infection (including cervical tuberculosis) or inflammatory arthritis.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~30-55 years)</w:t>
            </w:r>
          </w:p>
        </w:tc>
        <w:tc>
          <w:tcPr>
            <w:tcW w:type="dxa" w:w="4276"/>
            <w:vAlign w:val="top"/>
          </w:tcPr>
          <w:p>
            <w:pPr>
              <w:spacing w:after="60" w:line="259" w:lineRule="auto"/>
            </w:pPr>
            <w:r>
              <w:rPr>
                <w:rFonts w:ascii="Calibri" w:hAnsi="Calibri"/>
                <w:b w:val="0"/>
                <w:i w:val="0"/>
                <w:color w:val="212121"/>
                <w:sz w:val="19"/>
              </w:rPr>
              <w:t>The working-age neck bears cumulative postural and occupational load, and cervical disc degeneration begins early, so neck pain is very common and peaks in mid-adult life. Most episodes are non-specific and mechanical, worse with sustained posture and relieved by rest.</w:t>
            </w:r>
          </w:p>
          <w:p>
            <w:pPr>
              <w:spacing w:after="40" w:before="60" w:line="259" w:lineRule="auto"/>
            </w:pPr>
            <w:r>
              <w:rPr>
                <w:rFonts w:ascii="Calibri" w:hAnsi="Calibri"/>
                <w:b w:val="0"/>
                <w:i w:val="0"/>
                <w:color w:val="212121"/>
                <w:sz w:val="19"/>
              </w:rPr>
              <w:t>Indian reviews cite an annual incidence of neck pain in adults of about 25-50% per year, with cervical spondylosis affecting on the order of 10 million people per year in India.</w:t>
            </w:r>
          </w:p>
          <w:p>
            <w:pPr>
              <w:spacing w:after="40" w:line="252" w:lineRule="auto"/>
            </w:pPr>
            <w:hyperlink r:id="rId9">
              <w:r>
                <w:rPr>
                  <w:rFonts w:ascii="Calibri" w:hAnsi="Calibri" w:cs="Calibri"/>
                  <w:sz w:val="18"/>
                  <w:color w:val="1155CC"/>
                  <w:u w:val="single"/>
                </w:rPr>
                <w:t xml:space="preserve">worldwidejournals.com (IJAR) - cervical spondylosis in India</w:t>
              </w:r>
            </w:hyperlink>
          </w:p>
          <w:p>
            <w:pPr>
              <w:spacing w:before="60" w:after="40"/>
            </w:pPr>
            <w:r>
              <w:rPr>
                <w:rFonts w:ascii="Calibri" w:hAnsi="Calibri"/>
                <w:b w:val="0"/>
                <w:i w:val="0"/>
                <w:color w:val="5A5A5A"/>
                <w:sz w:val="18"/>
              </w:rPr>
              <w:t>#neckpain  #cervicalspondylosis  #cervicalgia  #workingage  #discdegeneration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With age, cervical spondylosis becomes near-universal: discs desiccate, osteophytes form and the canal and foramina narrow, so older adults are prone to radiculopathy and to cervical spondylotic myelopathy, the commonest cause of spinal-cord dysfunction after 55.</w:t>
            </w:r>
          </w:p>
          <w:p>
            <w:pPr>
              <w:spacing w:after="40" w:before="60" w:line="259" w:lineRule="auto"/>
            </w:pPr>
            <w:r>
              <w:rPr>
                <w:rFonts w:ascii="Calibri" w:hAnsi="Calibri"/>
                <w:b w:val="0"/>
                <w:i w:val="0"/>
                <w:color w:val="212121"/>
                <w:sz w:val="19"/>
              </w:rPr>
              <w:t>Radiographic spondylosis is present in about 25% under 40, ~50% over 40, up to 85% over 60 and ~95% by age 65; roughly 75% of people over 50 show canal or foraminal narrowing.</w:t>
            </w:r>
          </w:p>
          <w:p>
            <w:pPr>
              <w:spacing w:after="40" w:line="252" w:lineRule="auto"/>
            </w:pPr>
            <w:hyperlink r:id="rId10">
              <w:r>
                <w:rPr>
                  <w:rFonts w:ascii="Calibri" w:hAnsi="Calibri" w:cs="Calibri"/>
                  <w:sz w:val="18"/>
                  <w:color w:val="1155CC"/>
                  <w:u w:val="single"/>
                </w:rPr>
                <w:t xml:space="preserve">ncbi.nlm.nih.gov - StatPearls cervical spondylosis</w:t>
              </w:r>
            </w:hyperlink>
          </w:p>
          <w:p>
            <w:pPr>
              <w:spacing w:before="60" w:after="40"/>
            </w:pPr>
            <w:r>
              <w:rPr>
                <w:rFonts w:ascii="Calibri" w:hAnsi="Calibri"/>
                <w:b w:val="0"/>
                <w:i w:val="0"/>
                <w:color w:val="5A5A5A"/>
                <w:sz w:val="18"/>
              </w:rPr>
              <w:t>#ageing  #osteophytes  #myelopathy  #spinalstenosis  #degenerative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w:t>
            </w:r>
          </w:p>
        </w:tc>
        <w:tc>
          <w:tcPr>
            <w:tcW w:type="dxa" w:w="4276"/>
            <w:vAlign w:val="top"/>
          </w:tcPr>
          <w:p>
            <w:pPr>
              <w:spacing w:after="60" w:line="259" w:lineRule="auto"/>
            </w:pPr>
            <w:r>
              <w:rPr>
                <w:rFonts w:ascii="Calibri" w:hAnsi="Calibri"/>
                <w:b w:val="0"/>
                <w:i w:val="0"/>
                <w:color w:val="212121"/>
                <w:sz w:val="19"/>
              </w:rPr>
              <w:t>Women carry a higher neck-pain burden through hormonal and disc-degeneration factors, a higher prevalence of tension-type and cervicogenic headache, and domestic and occupational loads (head-load carrying, tailoring, desk work); post-menopausal bone loss adds fracture risk.</w:t>
            </w:r>
          </w:p>
          <w:p>
            <w:pPr>
              <w:spacing w:after="40" w:before="60" w:line="259" w:lineRule="auto"/>
            </w:pPr>
            <w:r>
              <w:rPr>
                <w:rFonts w:ascii="Calibri" w:hAnsi="Calibri"/>
                <w:b w:val="0"/>
                <w:i w:val="0"/>
                <w:color w:val="212121"/>
                <w:sz w:val="19"/>
              </w:rPr>
              <w:t>GBD 2021 found a higher age-standardised prevalence of neck pain in women (about 2,890 per 100,000) than in men (about 2,000 per 100,000).</w:t>
            </w:r>
          </w:p>
          <w:p>
            <w:pPr>
              <w:spacing w:after="40" w:line="252" w:lineRule="auto"/>
            </w:pPr>
            <w:hyperlink r:id="rId11">
              <w:r>
                <w:rPr>
                  <w:rFonts w:ascii="Calibri" w:hAnsi="Calibri" w:cs="Calibri"/>
                  <w:sz w:val="18"/>
                  <w:color w:val="1155CC"/>
                  <w:u w:val="single"/>
                </w:rPr>
                <w:t xml:space="preserve">researchonline.jcu.edu.au - GBD 2021 neck pain</w:t>
              </w:r>
            </w:hyperlink>
          </w:p>
          <w:p>
            <w:pPr>
              <w:spacing w:before="60" w:after="40"/>
            </w:pPr>
            <w:r>
              <w:rPr>
                <w:rFonts w:ascii="Calibri" w:hAnsi="Calibri"/>
                <w:b w:val="0"/>
                <w:i w:val="0"/>
                <w:color w:val="5A5A5A"/>
                <w:sz w:val="18"/>
              </w:rPr>
              <w:t>#womenshealth  #cervicogenicheadache  #postmenopausal  #domesticload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artisan and low-income workers</w:t>
            </w:r>
          </w:p>
        </w:tc>
        <w:tc>
          <w:tcPr>
            <w:tcW w:type="dxa" w:w="4276"/>
            <w:vAlign w:val="top"/>
          </w:tcPr>
          <w:p>
            <w:pPr>
              <w:spacing w:after="60" w:line="259" w:lineRule="auto"/>
            </w:pPr>
            <w:r>
              <w:rPr>
                <w:rFonts w:ascii="Calibri" w:hAnsi="Calibri"/>
                <w:b w:val="0"/>
                <w:i w:val="0"/>
                <w:color w:val="212121"/>
                <w:sz w:val="19"/>
              </w:rPr>
              <w:t>Physically demanding, low-control jobs with sustained awkward neck postures, repetitive movement and head-load carrying concentrate neck-pain risk in lower-income and informal occupations, where continued work despite pain fuels chronicity and lost livelihood.</w:t>
            </w:r>
          </w:p>
          <w:p>
            <w:pPr>
              <w:spacing w:after="40" w:before="60" w:line="259" w:lineRule="auto"/>
            </w:pPr>
            <w:r>
              <w:rPr>
                <w:rFonts w:ascii="Calibri" w:hAnsi="Calibri"/>
                <w:b w:val="0"/>
                <w:i w:val="0"/>
                <w:color w:val="212121"/>
                <w:sz w:val="19"/>
              </w:rPr>
              <w:t>An Indian occupational meta-analysis (56 studies) pooled work-related neck pain at about 40%, highest in artisans (59%), textile (49%), healthcare (47%) and construction (44%) workers.</w:t>
            </w:r>
          </w:p>
          <w:p>
            <w:pPr>
              <w:spacing w:after="40" w:line="252" w:lineRule="auto"/>
            </w:pPr>
            <w:hyperlink r:id="rId12">
              <w:r>
                <w:rPr>
                  <w:rFonts w:ascii="Calibri" w:hAnsi="Calibri" w:cs="Calibri"/>
                  <w:sz w:val="18"/>
                  <w:color w:val="1155CC"/>
                  <w:u w:val="single"/>
                </w:rPr>
                <w:t xml:space="preserve">academic.oup.com (J Occup Health) - WRMSD in Indian workers</w:t>
              </w:r>
            </w:hyperlink>
          </w:p>
          <w:p>
            <w:pPr>
              <w:spacing w:before="60" w:after="40"/>
            </w:pPr>
            <w:r>
              <w:rPr>
                <w:rFonts w:ascii="Calibri" w:hAnsi="Calibri"/>
                <w:b w:val="0"/>
                <w:i w:val="0"/>
                <w:color w:val="5A5A5A"/>
                <w:sz w:val="18"/>
              </w:rPr>
              <w:t>#manuallabour  #artisans  #occupational  #lowincome  #headloading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Urban desk / IT and smartphone-using workforce</w:t>
            </w:r>
          </w:p>
        </w:tc>
        <w:tc>
          <w:tcPr>
            <w:tcW w:type="dxa" w:w="4276"/>
            <w:vAlign w:val="top"/>
          </w:tcPr>
          <w:p>
            <w:pPr>
              <w:spacing w:after="60" w:line="259" w:lineRule="auto"/>
            </w:pPr>
            <w:r>
              <w:rPr>
                <w:rFonts w:ascii="Calibri" w:hAnsi="Calibri"/>
                <w:b w:val="0"/>
                <w:i w:val="0"/>
                <w:color w:val="212121"/>
                <w:sz w:val="19"/>
              </w:rPr>
              <w:t>India's fast-growing urban office, IT and student population spends long hours in forward-head posture over laptops and phones with little movement, a classic driver of non-specific mechanical neck pain and the reason neck pain is rising with screen use.</w:t>
            </w:r>
          </w:p>
          <w:p>
            <w:pPr>
              <w:spacing w:after="40" w:before="60" w:line="259" w:lineRule="auto"/>
            </w:pPr>
            <w:r>
              <w:rPr>
                <w:rFonts w:ascii="Calibri" w:hAnsi="Calibri"/>
                <w:b w:val="0"/>
                <w:i w:val="0"/>
                <w:color w:val="212121"/>
                <w:sz w:val="19"/>
              </w:rPr>
              <w:t>Neck pain affects about 31% of Indian IT professionals; among Indian college smartphone users 46.9% reported neck pain ('text neck') and 42.5% had neck disability.</w:t>
            </w:r>
          </w:p>
          <w:p>
            <w:pPr>
              <w:spacing w:after="40" w:line="252" w:lineRule="auto"/>
            </w:pPr>
            <w:hyperlink r:id="rId13">
              <w:r>
                <w:rPr>
                  <w:rFonts w:ascii="Calibri" w:hAnsi="Calibri" w:cs="Calibri"/>
                  <w:sz w:val="18"/>
                  <w:color w:val="1155CC"/>
                  <w:u w:val="single"/>
                </w:rPr>
                <w:t xml:space="preserve">link.springer.com - text neck in Indian students</w:t>
              </w:r>
            </w:hyperlink>
          </w:p>
          <w:p>
            <w:pPr>
              <w:spacing w:before="60" w:after="40"/>
            </w:pPr>
            <w:r>
              <w:rPr>
                <w:rFonts w:ascii="Calibri" w:hAnsi="Calibri"/>
                <w:b w:val="0"/>
                <w:i w:val="0"/>
                <w:color w:val="5A5A5A"/>
                <w:sz w:val="18"/>
              </w:rPr>
              <w:t>#textneck  #ITprofessionals  #forwardhead  #smartphone  #urban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Rural / agricultural and head-load carrying population</w:t>
            </w:r>
          </w:p>
        </w:tc>
        <w:tc>
          <w:tcPr>
            <w:tcW w:type="dxa" w:w="4276"/>
            <w:vAlign w:val="top"/>
          </w:tcPr>
          <w:p>
            <w:pPr>
              <w:spacing w:after="60" w:line="259" w:lineRule="auto"/>
            </w:pPr>
            <w:r>
              <w:rPr>
                <w:rFonts w:ascii="Calibri" w:hAnsi="Calibri"/>
                <w:b w:val="0"/>
                <w:i w:val="0"/>
                <w:color w:val="212121"/>
                <w:sz w:val="19"/>
              </w:rPr>
              <w:t>Rural livelihoods involve manual field work and head-load carrying (water, fodder, firewood, farm produce), which axially loads the cervical spine and can accelerate degeneration; rural women in particular combine field and household labour.</w:t>
            </w:r>
          </w:p>
          <w:p>
            <w:pPr>
              <w:spacing w:after="40" w:before="60" w:line="259" w:lineRule="auto"/>
            </w:pPr>
            <w:r>
              <w:rPr>
                <w:rFonts w:ascii="Calibri" w:hAnsi="Calibri"/>
                <w:b w:val="0"/>
                <w:i w:val="0"/>
                <w:color w:val="212121"/>
                <w:sz w:val="19"/>
              </w:rPr>
              <w:t>A community survey in rural and tribal Raigad District, Maharashtra found a point prevalence of neck pain of about 2.9% in rural and 3.6% in tribal populations, with heavy lifting among the most limiting activities.</w:t>
            </w:r>
          </w:p>
          <w:p>
            <w:pPr>
              <w:spacing w:after="40" w:line="252" w:lineRule="auto"/>
            </w:pPr>
            <w:hyperlink r:id="rId14">
              <w:r>
                <w:rPr>
                  <w:rFonts w:ascii="Calibri" w:hAnsi="Calibri" w:cs="Calibri"/>
                  <w:sz w:val="18"/>
                  <w:color w:val="1155CC"/>
                  <w:u w:val="single"/>
                </w:rPr>
                <w:t xml:space="preserve">link.springer.com (Eur Spine J) - rural/tribal spine pain, India</w:t>
              </w:r>
            </w:hyperlink>
          </w:p>
          <w:p>
            <w:pPr>
              <w:spacing w:before="60" w:after="40"/>
            </w:pPr>
            <w:r>
              <w:rPr>
                <w:rFonts w:ascii="Calibri" w:hAnsi="Calibri"/>
                <w:b w:val="0"/>
                <w:i w:val="0"/>
                <w:color w:val="5A5A5A"/>
                <w:sz w:val="18"/>
              </w:rPr>
              <w:t>#rural  #headloading  #agriculture  #axialload  #communityburden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Screen-bound office workers, students, drivers</w:t>
            </w:r>
          </w:p>
        </w:tc>
        <w:tc>
          <w:tcPr>
            <w:tcW w:type="dxa" w:w="4276"/>
            <w:vAlign w:val="top"/>
          </w:tcPr>
          <w:p>
            <w:pPr>
              <w:spacing w:after="60" w:line="259" w:lineRule="auto"/>
            </w:pPr>
            <w:r>
              <w:rPr>
                <w:rFonts w:ascii="Calibri" w:hAnsi="Calibri"/>
                <w:b w:val="0"/>
                <w:i w:val="0"/>
                <w:color w:val="212121"/>
                <w:sz w:val="19"/>
              </w:rPr>
              <w:t>Prolonged sitting and screen use hold the neck in sustained flexion and forward-head posture, deconditioning the deep-neck and scapular stabiliser muscles and increasing static disc and facet loading - all of which predispose to and perpetuate neck pain.</w:t>
            </w:r>
          </w:p>
          <w:p>
            <w:pPr>
              <w:spacing w:after="40" w:before="60" w:line="259" w:lineRule="auto"/>
            </w:pPr>
            <w:r>
              <w:rPr>
                <w:rFonts w:ascii="Calibri" w:hAnsi="Calibri"/>
                <w:b w:val="0"/>
                <w:i w:val="0"/>
                <w:color w:val="212121"/>
                <w:sz w:val="19"/>
              </w:rPr>
              <w:t>A 2025 meta-analysis (25 studies, 43,184 people) found sedentary behaviour raised neck-pain odds (OR 1.46), strongest for mobile-phone use (OR 1.82) and in employees (OR 1.97); risk rose with dose (&gt;=6 h/day OR 1.88).</w:t>
            </w:r>
          </w:p>
          <w:p>
            <w:pPr>
              <w:spacing w:after="40" w:line="252" w:lineRule="auto"/>
            </w:pPr>
            <w:hyperlink r:id="rId15">
              <w:r>
                <w:rPr>
                  <w:rFonts w:ascii="Calibri" w:hAnsi="Calibri" w:cs="Calibri"/>
                  <w:sz w:val="18"/>
                  <w:color w:val="1155CC"/>
                  <w:u w:val="single"/>
                </w:rPr>
                <w:t xml:space="preserve">link.springer.com (BMC Public Health) - sedentary behaviour &amp; neck pain</w:t>
              </w:r>
            </w:hyperlink>
          </w:p>
          <w:p>
            <w:pPr>
              <w:spacing w:before="60" w:after="40"/>
            </w:pPr>
            <w:r>
              <w:rPr>
                <w:rFonts w:ascii="Calibri" w:hAnsi="Calibri"/>
                <w:b w:val="0"/>
                <w:i w:val="0"/>
                <w:color w:val="5A5A5A"/>
                <w:sz w:val="18"/>
              </w:rPr>
              <w:t>#sedentary  #prolongedsitting  #screentime  #deconditioning  #textneck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loading (static / awkward posture)</w:t>
            </w:r>
          </w:p>
        </w:tc>
        <w:tc>
          <w:tcPr>
            <w:tcW w:type="dxa" w:w="2160"/>
            <w:vAlign w:val="top"/>
          </w:tcPr>
          <w:p>
            <w:pPr>
              <w:spacing w:after="40" w:before="0" w:line="259" w:lineRule="auto"/>
            </w:pPr>
            <w:r>
              <w:rPr>
                <w:rFonts w:ascii="Calibri" w:hAnsi="Calibri"/>
                <w:b w:val="0"/>
                <w:i w:val="0"/>
                <w:color w:val="212121"/>
                <w:sz w:val="19"/>
              </w:rPr>
              <w:t>Dentists, tailors, healthcare and assembly workers</w:t>
            </w:r>
          </w:p>
        </w:tc>
        <w:tc>
          <w:tcPr>
            <w:tcW w:type="dxa" w:w="4276"/>
            <w:vAlign w:val="top"/>
          </w:tcPr>
          <w:p>
            <w:pPr>
              <w:spacing w:after="60" w:line="259" w:lineRule="auto"/>
            </w:pPr>
            <w:r>
              <w:rPr>
                <w:rFonts w:ascii="Calibri" w:hAnsi="Calibri"/>
                <w:b w:val="0"/>
                <w:i w:val="0"/>
                <w:color w:val="212121"/>
                <w:sz w:val="19"/>
              </w:rPr>
              <w:t>Occupations that demand sustained neck flexion, rotation or precision head positioning (dentistry, tailoring, surgery, microscopy, assembly) impose prolonged static loading on the cervical spine and are strongly linked to chronic occupational neck pain.</w:t>
            </w:r>
          </w:p>
          <w:p>
            <w:pPr>
              <w:spacing w:after="40" w:before="60" w:line="259" w:lineRule="auto"/>
            </w:pPr>
            <w:r>
              <w:rPr>
                <w:rFonts w:ascii="Calibri" w:hAnsi="Calibri"/>
                <w:b w:val="0"/>
                <w:i w:val="0"/>
                <w:color w:val="212121"/>
                <w:sz w:val="19"/>
              </w:rPr>
              <w:t>In the Indian occupational meta-analysis, healthcare workers had about 47% and artisans/textile workers 49-59% prevalence of work-related neck pain, driven by prolonged static and awkward postures.</w:t>
            </w:r>
          </w:p>
          <w:p>
            <w:pPr>
              <w:spacing w:after="40" w:line="252" w:lineRule="auto"/>
            </w:pPr>
            <w:hyperlink r:id="rId12">
              <w:r>
                <w:rPr>
                  <w:rFonts w:ascii="Calibri" w:hAnsi="Calibri" w:cs="Calibri"/>
                  <w:sz w:val="18"/>
                  <w:color w:val="1155CC"/>
                  <w:u w:val="single"/>
                </w:rPr>
                <w:t xml:space="preserve">academic.oup.com (J Occup Health) - occupational neck pain, India</w:t>
              </w:r>
            </w:hyperlink>
          </w:p>
          <w:p>
            <w:pPr>
              <w:spacing w:before="60" w:after="40"/>
            </w:pPr>
            <w:r>
              <w:rPr>
                <w:rFonts w:ascii="Calibri" w:hAnsi="Calibri"/>
                <w:b w:val="0"/>
                <w:i w:val="0"/>
                <w:color w:val="5A5A5A"/>
                <w:sz w:val="18"/>
              </w:rPr>
              <w:t>#staticposture  #dentists  #tailors  #healthcareworkers  #occupationalneckpain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and tobacco users</w:t>
            </w:r>
          </w:p>
        </w:tc>
        <w:tc>
          <w:tcPr>
            <w:tcW w:type="dxa" w:w="4276"/>
            <w:vAlign w:val="top"/>
          </w:tcPr>
          <w:p>
            <w:pPr>
              <w:spacing w:after="60" w:line="259" w:lineRule="auto"/>
            </w:pPr>
            <w:r>
              <w:rPr>
                <w:rFonts w:ascii="Calibri" w:hAnsi="Calibri"/>
                <w:b w:val="0"/>
                <w:i w:val="0"/>
                <w:color w:val="212121"/>
                <w:sz w:val="19"/>
              </w:rPr>
              <w:t>Smoking compromises the microcirculation supplying the avascular intervertebral disc, impairs disc nutrition and heightens pain sensitivity, accelerating cervical disc degeneration and increasing both the incidence and chronicity of neck pain.</w:t>
            </w:r>
          </w:p>
          <w:p>
            <w:pPr>
              <w:spacing w:after="40" w:before="60" w:line="259" w:lineRule="auto"/>
            </w:pPr>
            <w:r>
              <w:rPr>
                <w:rFonts w:ascii="Calibri" w:hAnsi="Calibri"/>
                <w:b w:val="0"/>
                <w:i w:val="0"/>
                <w:color w:val="212121"/>
                <w:sz w:val="19"/>
              </w:rPr>
              <w:t>Smoking is a recognised, modifiable risk factor for cervical spondylosis, listed among the key contributors to accelerated cervical disc degeneration.</w:t>
            </w:r>
          </w:p>
          <w:p>
            <w:pPr>
              <w:spacing w:after="40" w:line="252" w:lineRule="auto"/>
            </w:pPr>
            <w:hyperlink r:id="rId10">
              <w:r>
                <w:rPr>
                  <w:rFonts w:ascii="Calibri" w:hAnsi="Calibri" w:cs="Calibri"/>
                  <w:sz w:val="18"/>
                  <w:color w:val="1155CC"/>
                  <w:u w:val="single"/>
                </w:rPr>
                <w:t xml:space="preserve">ncbi.nlm.nih.gov - StatPearls (smoking &amp; cervical spondylosis)</w:t>
              </w:r>
            </w:hyperlink>
          </w:p>
          <w:p>
            <w:pPr>
              <w:spacing w:before="60" w:after="40"/>
            </w:pPr>
            <w:r>
              <w:rPr>
                <w:rFonts w:ascii="Calibri" w:hAnsi="Calibri"/>
                <w:b w:val="0"/>
                <w:i w:val="0"/>
                <w:color w:val="5A5A5A"/>
                <w:sz w:val="18"/>
              </w:rPr>
              <w:t>#smoking  #tobacco  #discnutrition  #discdegeneration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Evidence linking alcohol directly to neck pain is weak and inconsistent, but heavy use is associated with poorer pain coping, deconditioning, falls, disturbed sleep and osteoporosis, and can complicate analgesic and muscle-relaxant use in chronic neck pain.</w:t>
            </w:r>
          </w:p>
          <w:p>
            <w:pPr>
              <w:spacing w:after="40" w:before="60" w:line="259" w:lineRule="auto"/>
            </w:pPr>
            <w:r>
              <w:rPr>
                <w:rFonts w:ascii="Calibri" w:hAnsi="Calibri"/>
                <w:b w:val="0"/>
                <w:i w:val="0"/>
                <w:color w:val="212121"/>
                <w:sz w:val="19"/>
              </w:rPr>
              <w:t>Any independent effect of alcohol on neck pain appears small; heavy drinking is best viewed as a general health, sleep and recovery risk rather than a primary cause.</w:t>
            </w:r>
          </w:p>
          <w:p>
            <w:pPr>
              <w:spacing w:before="60" w:after="40"/>
            </w:pPr>
            <w:r>
              <w:rPr>
                <w:rFonts w:ascii="Calibri" w:hAnsi="Calibri"/>
                <w:b w:val="0"/>
                <w:i w:val="0"/>
                <w:color w:val="5A5A5A"/>
                <w:sz w:val="18"/>
              </w:rPr>
              <w:t>#alcohol  #heavydrinking  #deconditioning  #painmanagement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&gt;= 23)</w:t>
            </w:r>
          </w:p>
        </w:tc>
        <w:tc>
          <w:tcPr>
            <w:tcW w:type="dxa" w:w="4276"/>
            <w:vAlign w:val="top"/>
          </w:tcPr>
          <w:p>
            <w:pPr>
              <w:spacing w:after="60" w:line="259" w:lineRule="auto"/>
            </w:pPr>
            <w:r>
              <w:rPr>
                <w:rFonts w:ascii="Calibri" w:hAnsi="Calibri"/>
                <w:b w:val="0"/>
                <w:i w:val="0"/>
                <w:color w:val="212121"/>
                <w:sz w:val="19"/>
              </w:rPr>
              <w:t>Excess body weight increases mechanical load on the cervical spine and is accompanied by reduced fitness and weaker postural muscles, modestly raising the risk and persistence of neck pain; Asian-Indian overweight begins at a BMI of 23.</w:t>
            </w:r>
          </w:p>
          <w:p>
            <w:pPr>
              <w:spacing w:after="40" w:before="60" w:line="259" w:lineRule="auto"/>
            </w:pPr>
            <w:r>
              <w:rPr>
                <w:rFonts w:ascii="Calibri" w:hAnsi="Calibri"/>
                <w:b w:val="0"/>
                <w:i w:val="0"/>
                <w:color w:val="212121"/>
                <w:sz w:val="19"/>
              </w:rPr>
              <w:t>Higher body-mass index is associated with an increased risk of neck and shoulder pain; overweight sits intermediate between normal weight and obesity for chronic neck/shoulder pain.</w:t>
            </w:r>
          </w:p>
          <w:p>
            <w:pPr>
              <w:spacing w:before="60" w:after="40"/>
            </w:pPr>
            <w:r>
              <w:rPr>
                <w:rFonts w:ascii="Calibri" w:hAnsi="Calibri"/>
                <w:b w:val="0"/>
                <w:i w:val="0"/>
                <w:color w:val="5A5A5A"/>
                <w:sz w:val="18"/>
              </w:rPr>
              <w:t>#overweight  #asianBMI  #spinalload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central obesity</w:t>
            </w:r>
          </w:p>
        </w:tc>
        <w:tc>
          <w:tcPr>
            <w:tcW w:type="dxa" w:w="4276"/>
            <w:vAlign w:val="top"/>
          </w:tcPr>
          <w:p>
            <w:pPr>
              <w:spacing w:after="60" w:line="259" w:lineRule="auto"/>
            </w:pPr>
            <w:r>
              <w:rPr>
                <w:rFonts w:ascii="Calibri" w:hAnsi="Calibri"/>
                <w:b w:val="0"/>
                <w:i w:val="0"/>
                <w:color w:val="212121"/>
                <w:sz w:val="19"/>
              </w:rPr>
              <w:t>Obesity, especially central adiposity, adds mechanical load, alters posture and neck alignment, and contributes low-grade systemic inflammation, all of which raise the odds of chronic and care-seeking neck pain.</w:t>
            </w:r>
          </w:p>
          <w:p>
            <w:pPr>
              <w:spacing w:after="40" w:before="60" w:line="259" w:lineRule="auto"/>
            </w:pPr>
            <w:r>
              <w:rPr>
                <w:rFonts w:ascii="Calibri" w:hAnsi="Calibri"/>
                <w:b w:val="0"/>
                <w:i w:val="0"/>
                <w:color w:val="212121"/>
                <w:sz w:val="19"/>
              </w:rPr>
              <w:t>Obesity is listed among the contributing risk factors for cervical spondylosis and is associated with higher odds of chronic neck/shoulder pain.</w:t>
            </w:r>
          </w:p>
          <w:p>
            <w:pPr>
              <w:spacing w:after="40" w:line="252" w:lineRule="auto"/>
            </w:pPr>
            <w:hyperlink r:id="rId10">
              <w:r>
                <w:rPr>
                  <w:rFonts w:ascii="Calibri" w:hAnsi="Calibri" w:cs="Calibri"/>
                  <w:sz w:val="18"/>
                  <w:color w:val="1155CC"/>
                  <w:u w:val="single"/>
                </w:rPr>
                <w:t xml:space="preserve">ncbi.nlm.nih.gov - StatPearls (obesity &amp; cervical spondylosis)</w:t>
              </w:r>
            </w:hyperlink>
          </w:p>
          <w:p>
            <w:pPr>
              <w:spacing w:before="60" w:after="40"/>
            </w:pPr>
            <w:r>
              <w:rPr>
                <w:rFonts w:ascii="Calibri" w:hAnsi="Calibri"/>
                <w:b w:val="0"/>
                <w:i w:val="0"/>
                <w:color w:val="5A5A5A"/>
                <w:sz w:val="18"/>
              </w:rPr>
              <w:t>#obesity  #centraladiposity  #chronicneckpain  #inflammation  #mechanicalload</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 vitamin-D / low-calcium intake, limited sun exposure</w:t>
            </w:r>
          </w:p>
        </w:tc>
        <w:tc>
          <w:tcPr>
            <w:tcW w:type="dxa" w:w="4276"/>
            <w:vAlign w:val="top"/>
          </w:tcPr>
          <w:p>
            <w:pPr>
              <w:spacing w:after="60" w:line="259" w:lineRule="auto"/>
            </w:pPr>
            <w:r>
              <w:rPr>
                <w:rFonts w:ascii="Calibri" w:hAnsi="Calibri"/>
                <w:b w:val="0"/>
                <w:i w:val="0"/>
                <w:color w:val="212121"/>
                <w:sz w:val="19"/>
              </w:rPr>
              <w:t>Vitamin D and calcium insufficiency - very common in India despite abundant sunshine - contributes to diffuse musculoskeletal pain, low bone density and osteoporotic vertebral change, and may aggravate chronic neck and paraspinal muscle pain.</w:t>
            </w:r>
          </w:p>
          <w:p>
            <w:pPr>
              <w:spacing w:after="40" w:before="60" w:line="259" w:lineRule="auto"/>
            </w:pPr>
            <w:r>
              <w:rPr>
                <w:rFonts w:ascii="Calibri" w:hAnsi="Calibri"/>
                <w:b w:val="0"/>
                <w:i w:val="0"/>
                <w:color w:val="212121"/>
                <w:sz w:val="19"/>
              </w:rPr>
              <w:t>Vitamin D deficiency is highly prevalent across Indian populations and is associated with non-specific musculoskeletal pain and reduced bone density.</w:t>
            </w:r>
          </w:p>
          <w:p>
            <w:pPr>
              <w:spacing w:before="60" w:after="40"/>
            </w:pPr>
            <w:r>
              <w:rPr>
                <w:rFonts w:ascii="Calibri" w:hAnsi="Calibri"/>
                <w:b w:val="0"/>
                <w:i w:val="0"/>
                <w:color w:val="5A5A5A"/>
                <w:sz w:val="18"/>
              </w:rPr>
              <w:t>#vitaminD  #calcium  #bonehealth  #Indiadeficiency  #musculoskeletalpain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cervical disc degeneration / early spondylosis</w:t>
            </w:r>
          </w:p>
        </w:tc>
        <w:tc>
          <w:tcPr>
            <w:tcW w:type="dxa" w:w="4276"/>
            <w:vAlign w:val="top"/>
          </w:tcPr>
          <w:p>
            <w:pPr>
              <w:spacing w:after="60" w:line="259" w:lineRule="auto"/>
            </w:pPr>
            <w:r>
              <w:rPr>
                <w:rFonts w:ascii="Calibri" w:hAnsi="Calibri"/>
                <w:b w:val="0"/>
                <w:i w:val="0"/>
                <w:color w:val="212121"/>
                <w:sz w:val="19"/>
              </w:rPr>
              <w:t>Susceptibility to intervertebral disc degeneration is substantially heritable, so a family history of early neck trouble or disc disease raises individual risk of cervical spondylosis and radiculopathy.</w:t>
            </w:r>
          </w:p>
          <w:p>
            <w:pPr>
              <w:spacing w:after="40" w:before="60" w:line="259" w:lineRule="auto"/>
            </w:pPr>
            <w:r>
              <w:rPr>
                <w:rFonts w:ascii="Calibri" w:hAnsi="Calibri"/>
                <w:b w:val="0"/>
                <w:i w:val="0"/>
                <w:color w:val="212121"/>
                <w:sz w:val="19"/>
              </w:rPr>
              <w:t>Genetic susceptibility is listed among the recognised contributing factors to cervical spondylosis and disc degeneration.</w:t>
            </w:r>
          </w:p>
          <w:p>
            <w:pPr>
              <w:spacing w:after="40" w:line="252" w:lineRule="auto"/>
            </w:pPr>
            <w:hyperlink r:id="rId10">
              <w:r>
                <w:rPr>
                  <w:rFonts w:ascii="Calibri" w:hAnsi="Calibri" w:cs="Calibri"/>
                  <w:sz w:val="18"/>
                  <w:color w:val="1155CC"/>
                  <w:u w:val="single"/>
                </w:rPr>
                <w:t xml:space="preserve">ncbi.nlm.nih.gov - StatPearls (genetic susceptibility)</w:t>
              </w:r>
            </w:hyperlink>
          </w:p>
          <w:p>
            <w:pPr>
              <w:spacing w:before="60" w:after="40"/>
            </w:pPr>
            <w:r>
              <w:rPr>
                <w:rFonts w:ascii="Calibri" w:hAnsi="Calibri"/>
                <w:b w:val="0"/>
                <w:i w:val="0"/>
                <w:color w:val="5A5A5A"/>
                <w:sz w:val="18"/>
              </w:rPr>
              <w:t>#genetics  #heritability  #discdegeneration  #familyhistory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Cervical radiculopathy</w:t>
            </w:r>
          </w:p>
        </w:tc>
        <w:tc>
          <w:tcPr>
            <w:tcW w:type="dxa" w:w="2160"/>
            <w:vAlign w:val="top"/>
          </w:tcPr>
          <w:p>
            <w:pPr>
              <w:spacing w:after="40" w:before="0" w:line="259" w:lineRule="auto"/>
            </w:pPr>
            <w:r>
              <w:rPr>
                <w:rFonts w:ascii="Calibri" w:hAnsi="Calibri"/>
                <w:b w:val="0"/>
                <w:i w:val="0"/>
                <w:color w:val="212121"/>
                <w:sz w:val="19"/>
              </w:rPr>
              <w:t>Patients with nerve-root compression (brachialgia)</w:t>
            </w:r>
          </w:p>
        </w:tc>
        <w:tc>
          <w:tcPr>
            <w:tcW w:type="dxa" w:w="4276"/>
            <w:vAlign w:val="top"/>
          </w:tcPr>
          <w:p>
            <w:pPr>
              <w:spacing w:after="60" w:line="259" w:lineRule="auto"/>
            </w:pPr>
            <w:r>
              <w:rPr>
                <w:rFonts w:ascii="Calibri" w:hAnsi="Calibri"/>
                <w:b w:val="0"/>
                <w:i w:val="0"/>
                <w:color w:val="212121"/>
                <w:sz w:val="19"/>
              </w:rPr>
              <w:t>Spondylotic foraminal narrowing or a herniated cervical disc compresses a nerve root, causing dermatomal arm pain, paraesthesia and weakness. It overlaps with mechanical neck pain and is a common structural cause of arm pain in adults, most often at C6-C7 and C5-C6.</w:t>
            </w:r>
          </w:p>
          <w:p>
            <w:pPr>
              <w:spacing w:after="40" w:before="60" w:line="259" w:lineRule="auto"/>
            </w:pPr>
            <w:r>
              <w:rPr>
                <w:rFonts w:ascii="Calibri" w:hAnsi="Calibri"/>
                <w:b w:val="0"/>
                <w:i w:val="0"/>
                <w:color w:val="212121"/>
                <w:sz w:val="19"/>
              </w:rPr>
              <w:t>Spurling's test is about 95% sensitive and 94% specific for cervical radiculopathy; most cases resolve within 1-2 years without surgery, though 50-75% recur within 1-5 years.</w:t>
            </w:r>
          </w:p>
          <w:p>
            <w:pPr>
              <w:spacing w:after="40" w:line="252" w:lineRule="auto"/>
            </w:pPr>
            <w:hyperlink r:id="rId10">
              <w:r>
                <w:rPr>
                  <w:rFonts w:ascii="Calibri" w:hAnsi="Calibri" w:cs="Calibri"/>
                  <w:sz w:val="18"/>
                  <w:color w:val="1155CC"/>
                  <w:u w:val="single"/>
                </w:rPr>
                <w:t xml:space="preserve">ncbi.nlm.nih.gov - StatPearls (cervical radiculopathy)</w:t>
              </w:r>
            </w:hyperlink>
          </w:p>
          <w:p>
            <w:pPr>
              <w:spacing w:before="60" w:after="40"/>
            </w:pPr>
            <w:r>
              <w:rPr>
                <w:rFonts w:ascii="Calibri" w:hAnsi="Calibri"/>
                <w:b w:val="0"/>
                <w:i w:val="0"/>
                <w:color w:val="5A5A5A"/>
                <w:sz w:val="18"/>
              </w:rPr>
              <w:t>#radiculopathy  #brachialgia  #C6C7  #discherniation  #Spurling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Cervical spondylotic myelopathy</w:t>
            </w:r>
          </w:p>
        </w:tc>
        <w:tc>
          <w:tcPr>
            <w:tcW w:type="dxa" w:w="2160"/>
            <w:vAlign w:val="top"/>
          </w:tcPr>
          <w:p>
            <w:pPr>
              <w:spacing w:after="40" w:before="0" w:line="259" w:lineRule="auto"/>
            </w:pPr>
            <w:r>
              <w:rPr>
                <w:rFonts w:ascii="Calibri" w:hAnsi="Calibri"/>
                <w:b w:val="0"/>
                <w:i w:val="0"/>
                <w:color w:val="212121"/>
                <w:sz w:val="19"/>
              </w:rPr>
              <w:t>Older adults with cord compression</w:t>
            </w:r>
          </w:p>
        </w:tc>
        <w:tc>
          <w:tcPr>
            <w:tcW w:type="dxa" w:w="4276"/>
            <w:vAlign w:val="top"/>
          </w:tcPr>
          <w:p>
            <w:pPr>
              <w:spacing w:after="60" w:line="259" w:lineRule="auto"/>
            </w:pPr>
            <w:r>
              <w:rPr>
                <w:rFonts w:ascii="Calibri" w:hAnsi="Calibri"/>
                <w:b w:val="0"/>
                <w:i w:val="0"/>
                <w:color w:val="212121"/>
                <w:sz w:val="19"/>
              </w:rPr>
              <w:t>Advanced cervical spondylosis narrowing the spinal canal compresses the cord, producing cervical spondylotic myelopathy - often painless, with insidious hand clumsiness, gait imbalance and long-tract signs; it is the leading cause of spinal-cord dysfunction in older adults and can cause permanent disability if untreated.</w:t>
            </w:r>
          </w:p>
          <w:p>
            <w:pPr>
              <w:spacing w:after="40" w:before="60" w:line="259" w:lineRule="auto"/>
            </w:pPr>
            <w:r>
              <w:rPr>
                <w:rFonts w:ascii="Calibri" w:hAnsi="Calibri"/>
                <w:b w:val="0"/>
                <w:i w:val="0"/>
                <w:color w:val="212121"/>
                <w:sz w:val="19"/>
              </w:rPr>
              <w:t>Cervical spondylotic myelopathy is the most common cause of spinal-cord dysfunction in adults over the age of 55.</w:t>
            </w:r>
          </w:p>
          <w:p>
            <w:pPr>
              <w:spacing w:after="40" w:line="252" w:lineRule="auto"/>
            </w:pPr>
            <w:hyperlink r:id="rId10">
              <w:r>
                <w:rPr>
                  <w:rFonts w:ascii="Calibri" w:hAnsi="Calibri" w:cs="Calibri"/>
                  <w:sz w:val="18"/>
                  <w:color w:val="1155CC"/>
                  <w:u w:val="single"/>
                </w:rPr>
                <w:t xml:space="preserve">ncbi.nlm.nih.gov - StatPearls (cervical myelopathy)</w:t>
              </w:r>
            </w:hyperlink>
          </w:p>
          <w:p>
            <w:pPr>
              <w:spacing w:before="60" w:after="40"/>
            </w:pPr>
            <w:r>
              <w:rPr>
                <w:rFonts w:ascii="Calibri" w:hAnsi="Calibri"/>
                <w:b w:val="0"/>
                <w:i w:val="0"/>
                <w:color w:val="5A5A5A"/>
                <w:sz w:val="18"/>
              </w:rPr>
              <w:t>#myelopathy  #cordcompression  #Hoffmann  #gaitimbalance  #neurosurgical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Patients with psychological distress ('yellow flags')</w:t>
            </w:r>
          </w:p>
        </w:tc>
        <w:tc>
          <w:tcPr>
            <w:tcW w:type="dxa" w:w="4276"/>
            <w:vAlign w:val="top"/>
          </w:tcPr>
          <w:p>
            <w:pPr>
              <w:spacing w:after="60" w:line="259" w:lineRule="auto"/>
            </w:pPr>
            <w:r>
              <w:rPr>
                <w:rFonts w:ascii="Calibri" w:hAnsi="Calibri"/>
                <w:b w:val="0"/>
                <w:i w:val="0"/>
                <w:color w:val="212121"/>
                <w:sz w:val="19"/>
              </w:rPr>
              <w:t>Depression, anxiety, fear-avoidance and high job strain do not usually start neck pain but are powerful predictors of its transition to chronic, disabling pain and of poorer treatment response, and chronic neck pain in turn worsens mood in a bidirectional loop.</w:t>
            </w:r>
          </w:p>
          <w:p>
            <w:pPr>
              <w:spacing w:after="40" w:before="60" w:line="259" w:lineRule="auto"/>
            </w:pPr>
            <w:r>
              <w:rPr>
                <w:rFonts w:ascii="Calibri" w:hAnsi="Calibri"/>
                <w:b w:val="0"/>
                <w:i w:val="0"/>
                <w:color w:val="212121"/>
                <w:sz w:val="19"/>
              </w:rPr>
              <w:t>In a study of 80 patients with chronic neck pain, 68.4% had anxiety and 55.7% had depression, with functional disability independently associated with anxiety.</w:t>
            </w:r>
          </w:p>
          <w:p>
            <w:pPr>
              <w:spacing w:after="40" w:line="252" w:lineRule="auto"/>
            </w:pPr>
            <w:hyperlink r:id="rId16">
              <w:r>
                <w:rPr>
                  <w:rFonts w:ascii="Calibri" w:hAnsi="Calibri" w:cs="Calibri"/>
                  <w:sz w:val="18"/>
                  <w:color w:val="1155CC"/>
                  <w:u w:val="single"/>
                </w:rPr>
                <w:t xml:space="preserve">panafrican-med-journal.com - anxiety &amp; depression in chronic neck pain</w:t>
              </w:r>
            </w:hyperlink>
          </w:p>
          <w:p>
            <w:pPr>
              <w:spacing w:before="60" w:after="40"/>
            </w:pPr>
            <w:r>
              <w:rPr>
                <w:rFonts w:ascii="Calibri" w:hAnsi="Calibri"/>
                <w:b w:val="0"/>
                <w:i w:val="0"/>
                <w:color w:val="5A5A5A"/>
                <w:sz w:val="18"/>
              </w:rPr>
              <w:t>#yellowflags  #depression  #anxiety  #chronicity  #biopsychosocial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Cervicogenic headache / migraine</w:t>
            </w:r>
          </w:p>
        </w:tc>
        <w:tc>
          <w:tcPr>
            <w:tcW w:type="dxa" w:w="2160"/>
            <w:vAlign w:val="top"/>
          </w:tcPr>
          <w:p>
            <w:pPr>
              <w:spacing w:after="40" w:before="0" w:line="259" w:lineRule="auto"/>
            </w:pPr>
            <w:r>
              <w:rPr>
                <w:rFonts w:ascii="Calibri" w:hAnsi="Calibri"/>
                <w:b w:val="0"/>
                <w:i w:val="0"/>
                <w:color w:val="212121"/>
                <w:sz w:val="19"/>
              </w:rPr>
              <w:t>Patients with headache arising from the neck</w:t>
            </w:r>
          </w:p>
        </w:tc>
        <w:tc>
          <w:tcPr>
            <w:tcW w:type="dxa" w:w="4276"/>
            <w:vAlign w:val="top"/>
          </w:tcPr>
          <w:p>
            <w:pPr>
              <w:spacing w:after="60" w:line="259" w:lineRule="auto"/>
            </w:pPr>
            <w:r>
              <w:rPr>
                <w:rFonts w:ascii="Calibri" w:hAnsi="Calibri"/>
                <w:b w:val="0"/>
                <w:i w:val="0"/>
                <w:color w:val="212121"/>
                <w:sz w:val="19"/>
              </w:rPr>
              <w:t>Degeneration and dysfunction of the upper cervical joints (C0-C3) and muscles can refer pain to the occiput and head, producing cervicogenic headache, and neck pain frequently coexists with and aggravates tension-type headache and migraine.</w:t>
            </w:r>
          </w:p>
          <w:p>
            <w:pPr>
              <w:spacing w:after="40" w:before="60" w:line="259" w:lineRule="auto"/>
            </w:pPr>
            <w:r>
              <w:rPr>
                <w:rFonts w:ascii="Calibri" w:hAnsi="Calibri"/>
                <w:b w:val="0"/>
                <w:i w:val="0"/>
                <w:color w:val="212121"/>
                <w:sz w:val="19"/>
              </w:rPr>
              <w:t>Cervicogenic headache and neck-related occipital pain are recognised consequences of upper cervical spondylosis and mechanical neck dysfunction.</w:t>
            </w:r>
          </w:p>
          <w:p>
            <w:pPr>
              <w:spacing w:before="60" w:after="40"/>
            </w:pPr>
            <w:r>
              <w:rPr>
                <w:rFonts w:ascii="Calibri" w:hAnsi="Calibri"/>
                <w:b w:val="0"/>
                <w:i w:val="0"/>
                <w:color w:val="5A5A5A"/>
                <w:sz w:val="18"/>
              </w:rPr>
              <w:t>#cervicogenicheadache  #occipitalpain  #migraine  #upperCervical  #referredpain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Osteoporosis</w:t>
            </w:r>
          </w:p>
        </w:tc>
        <w:tc>
          <w:tcPr>
            <w:tcW w:type="dxa" w:w="2160"/>
            <w:vAlign w:val="top"/>
          </w:tcPr>
          <w:p>
            <w:pPr>
              <w:spacing w:after="40" w:before="0" w:line="259" w:lineRule="auto"/>
            </w:pPr>
            <w:r>
              <w:rPr>
                <w:rFonts w:ascii="Calibri" w:hAnsi="Calibri"/>
                <w:b w:val="0"/>
                <w:i w:val="0"/>
                <w:color w:val="212121"/>
                <w:sz w:val="19"/>
              </w:rPr>
              <w:t>Post-menopausal women and elderly with low bone density</w:t>
            </w:r>
          </w:p>
        </w:tc>
        <w:tc>
          <w:tcPr>
            <w:tcW w:type="dxa" w:w="4276"/>
            <w:vAlign w:val="top"/>
          </w:tcPr>
          <w:p>
            <w:pPr>
              <w:spacing w:after="60" w:line="259" w:lineRule="auto"/>
            </w:pPr>
            <w:r>
              <w:rPr>
                <w:rFonts w:ascii="Calibri" w:hAnsi="Calibri"/>
                <w:b w:val="0"/>
                <w:i w:val="0"/>
                <w:color w:val="212121"/>
                <w:sz w:val="19"/>
              </w:rPr>
              <w:t>Osteoporosis predisposes to vertebral fragility change and, rarely, cervical compression fracture, and coexists with degenerative neck disease in older adults, adding to pain, deformity and fracture risk after minor trauma.</w:t>
            </w:r>
          </w:p>
          <w:p>
            <w:pPr>
              <w:spacing w:after="40" w:before="60" w:line="259" w:lineRule="auto"/>
            </w:pPr>
            <w:r>
              <w:rPr>
                <w:rFonts w:ascii="Calibri" w:hAnsi="Calibri"/>
                <w:b w:val="0"/>
                <w:i w:val="0"/>
                <w:color w:val="212121"/>
                <w:sz w:val="19"/>
              </w:rPr>
              <w:t>Osteoporosis and older age are recognised risk contributors for degenerative and fragility-related cervical spine disease.</w:t>
            </w:r>
          </w:p>
          <w:p>
            <w:pPr>
              <w:spacing w:before="60" w:after="40"/>
            </w:pPr>
            <w:r>
              <w:rPr>
                <w:rFonts w:ascii="Calibri" w:hAnsi="Calibri"/>
                <w:b w:val="0"/>
                <w:i w:val="0"/>
                <w:color w:val="5A5A5A"/>
                <w:sz w:val="18"/>
              </w:rPr>
              <w:t>#osteoporosis  #fragility  #postmenopausal  #elderly  #bonehealth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extremes matter: physical inactivity and deconditioning of the deep-neck and scapular muscles predispose to neck pain, while sustained static or heavy postural loading overloads the cervical spine. Cervico-scapulothoracic strengthening reduces chronic neck pain and recurrence (Cochrane).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mainly through body weight (higher BMI raises neck/shoulder pain) and through vitamin-D and calcium status affecting bone and muscle health; there is no specific 'neck-pain diet'.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and short sleep have a bidirectional relationship with neck pain - pain disturbs sleep and poor sleep lowers pain thresholds; an unsupportive pillow or awkward sleeping posture is a common trigger of acute wry-neck and morning stiffness.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disc microcirculation and nutrition and heightens pain sensitivity, accelerating cervical disc degeneration and increasing chronic neck pain; it is a recognised modifiable risk factor for cervical spondylosis.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for an independent effect of alcohol on neck pain is weak and inconsistent; heavy use is relevant mainly to disturbed sleep, poor coping, falls and osteoporosis.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distress, fear-avoidance and job strain ('yellow flags') are among the strongest predictors of progression to chronic, disabling neck pain and coexist with it at high rates (anxiety ~68%, depression ~56% in chronic neck pain).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Sudden or awkward neck movements, whiplash from road-traffic collisions or falls, heavy or head-load carrying, sleeping in an awkward position and prolonged sustained postures are the classic mechanical triggers of acute neck pain and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forward-head and flexed 'text-neck' posture over screens and phones, and prolonged static desk or precision work, sustain cervical paraspinal loading and are leading drivers of non-specific mechanical neck pain; frequent position change is protective.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Higher BMI increases cervical load and neck/shoulder pain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aerobic activity (minutes/week)</w:t>
            </w:r>
          </w:p>
        </w:tc>
        <w:tc>
          <w:tcPr>
            <w:tcW w:type="dxa" w:w="1655"/>
            <w:vAlign w:val="top"/>
          </w:tcPr>
          <w:p>
            <w:pPr>
              <w:spacing w:after="40" w:before="0" w:line="259" w:lineRule="auto"/>
            </w:pPr>
            <w:r>
              <w:rPr>
                <w:rFonts w:ascii="Calibri" w:hAnsi="Calibri"/>
                <w:b w:val="0"/>
                <w:i w:val="0"/>
                <w:color w:val="212121"/>
                <w:sz w:val="19"/>
              </w:rPr>
              <w:t>Adults, sedentary workers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Inactivity deconditions postural muscles; activity lowers recurrence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Neck / scapular strengthening (sessions/week)</w:t>
            </w:r>
          </w:p>
        </w:tc>
        <w:tc>
          <w:tcPr>
            <w:tcW w:type="dxa" w:w="1655"/>
            <w:vAlign w:val="top"/>
          </w:tcPr>
          <w:p>
            <w:pPr>
              <w:spacing w:after="40" w:before="0" w:line="259" w:lineRule="auto"/>
            </w:pPr>
            <w:r>
              <w:rPr>
                <w:rFonts w:ascii="Calibri" w:hAnsi="Calibri"/>
                <w:b w:val="0"/>
                <w:i w:val="0"/>
                <w:color w:val="212121"/>
                <w:sz w:val="19"/>
              </w:rPr>
              <w:t>Adults, chronic/recurrent neck pain</w:t>
            </w:r>
          </w:p>
        </w:tc>
        <w:tc>
          <w:tcPr>
            <w:tcW w:type="dxa" w:w="1512"/>
            <w:vAlign w:val="top"/>
          </w:tcPr>
          <w:p>
            <w:pPr>
              <w:spacing w:after="40" w:before="0" w:line="259" w:lineRule="auto"/>
            </w:pPr>
            <w:r>
              <w:rPr>
                <w:rFonts w:ascii="Calibri" w:hAnsi="Calibri"/>
                <w:b w:val="0"/>
                <w:i w:val="0"/>
                <w:color w:val="212121"/>
                <w:sz w:val="19"/>
              </w:rPr>
              <w:t>2-3 sessions/week</w:t>
            </w:r>
          </w:p>
        </w:tc>
        <w:tc>
          <w:tcPr>
            <w:tcW w:type="dxa" w:w="1512"/>
            <w:vAlign w:val="top"/>
          </w:tcPr>
          <w:p>
            <w:pPr>
              <w:spacing w:after="40" w:before="0" w:line="259" w:lineRule="auto"/>
            </w:pPr>
            <w:r>
              <w:rPr>
                <w:rFonts w:ascii="Calibri" w:hAnsi="Calibri"/>
                <w:b w:val="0"/>
                <w:i w:val="0"/>
                <w:color w:val="212121"/>
                <w:sz w:val="19"/>
              </w:rPr>
              <w:t>None</w:t>
            </w:r>
          </w:p>
        </w:tc>
        <w:tc>
          <w:tcPr>
            <w:tcW w:type="dxa" w:w="1468"/>
            <w:vAlign w:val="top"/>
          </w:tcPr>
          <w:p>
            <w:pPr>
              <w:spacing w:after="60" w:line="259" w:lineRule="auto"/>
            </w:pPr>
            <w:r>
              <w:rPr>
                <w:rFonts w:ascii="Calibri" w:hAnsi="Calibri"/>
                <w:b w:val="0"/>
                <w:i w:val="0"/>
                <w:color w:val="212121"/>
                <w:sz w:val="19"/>
              </w:rPr>
              <w:t>Cervico-scapulothoracic strengthening reduces chronic neck pain</w:t>
            </w:r>
          </w:p>
          <w:p>
            <w:pPr>
              <w:spacing w:after="40" w:line="252" w:lineRule="auto"/>
            </w:pPr>
            <w:hyperlink r:id="rId17">
              <w:r>
                <w:rPr>
                  <w:rFonts w:ascii="Calibri" w:hAnsi="Calibri" w:cs="Calibri"/>
                  <w:sz w:val="18"/>
                  <w:color w:val="1155CC"/>
                  <w:u w:val="single"/>
                </w:rPr>
                <w:t xml:space="preserve">https://www.cochrane.org/evidence/CD004250_exercise-neck-pain</w:t>
              </w:r>
            </w:hyperlink>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screen/desk time without a break (minutes)</w:t>
            </w:r>
          </w:p>
        </w:tc>
        <w:tc>
          <w:tcPr>
            <w:tcW w:type="dxa" w:w="1655"/>
            <w:vAlign w:val="top"/>
          </w:tcPr>
          <w:p>
            <w:pPr>
              <w:spacing w:after="40" w:before="0" w:line="259" w:lineRule="auto"/>
            </w:pPr>
            <w:r>
              <w:rPr>
                <w:rFonts w:ascii="Calibri" w:hAnsi="Calibri"/>
                <w:b w:val="0"/>
                <w:i w:val="0"/>
                <w:color w:val="212121"/>
                <w:sz w:val="19"/>
              </w:rPr>
              <w:t>IT/desk workers, students, drivers</w:t>
            </w:r>
          </w:p>
        </w:tc>
        <w:tc>
          <w:tcPr>
            <w:tcW w:type="dxa" w:w="1512"/>
            <w:vAlign w:val="top"/>
          </w:tcPr>
          <w:p>
            <w:pPr>
              <w:spacing w:after="40" w:before="0" w:line="259" w:lineRule="auto"/>
            </w:pPr>
            <w:r>
              <w:rPr>
                <w:rFonts w:ascii="Calibri" w:hAnsi="Calibri"/>
                <w:b w:val="0"/>
                <w:i w:val="0"/>
                <w:color w:val="212121"/>
                <w:sz w:val="19"/>
              </w:rPr>
              <w:t>&lt;= 30 min then move</w:t>
            </w:r>
          </w:p>
        </w:tc>
        <w:tc>
          <w:tcPr>
            <w:tcW w:type="dxa" w:w="1512"/>
            <w:vAlign w:val="top"/>
          </w:tcPr>
          <w:p>
            <w:pPr>
              <w:spacing w:after="40" w:before="0" w:line="259" w:lineRule="auto"/>
            </w:pPr>
            <w:r>
              <w:rPr>
                <w:rFonts w:ascii="Calibri" w:hAnsi="Calibri"/>
                <w:b w:val="0"/>
                <w:i w:val="0"/>
                <w:color w:val="212121"/>
                <w:sz w:val="19"/>
              </w:rPr>
              <w:t>&gt; 60 min uninterrupted</w:t>
            </w:r>
          </w:p>
        </w:tc>
        <w:tc>
          <w:tcPr>
            <w:tcW w:type="dxa" w:w="1468"/>
            <w:vAlign w:val="top"/>
          </w:tcPr>
          <w:p>
            <w:pPr>
              <w:spacing w:after="60" w:line="259" w:lineRule="auto"/>
            </w:pPr>
            <w:r>
              <w:rPr>
                <w:rFonts w:ascii="Calibri" w:hAnsi="Calibri"/>
                <w:b w:val="0"/>
                <w:i w:val="0"/>
                <w:color w:val="212121"/>
                <w:sz w:val="19"/>
              </w:rPr>
              <w:t>Break up sustained neck flexion; micro-breaks are protective</w:t>
            </w:r>
          </w:p>
          <w:p>
            <w:pPr>
              <w:spacing w:after="40" w:line="252" w:lineRule="auto"/>
            </w:pPr>
            <w:hyperlink r:id="rId15">
              <w:r>
                <w:rPr>
                  <w:rFonts w:ascii="Calibri" w:hAnsi="Calibri" w:cs="Calibri"/>
                  <w:sz w:val="18"/>
                  <w:color w:val="1155CC"/>
                  <w:u w:val="single"/>
                </w:rPr>
                <w:t xml:space="preserve">https://link.springer.com/article/10.1186/s12889-025-21685-9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daily screen / smartphone time (hours)</w:t>
            </w:r>
          </w:p>
        </w:tc>
        <w:tc>
          <w:tcPr>
            <w:tcW w:type="dxa" w:w="1655"/>
            <w:vAlign w:val="top"/>
          </w:tcPr>
          <w:p>
            <w:pPr>
              <w:spacing w:after="40" w:before="0" w:line="259" w:lineRule="auto"/>
            </w:pPr>
            <w:r>
              <w:rPr>
                <w:rFonts w:ascii="Calibri" w:hAnsi="Calibri"/>
                <w:b w:val="0"/>
                <w:i w:val="0"/>
                <w:color w:val="212121"/>
                <w:sz w:val="19"/>
              </w:rPr>
              <w:t>Students, office workers</w:t>
            </w:r>
          </w:p>
        </w:tc>
        <w:tc>
          <w:tcPr>
            <w:tcW w:type="dxa" w:w="1512"/>
            <w:vAlign w:val="top"/>
          </w:tcPr>
          <w:p>
            <w:pPr>
              <w:spacing w:after="40" w:before="0" w:line="259" w:lineRule="auto"/>
            </w:pPr>
            <w:r>
              <w:rPr>
                <w:rFonts w:ascii="Calibri" w:hAnsi="Calibri"/>
                <w:b w:val="0"/>
                <w:i w:val="0"/>
                <w:color w:val="212121"/>
                <w:sz w:val="19"/>
              </w:rPr>
              <w:t>Minimise; frequent breaks</w:t>
            </w:r>
          </w:p>
        </w:tc>
        <w:tc>
          <w:tcPr>
            <w:tcW w:type="dxa" w:w="1512"/>
            <w:vAlign w:val="top"/>
          </w:tcPr>
          <w:p>
            <w:pPr>
              <w:spacing w:after="40" w:before="0" w:line="259" w:lineRule="auto"/>
            </w:pPr>
            <w:r>
              <w:rPr>
                <w:rFonts w:ascii="Calibri" w:hAnsi="Calibri"/>
                <w:b w:val="0"/>
                <w:i w:val="0"/>
                <w:color w:val="212121"/>
                <w:sz w:val="19"/>
              </w:rPr>
              <w:t>&gt;= 4-6 h/day sustained flexion</w:t>
            </w:r>
          </w:p>
        </w:tc>
        <w:tc>
          <w:tcPr>
            <w:tcW w:type="dxa" w:w="1468"/>
            <w:vAlign w:val="top"/>
          </w:tcPr>
          <w:p>
            <w:pPr>
              <w:spacing w:after="60" w:line="259" w:lineRule="auto"/>
            </w:pPr>
            <w:r>
              <w:rPr>
                <w:rFonts w:ascii="Calibri" w:hAnsi="Calibri"/>
                <w:b w:val="0"/>
                <w:i w:val="0"/>
                <w:color w:val="212121"/>
                <w:sz w:val="19"/>
              </w:rPr>
              <w:t>Screen dose raises neck-pain odds (mobile OR ~1.82; &gt;=6 h/day OR ~1.88)</w:t>
            </w:r>
          </w:p>
          <w:p>
            <w:pPr>
              <w:spacing w:after="40" w:line="252" w:lineRule="auto"/>
            </w:pPr>
            <w:hyperlink r:id="rId15">
              <w:r>
                <w:rPr>
                  <w:rFonts w:ascii="Calibri" w:hAnsi="Calibri" w:cs="Calibri"/>
                  <w:sz w:val="18"/>
                  <w:color w:val="1155CC"/>
                  <w:u w:val="single"/>
                </w:rPr>
                <w:t xml:space="preserve">https://link.springer.com/article/10.1186/s12889-025-21685-9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Head/neck flexion angle over device</w:t>
            </w:r>
          </w:p>
        </w:tc>
        <w:tc>
          <w:tcPr>
            <w:tcW w:type="dxa" w:w="1655"/>
            <w:vAlign w:val="top"/>
          </w:tcPr>
          <w:p>
            <w:pPr>
              <w:spacing w:after="40" w:before="0" w:line="259" w:lineRule="auto"/>
            </w:pPr>
            <w:r>
              <w:rPr>
                <w:rFonts w:ascii="Calibri" w:hAnsi="Calibri"/>
                <w:b w:val="0"/>
                <w:i w:val="0"/>
                <w:color w:val="212121"/>
                <w:sz w:val="19"/>
              </w:rPr>
              <w:t>Smartphone and laptop users</w:t>
            </w:r>
          </w:p>
        </w:tc>
        <w:tc>
          <w:tcPr>
            <w:tcW w:type="dxa" w:w="1512"/>
            <w:vAlign w:val="top"/>
          </w:tcPr>
          <w:p>
            <w:pPr>
              <w:spacing w:after="40" w:before="0" w:line="259" w:lineRule="auto"/>
            </w:pPr>
            <w:r>
              <w:rPr>
                <w:rFonts w:ascii="Calibri" w:hAnsi="Calibri"/>
                <w:b w:val="0"/>
                <w:i w:val="0"/>
                <w:color w:val="212121"/>
                <w:sz w:val="19"/>
              </w:rPr>
              <w:t>Screen at eye level, neutral neck</w:t>
            </w:r>
          </w:p>
        </w:tc>
        <w:tc>
          <w:tcPr>
            <w:tcW w:type="dxa" w:w="1512"/>
            <w:vAlign w:val="top"/>
          </w:tcPr>
          <w:p>
            <w:pPr>
              <w:spacing w:after="40" w:before="0" w:line="259" w:lineRule="auto"/>
            </w:pPr>
            <w:r>
              <w:rPr>
                <w:rFonts w:ascii="Calibri" w:hAnsi="Calibri"/>
                <w:b w:val="0"/>
                <w:i w:val="0"/>
                <w:color w:val="212121"/>
                <w:sz w:val="19"/>
              </w:rPr>
              <w:t>Sustained forward-head flexion</w:t>
            </w:r>
          </w:p>
        </w:tc>
        <w:tc>
          <w:tcPr>
            <w:tcW w:type="dxa" w:w="1468"/>
            <w:vAlign w:val="top"/>
          </w:tcPr>
          <w:p>
            <w:pPr>
              <w:spacing w:after="40" w:before="0" w:line="259" w:lineRule="auto"/>
            </w:pPr>
            <w:r>
              <w:rPr>
                <w:rFonts w:ascii="Calibri" w:hAnsi="Calibri"/>
                <w:b w:val="0"/>
                <w:i w:val="0"/>
                <w:color w:val="212121"/>
                <w:sz w:val="19"/>
              </w:rPr>
              <w:t>Greater flexion multiplies effective head load on the neck</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Head-load / manual load carried</w:t>
            </w:r>
          </w:p>
        </w:tc>
        <w:tc>
          <w:tcPr>
            <w:tcW w:type="dxa" w:w="1655"/>
            <w:vAlign w:val="top"/>
          </w:tcPr>
          <w:p>
            <w:pPr>
              <w:spacing w:after="40" w:before="0" w:line="259" w:lineRule="auto"/>
            </w:pPr>
            <w:r>
              <w:rPr>
                <w:rFonts w:ascii="Calibri" w:hAnsi="Calibri"/>
                <w:b w:val="0"/>
                <w:i w:val="0"/>
                <w:color w:val="212121"/>
                <w:sz w:val="19"/>
              </w:rPr>
              <w:t>Rural workers, labourers, porters</w:t>
            </w:r>
          </w:p>
        </w:tc>
        <w:tc>
          <w:tcPr>
            <w:tcW w:type="dxa" w:w="1512"/>
            <w:vAlign w:val="top"/>
          </w:tcPr>
          <w:p>
            <w:pPr>
              <w:spacing w:after="40" w:before="0" w:line="259" w:lineRule="auto"/>
            </w:pPr>
            <w:r>
              <w:rPr>
                <w:rFonts w:ascii="Calibri" w:hAnsi="Calibri"/>
                <w:b w:val="0"/>
                <w:i w:val="0"/>
                <w:color w:val="212121"/>
                <w:sz w:val="19"/>
              </w:rPr>
              <w:t>Within safe limits, avoid head-loading</w:t>
            </w:r>
          </w:p>
        </w:tc>
        <w:tc>
          <w:tcPr>
            <w:tcW w:type="dxa" w:w="1512"/>
            <w:vAlign w:val="top"/>
          </w:tcPr>
          <w:p>
            <w:pPr>
              <w:spacing w:after="40" w:before="0" w:line="259" w:lineRule="auto"/>
            </w:pPr>
            <w:r>
              <w:rPr>
                <w:rFonts w:ascii="Calibri" w:hAnsi="Calibri"/>
                <w:b w:val="0"/>
                <w:i w:val="0"/>
                <w:color w:val="212121"/>
                <w:sz w:val="19"/>
              </w:rPr>
              <w:t>Repetitive heavy or head-borne loads</w:t>
            </w:r>
          </w:p>
        </w:tc>
        <w:tc>
          <w:tcPr>
            <w:tcW w:type="dxa" w:w="1468"/>
            <w:vAlign w:val="top"/>
          </w:tcPr>
          <w:p>
            <w:pPr>
              <w:spacing w:after="40" w:before="0" w:line="259" w:lineRule="auto"/>
            </w:pPr>
            <w:r>
              <w:rPr>
                <w:rFonts w:ascii="Calibri" w:hAnsi="Calibri"/>
                <w:b w:val="0"/>
                <w:i w:val="0"/>
                <w:color w:val="212121"/>
                <w:sz w:val="19"/>
              </w:rPr>
              <w:t>Axial cervical loading accelerates degeneration and triggers pain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Any smoking impairs disc nutrition and worsens degeneration</w:t>
            </w:r>
          </w:p>
          <w:p>
            <w:pPr>
              <w:spacing w:after="40" w:line="252" w:lineRule="auto"/>
            </w:pPr>
            <w:hyperlink r:id="rId10">
              <w:r>
                <w:rPr>
                  <w:rFonts w:ascii="Calibri" w:hAnsi="Calibri" w:cs="Calibri"/>
                  <w:sz w:val="18"/>
                  <w:color w:val="1155CC"/>
                  <w:u w:val="single"/>
                </w:rPr>
                <w:t xml:space="preserve">https://www.ncbi.nlm.nih.gov/books/NBK551557/</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and neck support</w:t>
            </w:r>
          </w:p>
        </w:tc>
        <w:tc>
          <w:tcPr>
            <w:tcW w:type="dxa" w:w="1655"/>
            <w:vAlign w:val="top"/>
          </w:tcPr>
          <w:p>
            <w:pPr>
              <w:spacing w:after="40" w:before="0" w:line="259" w:lineRule="auto"/>
            </w:pPr>
            <w:r>
              <w:rPr>
                <w:rFonts w:ascii="Calibri" w:hAnsi="Calibri"/>
                <w:b w:val="0"/>
                <w:i w:val="0"/>
                <w:color w:val="212121"/>
                <w:sz w:val="19"/>
              </w:rPr>
              <w:t>Adults, chronic neck pain</w:t>
            </w:r>
          </w:p>
        </w:tc>
        <w:tc>
          <w:tcPr>
            <w:tcW w:type="dxa" w:w="1512"/>
            <w:vAlign w:val="top"/>
          </w:tcPr>
          <w:p>
            <w:pPr>
              <w:spacing w:after="40" w:before="0" w:line="259" w:lineRule="auto"/>
            </w:pPr>
            <w:r>
              <w:rPr>
                <w:rFonts w:ascii="Calibri" w:hAnsi="Calibri"/>
                <w:b w:val="0"/>
                <w:i w:val="0"/>
                <w:color w:val="212121"/>
                <w:sz w:val="19"/>
              </w:rPr>
              <w:t>7-9 h; supportive pillow, neutral neck</w:t>
            </w:r>
          </w:p>
        </w:tc>
        <w:tc>
          <w:tcPr>
            <w:tcW w:type="dxa" w:w="1512"/>
            <w:vAlign w:val="top"/>
          </w:tcPr>
          <w:p>
            <w:pPr>
              <w:spacing w:after="40" w:before="0" w:line="259" w:lineRule="auto"/>
            </w:pPr>
            <w:r>
              <w:rPr>
                <w:rFonts w:ascii="Calibri" w:hAnsi="Calibri"/>
                <w:b w:val="0"/>
                <w:i w:val="0"/>
                <w:color w:val="212121"/>
                <w:sz w:val="19"/>
              </w:rPr>
              <w:t>&lt; 6 h or unsupportive/high pillow</w:t>
            </w:r>
          </w:p>
        </w:tc>
        <w:tc>
          <w:tcPr>
            <w:tcW w:type="dxa" w:w="1468"/>
            <w:vAlign w:val="top"/>
          </w:tcPr>
          <w:p>
            <w:pPr>
              <w:spacing w:after="40" w:before="0" w:line="259" w:lineRule="auto"/>
            </w:pPr>
            <w:r>
              <w:rPr>
                <w:rFonts w:ascii="Calibri" w:hAnsi="Calibri"/>
                <w:b w:val="0"/>
                <w:i w:val="0"/>
                <w:color w:val="212121"/>
                <w:sz w:val="19"/>
              </w:rPr>
              <w:t>Poor sleep and awkward posture lower pain thresholds and trigger stiffness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Adults, elderly, chronic pain</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40" w:before="0" w:line="259" w:lineRule="auto"/>
            </w:pPr>
            <w:r>
              <w:rPr>
                <w:rFonts w:ascii="Calibri" w:hAnsi="Calibri"/>
                <w:b w:val="0"/>
                <w:i w:val="0"/>
                <w:color w:val="212121"/>
                <w:sz w:val="19"/>
              </w:rPr>
              <w:t>Deficiency is common in India and linked to musculoskeletal pain and low bone density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(e.g. HADS/PHQ)</w:t>
            </w:r>
          </w:p>
        </w:tc>
        <w:tc>
          <w:tcPr>
            <w:tcW w:type="dxa" w:w="1655"/>
            <w:vAlign w:val="top"/>
          </w:tcPr>
          <w:p>
            <w:pPr>
              <w:spacing w:after="40" w:before="0" w:line="259" w:lineRule="auto"/>
            </w:pPr>
            <w:r>
              <w:rPr>
                <w:rFonts w:ascii="Calibri" w:hAnsi="Calibri"/>
                <w:b w:val="0"/>
                <w:i w:val="0"/>
                <w:color w:val="212121"/>
                <w:sz w:val="19"/>
              </w:rPr>
              <w:t>Subacute/chronic neck pain</w:t>
            </w:r>
          </w:p>
        </w:tc>
        <w:tc>
          <w:tcPr>
            <w:tcW w:type="dxa" w:w="1512"/>
            <w:vAlign w:val="top"/>
          </w:tcPr>
          <w:p>
            <w:pPr>
              <w:spacing w:after="40" w:before="0" w:line="259" w:lineRule="auto"/>
            </w:pPr>
            <w:r>
              <w:rPr>
                <w:rFonts w:ascii="Calibri" w:hAnsi="Calibri"/>
                <w:b w:val="0"/>
                <w:i w:val="0"/>
                <w:color w:val="212121"/>
                <w:sz w:val="19"/>
              </w:rPr>
              <w:t>Below clinical threshold</w:t>
            </w:r>
          </w:p>
        </w:tc>
        <w:tc>
          <w:tcPr>
            <w:tcW w:type="dxa" w:w="1512"/>
            <w:vAlign w:val="top"/>
          </w:tcPr>
          <w:p>
            <w:pPr>
              <w:spacing w:after="40" w:before="0" w:line="259" w:lineRule="auto"/>
            </w:pPr>
            <w:r>
              <w:rPr>
                <w:rFonts w:ascii="Calibri" w:hAnsi="Calibri"/>
                <w:b w:val="0"/>
                <w:i w:val="0"/>
                <w:color w:val="212121"/>
                <w:sz w:val="19"/>
              </w:rPr>
              <w:t>Screen-positive distress</w:t>
            </w:r>
          </w:p>
        </w:tc>
        <w:tc>
          <w:tcPr>
            <w:tcW w:type="dxa" w:w="1468"/>
            <w:vAlign w:val="top"/>
          </w:tcPr>
          <w:p>
            <w:pPr>
              <w:spacing w:after="60" w:line="259" w:lineRule="auto"/>
            </w:pPr>
            <w:r>
              <w:rPr>
                <w:rFonts w:ascii="Calibri" w:hAnsi="Calibri"/>
                <w:b w:val="0"/>
                <w:i w:val="0"/>
                <w:color w:val="212121"/>
                <w:sz w:val="19"/>
              </w:rPr>
              <w:t>Distress predicts chronicity; anxiety ~68%, depression ~56% in chronic neck pain</w:t>
            </w:r>
          </w:p>
          <w:p>
            <w:pPr>
              <w:spacing w:after="40" w:line="252" w:lineRule="auto"/>
            </w:pPr>
            <w:hyperlink r:id="rId16">
              <w:r>
                <w:rPr>
                  <w:rFonts w:ascii="Calibri" w:hAnsi="Calibri" w:cs="Calibri"/>
                  <w:sz w:val="18"/>
                  <w:color w:val="1155CC"/>
                  <w:u w:val="single"/>
                </w:rPr>
                <w:t xml:space="preserve">https://panafrican-med-journal.com/content/article/24/89/full/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Plain X-ray cervical spine (AP, lateral, oblique)</w:t>
            </w:r>
          </w:p>
        </w:tc>
        <w:tc>
          <w:tcPr>
            <w:tcW w:type="dxa" w:w="892"/>
            <w:vAlign w:val="top"/>
          </w:tcPr>
          <w:p>
            <w:pPr>
              <w:spacing w:after="40" w:before="0" w:line="259" w:lineRule="auto"/>
            </w:pPr>
            <w:r>
              <w:rPr>
                <w:rFonts w:ascii="Calibri" w:hAnsi="Calibri"/>
                <w:b w:val="0"/>
                <w:i w:val="0"/>
                <w:color w:val="212121"/>
                <w:sz w:val="16"/>
              </w:rPr>
              <w:t>Radiograph</w:t>
            </w:r>
          </w:p>
        </w:tc>
        <w:tc>
          <w:tcPr>
            <w:tcW w:type="dxa" w:w="950"/>
            <w:vAlign w:val="top"/>
          </w:tcPr>
          <w:p>
            <w:pPr>
              <w:spacing w:after="40" w:before="0" w:line="259" w:lineRule="auto"/>
            </w:pPr>
            <w:r>
              <w:rPr>
                <w:rFonts w:ascii="Calibri" w:hAnsi="Calibri"/>
                <w:b w:val="0"/>
                <w:i w:val="0"/>
                <w:color w:val="212121"/>
                <w:sz w:val="16"/>
              </w:rPr>
              <w:t>Normal alignment, disc height and lordosis</w:t>
            </w:r>
          </w:p>
        </w:tc>
        <w:tc>
          <w:tcPr>
            <w:tcW w:type="dxa" w:w="950"/>
            <w:vAlign w:val="top"/>
          </w:tcPr>
          <w:p>
            <w:pPr>
              <w:spacing w:after="40" w:before="0" w:line="259" w:lineRule="auto"/>
            </w:pPr>
            <w:r>
              <w:rPr>
                <w:rFonts w:ascii="Calibri" w:hAnsi="Calibri"/>
                <w:b w:val="0"/>
                <w:i w:val="0"/>
                <w:color w:val="212121"/>
                <w:sz w:val="16"/>
              </w:rPr>
              <w:t>Osteophytes, disc-space narrowing, foraminal narrowing, loss of lordosis, listhesis</w:t>
            </w:r>
          </w:p>
        </w:tc>
        <w:tc>
          <w:tcPr>
            <w:tcW w:type="dxa" w:w="1036"/>
            <w:vAlign w:val="top"/>
          </w:tcPr>
          <w:p>
            <w:pPr>
              <w:spacing w:after="40" w:before="0" w:line="259" w:lineRule="auto"/>
            </w:pPr>
            <w:r>
              <w:rPr>
                <w:rFonts w:ascii="Calibri" w:hAnsi="Calibri"/>
                <w:b w:val="0"/>
                <w:i w:val="0"/>
                <w:color w:val="212121"/>
                <w:sz w:val="16"/>
              </w:rPr>
              <w:t>Shows degenerative spondylosis and alignment; changes are near-universal with age so correlate clinically</w:t>
            </w:r>
          </w:p>
        </w:tc>
        <w:tc>
          <w:tcPr>
            <w:tcW w:type="dxa" w:w="1036"/>
            <w:vAlign w:val="top"/>
          </w:tcPr>
          <w:p>
            <w:pPr>
              <w:spacing w:after="40" w:before="0" w:line="259" w:lineRule="auto"/>
            </w:pPr>
            <w:r>
              <w:rPr>
                <w:rFonts w:ascii="Calibri" w:hAnsi="Calibri"/>
                <w:b w:val="0"/>
                <w:i w:val="0"/>
                <w:color w:val="212121"/>
                <w:sz w:val="16"/>
              </w:rPr>
              <w:t>Chronic neck pain, trauma, elderly, suspected deformity</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 indicated for acute non-specific neck pain; flexion-extension views for instability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cervical spine</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disc herniation, foraminal/canal stenosis or cord signal change</w:t>
            </w:r>
          </w:p>
        </w:tc>
        <w:tc>
          <w:tcPr>
            <w:tcW w:type="dxa" w:w="950"/>
            <w:vAlign w:val="top"/>
          </w:tcPr>
          <w:p>
            <w:pPr>
              <w:spacing w:after="40" w:before="0" w:line="259" w:lineRule="auto"/>
            </w:pPr>
            <w:r>
              <w:rPr>
                <w:rFonts w:ascii="Calibri" w:hAnsi="Calibri"/>
                <w:b w:val="0"/>
                <w:i w:val="0"/>
                <w:color w:val="212121"/>
                <w:sz w:val="16"/>
              </w:rPr>
              <w:t>Disc herniation, foraminal or canal stenosis, cord compression/myelomalacia, infection, tumour</w:t>
            </w:r>
          </w:p>
        </w:tc>
        <w:tc>
          <w:tcPr>
            <w:tcW w:type="dxa" w:w="1036"/>
            <w:vAlign w:val="top"/>
          </w:tcPr>
          <w:p>
            <w:pPr>
              <w:spacing w:after="40" w:before="0" w:line="259" w:lineRule="auto"/>
            </w:pPr>
            <w:r>
              <w:rPr>
                <w:rFonts w:ascii="Calibri" w:hAnsi="Calibri"/>
                <w:b w:val="0"/>
                <w:i w:val="0"/>
                <w:color w:val="212121"/>
                <w:sz w:val="16"/>
              </w:rPr>
              <w:t>Investigation of choice for radiculopathy, myelopathy, infection and neoplasm</w:t>
            </w:r>
          </w:p>
        </w:tc>
        <w:tc>
          <w:tcPr>
            <w:tcW w:type="dxa" w:w="1036"/>
            <w:vAlign w:val="top"/>
          </w:tcPr>
          <w:p>
            <w:pPr>
              <w:spacing w:after="40" w:before="0" w:line="259" w:lineRule="auto"/>
            </w:pPr>
            <w:r>
              <w:rPr>
                <w:rFonts w:ascii="Calibri" w:hAnsi="Calibri"/>
                <w:b w:val="0"/>
                <w:i w:val="0"/>
                <w:color w:val="212121"/>
                <w:sz w:val="16"/>
              </w:rPr>
              <w:t>Persistent radiculopathy, suspected myelopathy, red flags,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Reserve for red flags, myelopathy or radiculopathy failing 4-6 weeks conservative care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cervical spine</w:t>
            </w:r>
          </w:p>
        </w:tc>
        <w:tc>
          <w:tcPr>
            <w:tcW w:type="dxa" w:w="892"/>
            <w:vAlign w:val="top"/>
          </w:tcPr>
          <w:p>
            <w:pPr>
              <w:spacing w:after="40" w:before="0" w:line="259" w:lineRule="auto"/>
            </w:pPr>
            <w:r>
              <w:rPr>
                <w:rFonts w:ascii="Calibri" w:hAnsi="Calibri"/>
                <w:b w:val="0"/>
                <w:i w:val="0"/>
                <w:color w:val="212121"/>
                <w:sz w:val="16"/>
              </w:rPr>
              <w:t>Computed tomography</w:t>
            </w:r>
          </w:p>
        </w:tc>
        <w:tc>
          <w:tcPr>
            <w:tcW w:type="dxa" w:w="950"/>
            <w:vAlign w:val="top"/>
          </w:tcPr>
          <w:p>
            <w:pPr>
              <w:spacing w:after="40" w:before="0" w:line="259" w:lineRule="auto"/>
            </w:pPr>
            <w:r>
              <w:rPr>
                <w:rFonts w:ascii="Calibri" w:hAnsi="Calibri"/>
                <w:b w:val="0"/>
                <w:i w:val="0"/>
                <w:color w:val="212121"/>
                <w:sz w:val="16"/>
              </w:rPr>
              <w:t>Intact bony architecture</w:t>
            </w:r>
          </w:p>
        </w:tc>
        <w:tc>
          <w:tcPr>
            <w:tcW w:type="dxa" w:w="950"/>
            <w:vAlign w:val="top"/>
          </w:tcPr>
          <w:p>
            <w:pPr>
              <w:spacing w:after="40" w:before="0" w:line="259" w:lineRule="auto"/>
            </w:pPr>
            <w:r>
              <w:rPr>
                <w:rFonts w:ascii="Calibri" w:hAnsi="Calibri"/>
                <w:b w:val="0"/>
                <w:i w:val="0"/>
                <w:color w:val="212121"/>
                <w:sz w:val="16"/>
              </w:rPr>
              <w:t>Fracture, bony canal stenosis, osteophytes, ossified posterior longitudinal ligament (OPLL)</w:t>
            </w:r>
          </w:p>
        </w:tc>
        <w:tc>
          <w:tcPr>
            <w:tcW w:type="dxa" w:w="1036"/>
            <w:vAlign w:val="top"/>
          </w:tcPr>
          <w:p>
            <w:pPr>
              <w:spacing w:after="40" w:before="0" w:line="259" w:lineRule="auto"/>
            </w:pPr>
            <w:r>
              <w:rPr>
                <w:rFonts w:ascii="Calibri" w:hAnsi="Calibri"/>
                <w:b w:val="0"/>
                <w:i w:val="0"/>
                <w:color w:val="212121"/>
                <w:sz w:val="16"/>
              </w:rPr>
              <w:t>Best bony detail; complements MRI where fracture or OPLL is suspected</w:t>
            </w:r>
          </w:p>
        </w:tc>
        <w:tc>
          <w:tcPr>
            <w:tcW w:type="dxa" w:w="1036"/>
            <w:vAlign w:val="top"/>
          </w:tcPr>
          <w:p>
            <w:pPr>
              <w:spacing w:after="40" w:before="0" w:line="259" w:lineRule="auto"/>
            </w:pPr>
            <w:r>
              <w:rPr>
                <w:rFonts w:ascii="Calibri" w:hAnsi="Calibri"/>
                <w:b w:val="0"/>
                <w:i w:val="0"/>
                <w:color w:val="212121"/>
                <w:sz w:val="16"/>
              </w:rPr>
              <w:t>Trauma, suspected fracture, OPLL, MRI-contraindicated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CT myelography if MRI contraindicated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C-reactive protein</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Raised markers suggest infection, malignancy or inflammatory arthritis of the neck</w:t>
            </w:r>
          </w:p>
        </w:tc>
        <w:tc>
          <w:tcPr>
            <w:tcW w:type="dxa" w:w="1036"/>
            <w:vAlign w:val="top"/>
          </w:tcPr>
          <w:p>
            <w:pPr>
              <w:spacing w:after="40" w:before="0" w:line="259" w:lineRule="auto"/>
            </w:pPr>
            <w:r>
              <w:rPr>
                <w:rFonts w:ascii="Calibri" w:hAnsi="Calibri"/>
                <w:b w:val="0"/>
                <w:i w:val="0"/>
                <w:color w:val="212121"/>
                <w:sz w:val="16"/>
              </w:rPr>
              <w:t>Fever, night pain, weight loss, suspected TB spine or inflammatory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Order only when serious pathology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Normal indices</w:t>
            </w:r>
          </w:p>
        </w:tc>
        <w:tc>
          <w:tcPr>
            <w:tcW w:type="dxa" w:w="950"/>
            <w:vAlign w:val="top"/>
          </w:tcPr>
          <w:p>
            <w:pPr>
              <w:spacing w:after="40" w:before="0" w:line="259" w:lineRule="auto"/>
            </w:pPr>
            <w:r>
              <w:rPr>
                <w:rFonts w:ascii="Calibri" w:hAnsi="Calibri"/>
                <w:b w:val="0"/>
                <w:i w:val="0"/>
                <w:color w:val="212121"/>
                <w:sz w:val="16"/>
              </w:rPr>
              <w:t>Anaemia, leucocytosis</w:t>
            </w:r>
          </w:p>
        </w:tc>
        <w:tc>
          <w:tcPr>
            <w:tcW w:type="dxa" w:w="1036"/>
            <w:vAlign w:val="top"/>
          </w:tcPr>
          <w:p>
            <w:pPr>
              <w:spacing w:after="40" w:before="0" w:line="259" w:lineRule="auto"/>
            </w:pPr>
            <w:r>
              <w:rPr>
                <w:rFonts w:ascii="Calibri" w:hAnsi="Calibri"/>
                <w:b w:val="0"/>
                <w:i w:val="0"/>
                <w:color w:val="212121"/>
                <w:sz w:val="16"/>
              </w:rPr>
              <w:t>Anaemia may indicate malignancy; leucocytosis suggests infection</w:t>
            </w:r>
          </w:p>
        </w:tc>
        <w:tc>
          <w:tcPr>
            <w:tcW w:type="dxa" w:w="1036"/>
            <w:vAlign w:val="top"/>
          </w:tcPr>
          <w:p>
            <w:pPr>
              <w:spacing w:after="40" w:before="0" w:line="259" w:lineRule="auto"/>
            </w:pPr>
            <w:r>
              <w:rPr>
                <w:rFonts w:ascii="Calibri" w:hAnsi="Calibri"/>
                <w:b w:val="0"/>
                <w:i w:val="0"/>
                <w:color w:val="212121"/>
                <w:sz w:val="16"/>
              </w:rPr>
              <w:t>Suspected infection or malignancy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Adjunct to inflammatory markers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w:t>
            </w:r>
          </w:p>
        </w:tc>
        <w:tc>
          <w:tcPr>
            <w:tcW w:type="dxa" w:w="1036"/>
            <w:vAlign w:val="top"/>
          </w:tcPr>
          <w:p>
            <w:pPr>
              <w:spacing w:after="40" w:before="0" w:line="259" w:lineRule="auto"/>
            </w:pPr>
            <w:r>
              <w:rPr>
                <w:rFonts w:ascii="Calibri" w:hAnsi="Calibri"/>
                <w:b w:val="0"/>
                <w:i w:val="0"/>
                <w:color w:val="212121"/>
                <w:sz w:val="16"/>
              </w:rPr>
              <w:t>Nerve conduction study / EMG</w:t>
            </w:r>
          </w:p>
        </w:tc>
        <w:tc>
          <w:tcPr>
            <w:tcW w:type="dxa" w:w="892"/>
            <w:vAlign w:val="top"/>
          </w:tcPr>
          <w:p>
            <w:pPr>
              <w:spacing w:after="40" w:before="0" w:line="259" w:lineRule="auto"/>
            </w:pPr>
            <w:r>
              <w:rPr>
                <w:rFonts w:ascii="Calibri" w:hAnsi="Calibri"/>
                <w:b w:val="0"/>
                <w:i w:val="0"/>
                <w:color w:val="212121"/>
                <w:sz w:val="16"/>
              </w:rPr>
              <w:t>Electrodiagnostics</w:t>
            </w:r>
          </w:p>
        </w:tc>
        <w:tc>
          <w:tcPr>
            <w:tcW w:type="dxa" w:w="950"/>
            <w:vAlign w:val="top"/>
          </w:tcPr>
          <w:p>
            <w:pPr>
              <w:spacing w:after="40" w:before="0" w:line="259" w:lineRule="auto"/>
            </w:pPr>
            <w:r>
              <w:rPr>
                <w:rFonts w:ascii="Calibri" w:hAnsi="Calibri"/>
                <w:b w:val="0"/>
                <w:i w:val="0"/>
                <w:color w:val="212121"/>
                <w:sz w:val="16"/>
              </w:rPr>
              <w:t>Normal conduction and needle EMG</w:t>
            </w:r>
          </w:p>
        </w:tc>
        <w:tc>
          <w:tcPr>
            <w:tcW w:type="dxa" w:w="950"/>
            <w:vAlign w:val="top"/>
          </w:tcPr>
          <w:p>
            <w:pPr>
              <w:spacing w:after="40" w:before="0" w:line="259" w:lineRule="auto"/>
            </w:pPr>
            <w:r>
              <w:rPr>
                <w:rFonts w:ascii="Calibri" w:hAnsi="Calibri"/>
                <w:b w:val="0"/>
                <w:i w:val="0"/>
                <w:color w:val="212121"/>
                <w:sz w:val="16"/>
              </w:rPr>
              <w:t>Radiculopathy pattern; distinguishes peripheral entrapment</w:t>
            </w:r>
          </w:p>
        </w:tc>
        <w:tc>
          <w:tcPr>
            <w:tcW w:type="dxa" w:w="1036"/>
            <w:vAlign w:val="top"/>
          </w:tcPr>
          <w:p>
            <w:pPr>
              <w:spacing w:after="40" w:before="0" w:line="259" w:lineRule="auto"/>
            </w:pPr>
            <w:r>
              <w:rPr>
                <w:rFonts w:ascii="Calibri" w:hAnsi="Calibri"/>
                <w:b w:val="0"/>
                <w:i w:val="0"/>
                <w:color w:val="212121"/>
                <w:sz w:val="16"/>
              </w:rPr>
              <w:t>Confirms and localises nerve-root involvement and separates radiculopathy from carpal tunnel / peripheral neuropathy (double crush)</w:t>
            </w:r>
          </w:p>
        </w:tc>
        <w:tc>
          <w:tcPr>
            <w:tcW w:type="dxa" w:w="1036"/>
            <w:vAlign w:val="top"/>
          </w:tcPr>
          <w:p>
            <w:pPr>
              <w:spacing w:after="40" w:before="0" w:line="259" w:lineRule="auto"/>
            </w:pPr>
            <w:r>
              <w:rPr>
                <w:rFonts w:ascii="Calibri" w:hAnsi="Calibri"/>
                <w:b w:val="0"/>
                <w:i w:val="0"/>
                <w:color w:val="212121"/>
                <w:sz w:val="16"/>
              </w:rPr>
              <w:t>Atypical, multilevel or diagnostically unclear arm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Adjunct to MRI, not first-line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w:t>
            </w:r>
          </w:p>
        </w:tc>
        <w:tc>
          <w:tcPr>
            <w:tcW w:type="dxa" w:w="1036"/>
            <w:vAlign w:val="top"/>
          </w:tcPr>
          <w:p>
            <w:pPr>
              <w:spacing w:after="40" w:before="0" w:line="259" w:lineRule="auto"/>
            </w:pPr>
            <w:r>
              <w:rPr>
                <w:rFonts w:ascii="Calibri" w:hAnsi="Calibri"/>
                <w:b w:val="0"/>
                <w:i w:val="0"/>
                <w:color w:val="212121"/>
                <w:sz w:val="16"/>
              </w:rPr>
              <w:t>HLA-B27</w:t>
            </w:r>
          </w:p>
        </w:tc>
        <w:tc>
          <w:tcPr>
            <w:tcW w:type="dxa" w:w="892"/>
            <w:vAlign w:val="top"/>
          </w:tcPr>
          <w:p>
            <w:pPr>
              <w:spacing w:after="40" w:before="0" w:line="259" w:lineRule="auto"/>
            </w:pPr>
            <w:r>
              <w:rPr>
                <w:rFonts w:ascii="Calibri" w:hAnsi="Calibri"/>
                <w:b w:val="0"/>
                <w:i w:val="0"/>
                <w:color w:val="212121"/>
                <w:sz w:val="16"/>
              </w:rPr>
              <w:t>Immunogenetic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axial spondyloarthritis in inflammatory-pattern neck pain</w:t>
            </w:r>
          </w:p>
        </w:tc>
        <w:tc>
          <w:tcPr>
            <w:tcW w:type="dxa" w:w="1036"/>
            <w:vAlign w:val="top"/>
          </w:tcPr>
          <w:p>
            <w:pPr>
              <w:spacing w:after="40" w:before="0" w:line="259" w:lineRule="auto"/>
            </w:pPr>
            <w:r>
              <w:rPr>
                <w:rFonts w:ascii="Calibri" w:hAnsi="Calibri"/>
                <w:b w:val="0"/>
                <w:i w:val="0"/>
                <w:color w:val="212121"/>
                <w:sz w:val="16"/>
              </w:rPr>
              <w:t>Age &lt; 45, inflammatory pattern, morning stiffness, night pain easing with movement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with clinical inflammatory-back/neck-pain criteria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 calcium, ALP</w:t>
            </w:r>
          </w:p>
        </w:tc>
        <w:tc>
          <w:tcPr>
            <w:tcW w:type="dxa" w:w="892"/>
            <w:vAlign w:val="top"/>
          </w:tcPr>
          <w:p>
            <w:pPr>
              <w:spacing w:after="40" w:before="0" w:line="259" w:lineRule="auto"/>
            </w:pPr>
            <w:r>
              <w:rPr>
                <w:rFonts w:ascii="Calibri" w:hAnsi="Calibri"/>
                <w:b w:val="0"/>
                <w:i w:val="0"/>
                <w:color w:val="212121"/>
                <w:sz w:val="16"/>
              </w:rPr>
              <w:t>Bone/vitamin profile</w:t>
            </w:r>
          </w:p>
        </w:tc>
        <w:tc>
          <w:tcPr>
            <w:tcW w:type="dxa" w:w="950"/>
            <w:vAlign w:val="top"/>
          </w:tcPr>
          <w:p>
            <w:pPr>
              <w:spacing w:after="40" w:before="0" w:line="259" w:lineRule="auto"/>
            </w:pPr>
            <w:r>
              <w:rPr>
                <w:rFonts w:ascii="Calibri" w:hAnsi="Calibri"/>
                <w:b w:val="0"/>
                <w:i w:val="0"/>
                <w:color w:val="212121"/>
                <w:sz w:val="16"/>
              </w:rPr>
              <w:t>Vitamin D &gt;= 30 ng/mL; normal bone profile</w:t>
            </w:r>
          </w:p>
        </w:tc>
        <w:tc>
          <w:tcPr>
            <w:tcW w:type="dxa" w:w="950"/>
            <w:vAlign w:val="top"/>
          </w:tcPr>
          <w:p>
            <w:pPr>
              <w:spacing w:after="40" w:before="0" w:line="259" w:lineRule="auto"/>
            </w:pPr>
            <w:r>
              <w:rPr>
                <w:rFonts w:ascii="Calibri" w:hAnsi="Calibri"/>
                <w:b w:val="0"/>
                <w:i w:val="0"/>
                <w:color w:val="212121"/>
                <w:sz w:val="16"/>
              </w:rPr>
              <w:t>Vitamin D &lt; 20 ng/mL; deranged bone profile</w:t>
            </w:r>
          </w:p>
        </w:tc>
        <w:tc>
          <w:tcPr>
            <w:tcW w:type="dxa" w:w="1036"/>
            <w:vAlign w:val="top"/>
          </w:tcPr>
          <w:p>
            <w:pPr>
              <w:spacing w:after="40" w:before="0" w:line="259" w:lineRule="auto"/>
            </w:pPr>
            <w:r>
              <w:rPr>
                <w:rFonts w:ascii="Calibri" w:hAnsi="Calibri"/>
                <w:b w:val="0"/>
                <w:i w:val="0"/>
                <w:color w:val="212121"/>
                <w:sz w:val="16"/>
              </w:rPr>
              <w:t>Deficiency contributes to musculoskeletal pain and low bone density</w:t>
            </w:r>
          </w:p>
        </w:tc>
        <w:tc>
          <w:tcPr>
            <w:tcW w:type="dxa" w:w="1036"/>
            <w:vAlign w:val="top"/>
          </w:tcPr>
          <w:p>
            <w:pPr>
              <w:spacing w:after="40" w:before="0" w:line="259" w:lineRule="auto"/>
            </w:pPr>
            <w:r>
              <w:rPr>
                <w:rFonts w:ascii="Calibri" w:hAnsi="Calibri"/>
                <w:b w:val="0"/>
                <w:i w:val="0"/>
                <w:color w:val="212121"/>
                <w:sz w:val="16"/>
              </w:rPr>
              <w:t>Chronic pain, elderly, post-menopausal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Very common in India; correct as an adjunct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characterisation</w:t>
            </w:r>
          </w:p>
        </w:tc>
        <w:tc>
          <w:tcPr>
            <w:tcW w:type="dxa" w:w="979"/>
            <w:vAlign w:val="top"/>
          </w:tcPr>
          <w:p>
            <w:pPr>
              <w:spacing w:after="40" w:before="0" w:line="259" w:lineRule="auto"/>
            </w:pPr>
            <w:r>
              <w:rPr>
                <w:rFonts w:ascii="Calibri" w:hAnsi="Calibri"/>
                <w:b w:val="0"/>
                <w:i w:val="0"/>
                <w:color w:val="212121"/>
                <w:sz w:val="16"/>
              </w:rPr>
              <w:t>Site, duration, radiation, mechanical vs inflammatory pattern</w:t>
            </w:r>
          </w:p>
        </w:tc>
        <w:tc>
          <w:tcPr>
            <w:tcW w:type="dxa" w:w="950"/>
            <w:vAlign w:val="top"/>
          </w:tcPr>
          <w:p>
            <w:pPr>
              <w:spacing w:after="40" w:before="0" w:line="259" w:lineRule="auto"/>
            </w:pPr>
            <w:r>
              <w:rPr>
                <w:rFonts w:ascii="Calibri" w:hAnsi="Calibri"/>
                <w:b w:val="0"/>
                <w:i w:val="0"/>
                <w:color w:val="212121"/>
                <w:sz w:val="16"/>
              </w:rPr>
              <w:t>Mechanical: worse on posture/movement, eased by rest</w:t>
            </w:r>
          </w:p>
        </w:tc>
        <w:tc>
          <w:tcPr>
            <w:tcW w:type="dxa" w:w="950"/>
            <w:vAlign w:val="top"/>
          </w:tcPr>
          <w:p>
            <w:pPr>
              <w:spacing w:after="40" w:before="0" w:line="259" w:lineRule="auto"/>
            </w:pPr>
            <w:r>
              <w:rPr>
                <w:rFonts w:ascii="Calibri" w:hAnsi="Calibri"/>
                <w:b w:val="0"/>
                <w:i w:val="0"/>
                <w:color w:val="212121"/>
                <w:sz w:val="16"/>
              </w:rPr>
              <w:t>Unremitting night/rest pain; inflammatory morning stiffness; arm/hand symptoms</w:t>
            </w:r>
          </w:p>
        </w:tc>
        <w:tc>
          <w:tcPr>
            <w:tcW w:type="dxa" w:w="1036"/>
            <w:vAlign w:val="top"/>
          </w:tcPr>
          <w:p>
            <w:pPr>
              <w:spacing w:after="40" w:before="0" w:line="259" w:lineRule="auto"/>
            </w:pPr>
            <w:r>
              <w:rPr>
                <w:rFonts w:ascii="Calibri" w:hAnsi="Calibri"/>
                <w:b w:val="0"/>
                <w:i w:val="0"/>
                <w:color w:val="212121"/>
                <w:sz w:val="16"/>
              </w:rPr>
              <w:t>Separates benign mechanical neck pain from radiculopathy, myelopathy and serious disease</w:t>
            </w:r>
          </w:p>
        </w:tc>
        <w:tc>
          <w:tcPr>
            <w:tcW w:type="dxa" w:w="1036"/>
            <w:vAlign w:val="top"/>
          </w:tcPr>
          <w:p>
            <w:pPr>
              <w:spacing w:after="40" w:before="0" w:line="259" w:lineRule="auto"/>
            </w:pPr>
            <w:r>
              <w:rPr>
                <w:rFonts w:ascii="Calibri" w:hAnsi="Calibri"/>
                <w:b w:val="0"/>
                <w:i w:val="0"/>
                <w:color w:val="212121"/>
                <w:sz w:val="16"/>
              </w:rPr>
              <w:t>All patients with neck pain</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 step in triage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w:t>
            </w:r>
          </w:p>
        </w:tc>
        <w:tc>
          <w:tcPr>
            <w:tcW w:type="dxa" w:w="979"/>
            <w:vAlign w:val="top"/>
          </w:tcPr>
          <w:p>
            <w:pPr>
              <w:spacing w:after="40" w:before="0" w:line="259" w:lineRule="auto"/>
            </w:pPr>
            <w:r>
              <w:rPr>
                <w:rFonts w:ascii="Calibri" w:hAnsi="Calibri"/>
                <w:b w:val="0"/>
                <w:i w:val="0"/>
                <w:color w:val="212121"/>
                <w:sz w:val="16"/>
              </w:rPr>
              <w:t>Trauma, cancer, weight loss, fever/TB, myelopathy symptoms, vertebrobasilar features</w:t>
            </w:r>
          </w:p>
        </w:tc>
        <w:tc>
          <w:tcPr>
            <w:tcW w:type="dxa" w:w="950"/>
            <w:vAlign w:val="top"/>
          </w:tcPr>
          <w:p>
            <w:pPr>
              <w:spacing w:after="40" w:before="0" w:line="259" w:lineRule="auto"/>
            </w:pPr>
            <w:r>
              <w:rPr>
                <w:rFonts w:ascii="Calibri" w:hAnsi="Calibri"/>
                <w:b w:val="0"/>
                <w:i w:val="0"/>
                <w:color w:val="212121"/>
                <w:sz w:val="16"/>
              </w:rPr>
              <w:t>No red flags</w:t>
            </w:r>
          </w:p>
        </w:tc>
        <w:tc>
          <w:tcPr>
            <w:tcW w:type="dxa" w:w="950"/>
            <w:vAlign w:val="top"/>
          </w:tcPr>
          <w:p>
            <w:pPr>
              <w:spacing w:after="40" w:before="0" w:line="259" w:lineRule="auto"/>
            </w:pPr>
            <w:r>
              <w:rPr>
                <w:rFonts w:ascii="Calibri" w:hAnsi="Calibri"/>
                <w:b w:val="0"/>
                <w:i w:val="0"/>
                <w:color w:val="212121"/>
                <w:sz w:val="16"/>
              </w:rPr>
              <w:t>Any red flag present</w:t>
            </w:r>
          </w:p>
        </w:tc>
        <w:tc>
          <w:tcPr>
            <w:tcW w:type="dxa" w:w="1036"/>
            <w:vAlign w:val="top"/>
          </w:tcPr>
          <w:p>
            <w:pPr>
              <w:spacing w:after="40" w:before="0" w:line="259" w:lineRule="auto"/>
            </w:pPr>
            <w:r>
              <w:rPr>
                <w:rFonts w:ascii="Calibri" w:hAnsi="Calibri"/>
                <w:b w:val="0"/>
                <w:i w:val="0"/>
                <w:color w:val="212121"/>
                <w:sz w:val="16"/>
              </w:rPr>
              <w:t>Flags possible fracture, malignancy, infection (incl. cervical TB), myelopathy or vascular cause</w:t>
            </w:r>
          </w:p>
        </w:tc>
        <w:tc>
          <w:tcPr>
            <w:tcW w:type="dxa" w:w="1036"/>
            <w:vAlign w:val="top"/>
          </w:tcPr>
          <w:p>
            <w:pPr>
              <w:spacing w:after="40" w:before="0" w:line="259" w:lineRule="auto"/>
            </w:pPr>
            <w:r>
              <w:rPr>
                <w:rFonts w:ascii="Calibri" w:hAnsi="Calibri"/>
                <w:b w:val="0"/>
                <w:i w:val="0"/>
                <w:color w:val="212121"/>
                <w:sz w:val="16"/>
              </w:rPr>
              <w:t>All patients, especially elderly, trauma and immunosuppressed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Mandatory at every assessment; positive flags prompt urgent workup/referral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 ergonomic &amp; screen history</w:t>
            </w:r>
          </w:p>
        </w:tc>
        <w:tc>
          <w:tcPr>
            <w:tcW w:type="dxa" w:w="979"/>
            <w:vAlign w:val="top"/>
          </w:tcPr>
          <w:p>
            <w:pPr>
              <w:spacing w:after="40" w:before="0" w:line="259" w:lineRule="auto"/>
            </w:pPr>
            <w:r>
              <w:rPr>
                <w:rFonts w:ascii="Calibri" w:hAnsi="Calibri"/>
                <w:b w:val="0"/>
                <w:i w:val="0"/>
                <w:color w:val="212121"/>
                <w:sz w:val="16"/>
              </w:rPr>
              <w:t>Desk/IT hours, device posture, static/awkward postures, head-loading, driving</w:t>
            </w:r>
          </w:p>
        </w:tc>
        <w:tc>
          <w:tcPr>
            <w:tcW w:type="dxa" w:w="950"/>
            <w:vAlign w:val="top"/>
          </w:tcPr>
          <w:p>
            <w:pPr>
              <w:spacing w:after="40" w:before="0" w:line="259" w:lineRule="auto"/>
            </w:pPr>
            <w:r>
              <w:rPr>
                <w:rFonts w:ascii="Calibri" w:hAnsi="Calibri"/>
                <w:b w:val="0"/>
                <w:i w:val="0"/>
                <w:color w:val="212121"/>
                <w:sz w:val="16"/>
              </w:rPr>
              <w:t>Good ergonomics, varied posture, frequent breaks</w:t>
            </w:r>
          </w:p>
        </w:tc>
        <w:tc>
          <w:tcPr>
            <w:tcW w:type="dxa" w:w="950"/>
            <w:vAlign w:val="top"/>
          </w:tcPr>
          <w:p>
            <w:pPr>
              <w:spacing w:after="40" w:before="0" w:line="259" w:lineRule="auto"/>
            </w:pPr>
            <w:r>
              <w:rPr>
                <w:rFonts w:ascii="Calibri" w:hAnsi="Calibri"/>
                <w:b w:val="0"/>
                <w:i w:val="0"/>
                <w:color w:val="212121"/>
                <w:sz w:val="16"/>
              </w:rPr>
              <w:t>Prolonged forward-head screen use, sustained awkward posture, head-load carrying</w:t>
            </w:r>
          </w:p>
        </w:tc>
        <w:tc>
          <w:tcPr>
            <w:tcW w:type="dxa" w:w="1036"/>
            <w:vAlign w:val="top"/>
          </w:tcPr>
          <w:p>
            <w:pPr>
              <w:spacing w:after="40" w:before="0" w:line="259" w:lineRule="auto"/>
            </w:pPr>
            <w:r>
              <w:rPr>
                <w:rFonts w:ascii="Calibri" w:hAnsi="Calibri"/>
                <w:b w:val="0"/>
                <w:i w:val="0"/>
                <w:color w:val="212121"/>
                <w:sz w:val="16"/>
              </w:rPr>
              <w:t>Identifies modifiable postural and mechanical drivers</w:t>
            </w:r>
          </w:p>
        </w:tc>
        <w:tc>
          <w:tcPr>
            <w:tcW w:type="dxa" w:w="1036"/>
            <w:vAlign w:val="top"/>
          </w:tcPr>
          <w:p>
            <w:pPr>
              <w:spacing w:after="40" w:before="0" w:line="259" w:lineRule="auto"/>
            </w:pPr>
            <w:r>
              <w:rPr>
                <w:rFonts w:ascii="Calibri" w:hAnsi="Calibri"/>
                <w:b w:val="0"/>
                <w:i w:val="0"/>
                <w:color w:val="212121"/>
                <w:sz w:val="16"/>
              </w:rPr>
              <w:t>IT/desk workers, students, dentists, drivers, labourers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ergonomic and activity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(yellow-flag) screen</w:t>
            </w:r>
          </w:p>
        </w:tc>
        <w:tc>
          <w:tcPr>
            <w:tcW w:type="dxa" w:w="979"/>
            <w:vAlign w:val="top"/>
          </w:tcPr>
          <w:p>
            <w:pPr>
              <w:spacing w:after="40" w:before="0" w:line="259" w:lineRule="auto"/>
            </w:pPr>
            <w:r>
              <w:rPr>
                <w:rFonts w:ascii="Calibri" w:hAnsi="Calibri"/>
                <w:b w:val="0"/>
                <w:i w:val="0"/>
                <w:color w:val="212121"/>
                <w:sz w:val="16"/>
              </w:rPr>
              <w:t>Distress, depression, anxiety, fear-avoidance, job strain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Predicts transition to chronic disabling neck pain and poorer outcomes</w:t>
            </w:r>
          </w:p>
        </w:tc>
        <w:tc>
          <w:tcPr>
            <w:tcW w:type="dxa" w:w="1036"/>
            <w:vAlign w:val="top"/>
          </w:tcPr>
          <w:p>
            <w:pPr>
              <w:spacing w:after="40" w:before="0" w:line="259" w:lineRule="auto"/>
            </w:pPr>
            <w:r>
              <w:rPr>
                <w:rFonts w:ascii="Calibri" w:hAnsi="Calibri"/>
                <w:b w:val="0"/>
                <w:i w:val="0"/>
                <w:color w:val="212121"/>
                <w:sz w:val="16"/>
              </w:rPr>
              <w:t>Subacute/chronic and work-related neck pain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chronic neck pain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 and palpation</w:t>
            </w:r>
          </w:p>
        </w:tc>
        <w:tc>
          <w:tcPr>
            <w:tcW w:type="dxa" w:w="979"/>
            <w:vAlign w:val="top"/>
          </w:tcPr>
          <w:p>
            <w:pPr>
              <w:spacing w:after="40" w:before="0" w:line="259" w:lineRule="auto"/>
            </w:pPr>
            <w:r>
              <w:rPr>
                <w:rFonts w:ascii="Calibri" w:hAnsi="Calibri"/>
                <w:b w:val="0"/>
                <w:i w:val="0"/>
                <w:color w:val="212121"/>
                <w:sz w:val="16"/>
              </w:rPr>
              <w:t>Posture (forward head), deformity, paraspinal/trapezius spasm and tenderness</w:t>
            </w:r>
          </w:p>
        </w:tc>
        <w:tc>
          <w:tcPr>
            <w:tcW w:type="dxa" w:w="950"/>
            <w:vAlign w:val="top"/>
          </w:tcPr>
          <w:p>
            <w:pPr>
              <w:spacing w:after="40" w:before="0" w:line="259" w:lineRule="auto"/>
            </w:pPr>
            <w:r>
              <w:rPr>
                <w:rFonts w:ascii="Calibri" w:hAnsi="Calibri"/>
                <w:b w:val="0"/>
                <w:i w:val="0"/>
                <w:color w:val="212121"/>
                <w:sz w:val="16"/>
              </w:rPr>
              <w:t>Neutral posture, no focal tenderness</w:t>
            </w:r>
          </w:p>
        </w:tc>
        <w:tc>
          <w:tcPr>
            <w:tcW w:type="dxa" w:w="950"/>
            <w:vAlign w:val="top"/>
          </w:tcPr>
          <w:p>
            <w:pPr>
              <w:spacing w:after="40" w:before="0" w:line="259" w:lineRule="auto"/>
            </w:pPr>
            <w:r>
              <w:rPr>
                <w:rFonts w:ascii="Calibri" w:hAnsi="Calibri"/>
                <w:b w:val="0"/>
                <w:i w:val="0"/>
                <w:color w:val="212121"/>
                <w:sz w:val="16"/>
              </w:rPr>
              <w:t>Forward-head posture, muscle spasm, focal spinous/facet tenderness, torticollis</w:t>
            </w:r>
          </w:p>
        </w:tc>
        <w:tc>
          <w:tcPr>
            <w:tcW w:type="dxa" w:w="1036"/>
            <w:vAlign w:val="top"/>
          </w:tcPr>
          <w:p>
            <w:pPr>
              <w:spacing w:after="40" w:before="0" w:line="259" w:lineRule="auto"/>
            </w:pPr>
            <w:r>
              <w:rPr>
                <w:rFonts w:ascii="Calibri" w:hAnsi="Calibri"/>
                <w:b w:val="0"/>
                <w:i w:val="0"/>
                <w:color w:val="212121"/>
                <w:sz w:val="16"/>
              </w:rPr>
              <w:t>Focal bony tenderness or deformity may indicate fracture, infection (gibbus in TB) or acute wry-neck</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Gibbus deformity suggests cervical tuberculosis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Cervical range of motion</w:t>
            </w:r>
          </w:p>
        </w:tc>
        <w:tc>
          <w:tcPr>
            <w:tcW w:type="dxa" w:w="979"/>
            <w:vAlign w:val="top"/>
          </w:tcPr>
          <w:p>
            <w:pPr>
              <w:spacing w:after="40" w:before="0" w:line="259" w:lineRule="auto"/>
            </w:pPr>
            <w:r>
              <w:rPr>
                <w:rFonts w:ascii="Calibri" w:hAnsi="Calibri"/>
                <w:b w:val="0"/>
                <w:i w:val="0"/>
                <w:color w:val="212121"/>
                <w:sz w:val="16"/>
              </w:rPr>
              <w:t>Flexion, extension, rotation, lateral flexion</w:t>
            </w:r>
          </w:p>
        </w:tc>
        <w:tc>
          <w:tcPr>
            <w:tcW w:type="dxa" w:w="950"/>
            <w:vAlign w:val="top"/>
          </w:tcPr>
          <w:p>
            <w:pPr>
              <w:spacing w:after="40" w:before="0" w:line="259" w:lineRule="auto"/>
            </w:pPr>
            <w:r>
              <w:rPr>
                <w:rFonts w:ascii="Calibri" w:hAnsi="Calibri"/>
                <w:b w:val="0"/>
                <w:i w:val="0"/>
                <w:color w:val="212121"/>
                <w:sz w:val="16"/>
              </w:rPr>
              <w:t>Full, pain-free movement</w:t>
            </w:r>
          </w:p>
        </w:tc>
        <w:tc>
          <w:tcPr>
            <w:tcW w:type="dxa" w:w="950"/>
            <w:vAlign w:val="top"/>
          </w:tcPr>
          <w:p>
            <w:pPr>
              <w:spacing w:after="40" w:before="0" w:line="259" w:lineRule="auto"/>
            </w:pPr>
            <w:r>
              <w:rPr>
                <w:rFonts w:ascii="Calibri" w:hAnsi="Calibri"/>
                <w:b w:val="0"/>
                <w:i w:val="0"/>
                <w:color w:val="212121"/>
                <w:sz w:val="16"/>
              </w:rPr>
              <w:t>Restricted/painful movement, especially extension and rotation</w:t>
            </w:r>
          </w:p>
        </w:tc>
        <w:tc>
          <w:tcPr>
            <w:tcW w:type="dxa" w:w="1036"/>
            <w:vAlign w:val="top"/>
          </w:tcPr>
          <w:p>
            <w:pPr>
              <w:spacing w:after="40" w:before="0" w:line="259" w:lineRule="auto"/>
            </w:pPr>
            <w:r>
              <w:rPr>
                <w:rFonts w:ascii="Calibri" w:hAnsi="Calibri"/>
                <w:b w:val="0"/>
                <w:i w:val="0"/>
                <w:color w:val="212121"/>
                <w:sz w:val="16"/>
              </w:rPr>
              <w:t>Reduced and painful ROM supports mechanical/spondylotic neck pain</w:t>
            </w:r>
          </w:p>
        </w:tc>
        <w:tc>
          <w:tcPr>
            <w:tcW w:type="dxa" w:w="1036"/>
            <w:vAlign w:val="top"/>
          </w:tcPr>
          <w:p>
            <w:pPr>
              <w:spacing w:after="40" w:before="0" w:line="259" w:lineRule="auto"/>
            </w:pPr>
            <w:r>
              <w:rPr>
                <w:rFonts w:ascii="Calibri" w:hAnsi="Calibri"/>
                <w:b w:val="0"/>
                <w:i w:val="0"/>
                <w:color w:val="212121"/>
                <w:sz w:val="16"/>
              </w:rPr>
              <w:t>Mechanical and chronic neck pain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with pain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Upper-limb neurological exam + Spurling's test</w:t>
            </w:r>
          </w:p>
        </w:tc>
        <w:tc>
          <w:tcPr>
            <w:tcW w:type="dxa" w:w="979"/>
            <w:vAlign w:val="top"/>
          </w:tcPr>
          <w:p>
            <w:pPr>
              <w:spacing w:after="40" w:before="0" w:line="259" w:lineRule="auto"/>
            </w:pPr>
            <w:r>
              <w:rPr>
                <w:rFonts w:ascii="Calibri" w:hAnsi="Calibri"/>
                <w:b w:val="0"/>
                <w:i w:val="0"/>
                <w:color w:val="212121"/>
                <w:sz w:val="16"/>
              </w:rPr>
              <w:t>Power, reflexes, sensation; Spurling (extension-rotation-compression)</w:t>
            </w:r>
          </w:p>
        </w:tc>
        <w:tc>
          <w:tcPr>
            <w:tcW w:type="dxa" w:w="950"/>
            <w:vAlign w:val="top"/>
          </w:tcPr>
          <w:p>
            <w:pPr>
              <w:spacing w:after="40" w:before="0" w:line="259" w:lineRule="auto"/>
            </w:pPr>
            <w:r>
              <w:rPr>
                <w:rFonts w:ascii="Calibri" w:hAnsi="Calibri"/>
                <w:b w:val="0"/>
                <w:i w:val="0"/>
                <w:color w:val="212121"/>
                <w:sz w:val="16"/>
              </w:rPr>
              <w:t>Intact neurology, negative Spurling</w:t>
            </w:r>
          </w:p>
        </w:tc>
        <w:tc>
          <w:tcPr>
            <w:tcW w:type="dxa" w:w="950"/>
            <w:vAlign w:val="top"/>
          </w:tcPr>
          <w:p>
            <w:pPr>
              <w:spacing w:after="40" w:before="0" w:line="259" w:lineRule="auto"/>
            </w:pPr>
            <w:r>
              <w:rPr>
                <w:rFonts w:ascii="Calibri" w:hAnsi="Calibri"/>
                <w:b w:val="0"/>
                <w:i w:val="0"/>
                <w:color w:val="212121"/>
                <w:sz w:val="16"/>
              </w:rPr>
              <w:t>Dermatomal sensory loss, myotomal weakness, absent reflex, positive Spurling</w:t>
            </w:r>
          </w:p>
        </w:tc>
        <w:tc>
          <w:tcPr>
            <w:tcW w:type="dxa" w:w="1036"/>
            <w:vAlign w:val="top"/>
          </w:tcPr>
          <w:p>
            <w:pPr>
              <w:spacing w:after="40" w:before="0" w:line="259" w:lineRule="auto"/>
            </w:pPr>
            <w:r>
              <w:rPr>
                <w:rFonts w:ascii="Calibri" w:hAnsi="Calibri"/>
                <w:b w:val="0"/>
                <w:i w:val="0"/>
                <w:color w:val="212121"/>
                <w:sz w:val="16"/>
              </w:rPr>
              <w:t>Localises cervical radiculopathy (commonly C6/C7); Spurling ~95% sensitive, ~94% specific</w:t>
            </w:r>
          </w:p>
        </w:tc>
        <w:tc>
          <w:tcPr>
            <w:tcW w:type="dxa" w:w="1036"/>
            <w:vAlign w:val="top"/>
          </w:tcPr>
          <w:p>
            <w:pPr>
              <w:spacing w:after="40" w:before="0" w:line="259" w:lineRule="auto"/>
            </w:pPr>
            <w:r>
              <w:rPr>
                <w:rFonts w:ascii="Calibri" w:hAnsi="Calibri"/>
                <w:b w:val="0"/>
                <w:i w:val="0"/>
                <w:color w:val="212121"/>
                <w:sz w:val="16"/>
              </w:rPr>
              <w:t>Arm pain, suspected disc/foraminal compression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Progressive deficit warrants urgent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Myelopathy screen</w:t>
            </w:r>
          </w:p>
        </w:tc>
        <w:tc>
          <w:tcPr>
            <w:tcW w:type="dxa" w:w="979"/>
            <w:vAlign w:val="top"/>
          </w:tcPr>
          <w:p>
            <w:pPr>
              <w:spacing w:after="40" w:before="0" w:line="259" w:lineRule="auto"/>
            </w:pPr>
            <w:r>
              <w:rPr>
                <w:rFonts w:ascii="Calibri" w:hAnsi="Calibri"/>
                <w:b w:val="0"/>
                <w:i w:val="0"/>
                <w:color w:val="212121"/>
                <w:sz w:val="16"/>
              </w:rPr>
              <w:t>Hoffmann sign, hyperreflexia, clonus, Babinski, gait, Lhermitte, hand dexterity</w:t>
            </w:r>
          </w:p>
        </w:tc>
        <w:tc>
          <w:tcPr>
            <w:tcW w:type="dxa" w:w="950"/>
            <w:vAlign w:val="top"/>
          </w:tcPr>
          <w:p>
            <w:pPr>
              <w:spacing w:after="40" w:before="0" w:line="259" w:lineRule="auto"/>
            </w:pPr>
            <w:r>
              <w:rPr>
                <w:rFonts w:ascii="Calibri" w:hAnsi="Calibri"/>
                <w:b w:val="0"/>
                <w:i w:val="0"/>
                <w:color w:val="212121"/>
                <w:sz w:val="16"/>
              </w:rPr>
              <w:t>No long-tract signs, normal gait and dexterity</w:t>
            </w:r>
          </w:p>
        </w:tc>
        <w:tc>
          <w:tcPr>
            <w:tcW w:type="dxa" w:w="950"/>
            <w:vAlign w:val="top"/>
          </w:tcPr>
          <w:p>
            <w:pPr>
              <w:spacing w:after="40" w:before="0" w:line="259" w:lineRule="auto"/>
            </w:pPr>
            <w:r>
              <w:rPr>
                <w:rFonts w:ascii="Calibri" w:hAnsi="Calibri"/>
                <w:b w:val="0"/>
                <w:i w:val="0"/>
                <w:color w:val="212121"/>
                <w:sz w:val="16"/>
              </w:rPr>
              <w:t>Positive Hoffmann/Babinski, hyperreflexia, clonus, spastic/broad-based gait, clumsy hands</w:t>
            </w:r>
          </w:p>
        </w:tc>
        <w:tc>
          <w:tcPr>
            <w:tcW w:type="dxa" w:w="1036"/>
            <w:vAlign w:val="top"/>
          </w:tcPr>
          <w:p>
            <w:pPr>
              <w:spacing w:after="40" w:before="0" w:line="259" w:lineRule="auto"/>
            </w:pPr>
            <w:r>
              <w:rPr>
                <w:rFonts w:ascii="Calibri" w:hAnsi="Calibri"/>
                <w:b w:val="0"/>
                <w:i w:val="0"/>
                <w:color w:val="212121"/>
                <w:sz w:val="16"/>
              </w:rPr>
              <w:t>Detects cervical spondylotic myelopathy - a neurosurgical concern needing urgent MRI</w:t>
            </w:r>
          </w:p>
        </w:tc>
        <w:tc>
          <w:tcPr>
            <w:tcW w:type="dxa" w:w="1036"/>
            <w:vAlign w:val="top"/>
          </w:tcPr>
          <w:p>
            <w:pPr>
              <w:spacing w:after="40" w:before="0" w:line="259" w:lineRule="auto"/>
            </w:pPr>
            <w:r>
              <w:rPr>
                <w:rFonts w:ascii="Calibri" w:hAnsi="Calibri"/>
                <w:b w:val="0"/>
                <w:i w:val="0"/>
                <w:color w:val="212121"/>
                <w:sz w:val="16"/>
              </w:rPr>
              <w:t>Older adults, hand clumsiness, gait imbalance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 findings need urgent MRI and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Neck pain and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pain and stiffness across the back and sides of the neck, often after sustained posture or activity.</w:t>
            </w:r>
          </w:p>
        </w:tc>
      </w:tr>
      <w:tr>
        <w:trPr>
          <w:cantSplit/>
        </w:trPr>
        <w:tc>
          <w:tcPr>
            <w:tcW w:type="dxa" w:w="2304"/>
            <w:vAlign w:val="top"/>
          </w:tcPr>
          <w:p>
            <w:pPr>
              <w:spacing w:after="40" w:before="0" w:line="259" w:lineRule="auto"/>
            </w:pPr>
            <w:r>
              <w:rPr>
                <w:rFonts w:ascii="Calibri" w:hAnsi="Calibri"/>
                <w:b/>
                <w:i w:val="0"/>
                <w:color w:val="212121"/>
                <w:sz w:val="19"/>
              </w:rPr>
              <w:t>Pain worse with posture/movement, eased by rest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mechanical pattern of non-specific and spondylotic neck pain.</w:t>
            </w:r>
          </w:p>
        </w:tc>
      </w:tr>
      <w:tr>
        <w:trPr>
          <w:cantSplit/>
        </w:trPr>
        <w:tc>
          <w:tcPr>
            <w:tcW w:type="dxa" w:w="2304"/>
            <w:vAlign w:val="top"/>
          </w:tcPr>
          <w:p>
            <w:pPr>
              <w:spacing w:after="40" w:before="0" w:line="259" w:lineRule="auto"/>
            </w:pPr>
            <w:r>
              <w:rPr>
                <w:rFonts w:ascii="Calibri" w:hAnsi="Calibri"/>
                <w:b/>
                <w:i w:val="0"/>
                <w:color w:val="212121"/>
                <w:sz w:val="19"/>
              </w:rPr>
              <w:t>Paraspinal / trapezius muscle spasm and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tightening and guarding of the neck and shoulder-girdle muscles, limiting movement.</w:t>
            </w:r>
          </w:p>
        </w:tc>
      </w:tr>
      <w:tr>
        <w:trPr>
          <w:cantSplit/>
        </w:trPr>
        <w:tc>
          <w:tcPr>
            <w:tcW w:type="dxa" w:w="2304"/>
            <w:vAlign w:val="top"/>
          </w:tcPr>
          <w:p>
            <w:pPr>
              <w:spacing w:after="40" w:before="0" w:line="259" w:lineRule="auto"/>
            </w:pPr>
            <w:r>
              <w:rPr>
                <w:rFonts w:ascii="Calibri" w:hAnsi="Calibri"/>
                <w:b/>
                <w:i w:val="0"/>
                <w:color w:val="212121"/>
                <w:sz w:val="19"/>
              </w:rPr>
              <w:t>Reduced neck range of motion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turning, bending or extending the neck due to pain and stiffness.</w:t>
            </w:r>
          </w:p>
        </w:tc>
      </w:tr>
      <w:tr>
        <w:trPr>
          <w:cantSplit/>
        </w:trPr>
        <w:tc>
          <w:tcPr>
            <w:tcW w:type="dxa" w:w="2304"/>
            <w:vAlign w:val="top"/>
          </w:tcPr>
          <w:p>
            <w:pPr>
              <w:spacing w:after="40" w:before="0" w:line="259" w:lineRule="auto"/>
            </w:pPr>
            <w:r>
              <w:rPr>
                <w:rFonts w:ascii="Calibri" w:hAnsi="Calibri"/>
                <w:b/>
                <w:i w:val="0"/>
                <w:color w:val="212121"/>
                <w:sz w:val="19"/>
              </w:rPr>
              <w:t>Occipital / cervicogenic 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referred from the upper cervical spine to the back of the head, often with neck stiffness.</w:t>
            </w:r>
          </w:p>
        </w:tc>
      </w:tr>
      <w:tr>
        <w:trPr>
          <w:cantSplit/>
        </w:trPr>
        <w:tc>
          <w:tcPr>
            <w:tcW w:type="dxa" w:w="2304"/>
            <w:vAlign w:val="top"/>
          </w:tcPr>
          <w:p>
            <w:pPr>
              <w:spacing w:after="40" w:before="0" w:line="259" w:lineRule="auto"/>
            </w:pPr>
            <w:r>
              <w:rPr>
                <w:rFonts w:ascii="Calibri" w:hAnsi="Calibri"/>
                <w:b/>
                <w:i w:val="0"/>
                <w:color w:val="212121"/>
                <w:sz w:val="19"/>
              </w:rPr>
              <w:t>Radiating arm pain (brachialgia)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shooting from the neck into the shoulder and down the arm in a nerve-root distribution.</w:t>
            </w:r>
          </w:p>
        </w:tc>
      </w:tr>
      <w:tr>
        <w:trPr>
          <w:cantSplit/>
        </w:trPr>
        <w:tc>
          <w:tcPr>
            <w:tcW w:type="dxa" w:w="2304"/>
            <w:vAlign w:val="top"/>
          </w:tcPr>
          <w:p>
            <w:pPr>
              <w:spacing w:after="40" w:before="0" w:line="259" w:lineRule="auto"/>
            </w:pPr>
            <w:r>
              <w:rPr>
                <w:rFonts w:ascii="Calibri" w:hAnsi="Calibri"/>
                <w:b/>
                <w:i w:val="0"/>
                <w:color w:val="212121"/>
                <w:sz w:val="19"/>
              </w:rPr>
              <w:t>Arm or hand numbness / tingling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Dermatomal paraesthesia suggesting nerve-root involvement (e.g. C6 or C7).</w:t>
            </w:r>
          </w:p>
        </w:tc>
      </w:tr>
      <w:tr>
        <w:trPr>
          <w:cantSplit/>
        </w:trPr>
        <w:tc>
          <w:tcPr>
            <w:tcW w:type="dxa" w:w="2304"/>
            <w:vAlign w:val="top"/>
          </w:tcPr>
          <w:p>
            <w:pPr>
              <w:spacing w:after="40" w:before="0" w:line="259" w:lineRule="auto"/>
            </w:pPr>
            <w:r>
              <w:rPr>
                <w:rFonts w:ascii="Calibri" w:hAnsi="Calibri"/>
                <w:b/>
                <w:i w:val="0"/>
                <w:color w:val="212121"/>
                <w:sz w:val="19"/>
              </w:rPr>
              <w:t>Arm or hand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Myotomal weakness (e.g. grip or elbow extension) indicates significant nerve-root compression.</w:t>
            </w:r>
          </w:p>
        </w:tc>
      </w:tr>
      <w:tr>
        <w:trPr>
          <w:cantSplit/>
        </w:trPr>
        <w:tc>
          <w:tcPr>
            <w:tcW w:type="dxa" w:w="2304"/>
            <w:vAlign w:val="top"/>
          </w:tcPr>
          <w:p>
            <w:pPr>
              <w:spacing w:after="40" w:before="0" w:line="259" w:lineRule="auto"/>
            </w:pPr>
            <w:r>
              <w:rPr>
                <w:rFonts w:ascii="Calibri" w:hAnsi="Calibri"/>
                <w:b/>
                <w:i w:val="0"/>
                <w:color w:val="212121"/>
                <w:sz w:val="19"/>
              </w:rPr>
              <w:t>Dizziness / lightheadedness on neck movement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Cervicogenic dizziness or, rarely, vertebrobasilar symptoms provoked by neck position.</w:t>
            </w:r>
          </w:p>
        </w:tc>
      </w:tr>
      <w:tr>
        <w:trPr>
          <w:cantSplit/>
        </w:trPr>
        <w:tc>
          <w:tcPr>
            <w:tcW w:type="dxa" w:w="2304"/>
            <w:vAlign w:val="top"/>
          </w:tcPr>
          <w:p>
            <w:pPr>
              <w:spacing w:after="40" w:before="0" w:line="259" w:lineRule="auto"/>
            </w:pPr>
            <w:r>
              <w:rPr>
                <w:rFonts w:ascii="Calibri" w:hAnsi="Calibri"/>
                <w:b/>
                <w:i w:val="0"/>
                <w:color w:val="212121"/>
                <w:sz w:val="19"/>
              </w:rPr>
              <w:t>Hand clumsiness / loss of fine dexterity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Difficulty with buttons, writing or handling coins - an early feature of cervical myelopathy.</w:t>
            </w:r>
          </w:p>
        </w:tc>
      </w:tr>
      <w:tr>
        <w:trPr>
          <w:cantSplit/>
        </w:trPr>
        <w:tc>
          <w:tcPr>
            <w:tcW w:type="dxa" w:w="2304"/>
            <w:vAlign w:val="top"/>
          </w:tcPr>
          <w:p>
            <w:pPr>
              <w:spacing w:after="40" w:before="0" w:line="259" w:lineRule="auto"/>
            </w:pPr>
            <w:r>
              <w:rPr>
                <w:rFonts w:ascii="Calibri" w:hAnsi="Calibri"/>
                <w:b/>
                <w:i w:val="0"/>
                <w:color w:val="212121"/>
                <w:sz w:val="19"/>
              </w:rPr>
              <w:t>Gait imbalance / unsteadiness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Broad-based or unsteady walking suggests spinal-cord (myelopathic) involvement.</w:t>
            </w:r>
          </w:p>
        </w:tc>
      </w:tr>
      <w:tr>
        <w:trPr>
          <w:cantSplit/>
        </w:trPr>
        <w:tc>
          <w:tcPr>
            <w:tcW w:type="dxa" w:w="2304"/>
            <w:vAlign w:val="top"/>
          </w:tcPr>
          <w:p>
            <w:pPr>
              <w:spacing w:after="40" w:before="0" w:line="259" w:lineRule="auto"/>
            </w:pPr>
            <w:r>
              <w:rPr>
                <w:rFonts w:ascii="Calibri" w:hAnsi="Calibri"/>
                <w:b/>
                <w:i w:val="0"/>
                <w:color w:val="212121"/>
                <w:sz w:val="19"/>
              </w:rPr>
              <w:t>Lhermitte phenomenon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electric-shock sensation down the spine or limbs on neck flexion, suggesting cord irritation.</w:t>
            </w:r>
          </w:p>
        </w:tc>
      </w:tr>
      <w:tr>
        <w:trPr>
          <w:cantSplit/>
        </w:trPr>
        <w:tc>
          <w:tcPr>
            <w:tcW w:type="dxa" w:w="2304"/>
            <w:vAlign w:val="top"/>
          </w:tcPr>
          <w:p>
            <w:pPr>
              <w:spacing w:after="40" w:before="0" w:line="259" w:lineRule="auto"/>
            </w:pPr>
            <w:r>
              <w:rPr>
                <w:rFonts w:ascii="Calibri" w:hAnsi="Calibri"/>
                <w:b/>
                <w:i w:val="0"/>
                <w:color w:val="212121"/>
                <w:sz w:val="19"/>
              </w:rPr>
              <w:t>Bladder or bowel dysfunction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Urinary urgency or retention in advanced cervical myelopathy - a red flag needing urgent imaging.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Paraspinal / trapezius spasm and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tightness and protective stiffening of the neck and shoulder muscles.</w:t>
            </w:r>
          </w:p>
        </w:tc>
      </w:tr>
      <w:tr>
        <w:trPr>
          <w:cantSplit/>
        </w:trPr>
        <w:tc>
          <w:tcPr>
            <w:tcW w:type="dxa" w:w="3456"/>
            <w:vAlign w:val="top"/>
          </w:tcPr>
          <w:p>
            <w:pPr>
              <w:spacing w:after="40" w:before="0" w:line="259" w:lineRule="auto"/>
            </w:pPr>
            <w:r>
              <w:rPr>
                <w:rFonts w:ascii="Calibri" w:hAnsi="Calibri"/>
                <w:b/>
                <w:i w:val="0"/>
                <w:color w:val="212121"/>
                <w:sz w:val="19"/>
              </w:rPr>
              <w:t>Cervical tenderness (facet, spinous or muscular)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bony tenderness may indicate fracture or infection; diffuse muscular tenderness is usual in mechanical neck pain.</w:t>
            </w:r>
          </w:p>
        </w:tc>
      </w:tr>
      <w:tr>
        <w:trPr>
          <w:cantSplit/>
        </w:trPr>
        <w:tc>
          <w:tcPr>
            <w:tcW w:type="dxa" w:w="3456"/>
            <w:vAlign w:val="top"/>
          </w:tcPr>
          <w:p>
            <w:pPr>
              <w:spacing w:after="40" w:before="0" w:line="259" w:lineRule="auto"/>
            </w:pPr>
            <w:r>
              <w:rPr>
                <w:rFonts w:ascii="Calibri" w:hAnsi="Calibri"/>
                <w:b/>
                <w:i w:val="0"/>
                <w:color w:val="212121"/>
                <w:sz w:val="19"/>
              </w:rPr>
              <w:t>Restricted / painful cervical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rotation, extension and lateral flexion, often with a hard end-feel in spondylosis.</w:t>
            </w:r>
          </w:p>
        </w:tc>
      </w:tr>
      <w:tr>
        <w:trPr>
          <w:cantSplit/>
        </w:trPr>
        <w:tc>
          <w:tcPr>
            <w:tcW w:type="dxa" w:w="3456"/>
            <w:vAlign w:val="top"/>
          </w:tcPr>
          <w:p>
            <w:pPr>
              <w:spacing w:after="40" w:before="0" w:line="259" w:lineRule="auto"/>
            </w:pPr>
            <w:r>
              <w:rPr>
                <w:rFonts w:ascii="Calibri" w:hAnsi="Calibri"/>
                <w:b/>
                <w:i w:val="0"/>
                <w:color w:val="212121"/>
                <w:sz w:val="19"/>
              </w:rPr>
              <w:t>Positive Spurling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Neck extension, rotation and axial compression reproducing dermatomal arm pain indicates nerve-root compression.</w:t>
            </w:r>
          </w:p>
        </w:tc>
      </w:tr>
      <w:tr>
        <w:trPr>
          <w:cantSplit/>
        </w:trPr>
        <w:tc>
          <w:tcPr>
            <w:tcW w:type="dxa" w:w="3456"/>
            <w:vAlign w:val="top"/>
          </w:tcPr>
          <w:p>
            <w:pPr>
              <w:spacing w:after="40" w:before="0" w:line="259" w:lineRule="auto"/>
            </w:pPr>
            <w:r>
              <w:rPr>
                <w:rFonts w:ascii="Calibri" w:hAnsi="Calibri"/>
                <w:b/>
                <w:i w:val="0"/>
                <w:color w:val="212121"/>
                <w:sz w:val="19"/>
              </w:rPr>
              <w:t>Dermatomal upper-limb sensory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sensation in a C6 or C7 distribution supports radiculopathy.</w:t>
            </w:r>
          </w:p>
        </w:tc>
      </w:tr>
      <w:tr>
        <w:trPr>
          <w:cantSplit/>
        </w:trPr>
        <w:tc>
          <w:tcPr>
            <w:tcW w:type="dxa" w:w="3456"/>
            <w:vAlign w:val="top"/>
          </w:tcPr>
          <w:p>
            <w:pPr>
              <w:spacing w:after="40" w:before="0" w:line="259" w:lineRule="auto"/>
            </w:pPr>
            <w:r>
              <w:rPr>
                <w:rFonts w:ascii="Calibri" w:hAnsi="Calibri"/>
                <w:b/>
                <w:i w:val="0"/>
                <w:color w:val="212121"/>
                <w:sz w:val="19"/>
              </w:rPr>
              <w:t>Myotomal motor weakness of the upper limb</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Weak wrist extension (C6), elbow extension/grip (C7) or finger movements localises the affected root.</w:t>
            </w:r>
          </w:p>
        </w:tc>
      </w:tr>
      <w:tr>
        <w:trPr>
          <w:cantSplit/>
        </w:trPr>
        <w:tc>
          <w:tcPr>
            <w:tcW w:type="dxa" w:w="3456"/>
            <w:vAlign w:val="top"/>
          </w:tcPr>
          <w:p>
            <w:pPr>
              <w:spacing w:after="40" w:before="0" w:line="259" w:lineRule="auto"/>
            </w:pPr>
            <w:r>
              <w:rPr>
                <w:rFonts w:ascii="Calibri" w:hAnsi="Calibri"/>
                <w:b/>
                <w:i w:val="0"/>
                <w:color w:val="212121"/>
                <w:sz w:val="19"/>
              </w:rPr>
              <w:t>Diminished or absent upper-limb reflex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biceps (C5-6), brachioradialis (C6) or triceps (C7) reflex supports radiculopathy.</w:t>
            </w:r>
          </w:p>
        </w:tc>
      </w:tr>
      <w:tr>
        <w:trPr>
          <w:cantSplit/>
        </w:trPr>
        <w:tc>
          <w:tcPr>
            <w:tcW w:type="dxa" w:w="3456"/>
            <w:vAlign w:val="top"/>
          </w:tcPr>
          <w:p>
            <w:pPr>
              <w:spacing w:after="40" w:before="0" w:line="259" w:lineRule="auto"/>
            </w:pPr>
            <w:r>
              <w:rPr>
                <w:rFonts w:ascii="Calibri" w:hAnsi="Calibri"/>
                <w:b/>
                <w:i w:val="0"/>
                <w:color w:val="212121"/>
                <w:sz w:val="19"/>
              </w:rPr>
              <w:t>Positive Hoffmann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Reflex thumb/finger flexion on flicking the middle-finger nail indicates an upper-motor-neuron (myelopathic) lesion.</w:t>
            </w:r>
          </w:p>
        </w:tc>
      </w:tr>
      <w:tr>
        <w:trPr>
          <w:cantSplit/>
        </w:trPr>
        <w:tc>
          <w:tcPr>
            <w:tcW w:type="dxa" w:w="3456"/>
            <w:vAlign w:val="top"/>
          </w:tcPr>
          <w:p>
            <w:pPr>
              <w:spacing w:after="40" w:before="0" w:line="259" w:lineRule="auto"/>
            </w:pPr>
            <w:r>
              <w:rPr>
                <w:rFonts w:ascii="Calibri" w:hAnsi="Calibri"/>
                <w:b/>
                <w:i w:val="0"/>
                <w:color w:val="212121"/>
                <w:sz w:val="19"/>
              </w:rPr>
              <w:t>Hyperreflexia, clonus or positive Babinski</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Long-tract signs in the limbs indicate cervical spondylotic myelopathy.</w:t>
            </w:r>
          </w:p>
        </w:tc>
      </w:tr>
      <w:tr>
        <w:trPr>
          <w:cantSplit/>
        </w:trPr>
        <w:tc>
          <w:tcPr>
            <w:tcW w:type="dxa" w:w="3456"/>
            <w:vAlign w:val="top"/>
          </w:tcPr>
          <w:p>
            <w:pPr>
              <w:spacing w:after="40" w:before="0" w:line="259" w:lineRule="auto"/>
            </w:pPr>
            <w:r>
              <w:rPr>
                <w:rFonts w:ascii="Calibri" w:hAnsi="Calibri"/>
                <w:b/>
                <w:i w:val="0"/>
                <w:color w:val="212121"/>
                <w:sz w:val="19"/>
              </w:rPr>
              <w:t>Spastic / broad-based gait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Stiff, unsteady walking reflects corticospinal-tract compression in myelopathy.</w:t>
            </w:r>
          </w:p>
        </w:tc>
      </w:tr>
      <w:tr>
        <w:trPr>
          <w:cantSplit/>
        </w:trPr>
        <w:tc>
          <w:tcPr>
            <w:tcW w:type="dxa" w:w="3456"/>
            <w:vAlign w:val="top"/>
          </w:tcPr>
          <w:p>
            <w:pPr>
              <w:spacing w:after="40" w:before="0" w:line="259" w:lineRule="auto"/>
            </w:pPr>
            <w:r>
              <w:rPr>
                <w:rFonts w:ascii="Calibri" w:hAnsi="Calibri"/>
                <w:b/>
                <w:i w:val="0"/>
                <w:color w:val="212121"/>
                <w:sz w:val="19"/>
              </w:rPr>
              <w:t>Wasting of intrinsic hand muscles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Thenar/interosseous atrophy indicates chronic lower cervical root or myeloradicular compression.</w:t>
            </w:r>
          </w:p>
        </w:tc>
      </w:tr>
      <w:tr>
        <w:trPr>
          <w:cantSplit/>
        </w:trPr>
        <w:tc>
          <w:tcPr>
            <w:tcW w:type="dxa" w:w="3456"/>
            <w:vAlign w:val="top"/>
          </w:tcPr>
          <w:p>
            <w:pPr>
              <w:spacing w:after="40" w:before="0" w:line="259" w:lineRule="auto"/>
            </w:pPr>
            <w:r>
              <w:rPr>
                <w:rFonts w:ascii="Calibri" w:hAnsi="Calibri"/>
                <w:b/>
                <w:i w:val="0"/>
                <w:color w:val="212121"/>
                <w:sz w:val="19"/>
              </w:rPr>
              <w:t>Gibbus / angular cervical deformity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sharp kyphotic deformity is characteristic of cervical tuberculosis (Pott's spine) or vertebral collapse.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neck pain, muscle spasm and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Restricted neck movement and difficulty with daily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Cervicogenic / occipital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Short-term work absence and reduced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pain</w:t>
            </w:r>
          </w:p>
        </w:tc>
        <w:tc>
          <w:tcPr>
            <w:tcW w:type="dxa" w:w="2980"/>
            <w:vAlign w:val="top"/>
          </w:tcPr>
          <w:p>
            <w:pPr>
              <w:spacing w:after="40" w:before="0" w:line="259" w:lineRule="auto"/>
            </w:pPr>
            <w:r>
              <w:rPr>
                <w:rFonts w:ascii="Calibri" w:hAnsi="Calibri"/>
                <w:b w:val="0"/>
                <w:i w:val="0"/>
                <w:color w:val="212121"/>
                <w:sz w:val="19"/>
              </w:rPr>
              <w:t>Direct short-term consequences of the acute painful episode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Transition of acute pain to chronic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cervical radiculopathy with nerve-root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episodes and progressive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cervicogenic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overuse, including inappropriate opioid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Reactive low mood, anxiety and fear-avoidance behaviour</w:t>
            </w:r>
          </w:p>
        </w:tc>
        <w:tc>
          <w:tcPr>
            <w:tcW w:type="dxa" w:w="2980"/>
            <w:vAlign w:val="top"/>
          </w:tcPr>
          <w:p>
            <w:pPr>
              <w:spacing w:after="40" w:before="0" w:line="259" w:lineRule="auto"/>
            </w:pPr>
            <w:r>
              <w:rPr>
                <w:rFonts w:ascii="Calibri" w:hAnsi="Calibri"/>
                <w:b w:val="0"/>
                <w:i w:val="0"/>
                <w:color w:val="212121"/>
                <w:sz w:val="19"/>
              </w:rPr>
              <w:t>Result from unresolved pain, poor recovery and psychosocial factors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spondylotic myelopathy with permanent cord damage (quadriparesis, hand atrophy, gait and sphincter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nerve-root deficit with weakness and muscle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neck pain with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Failed neck surgery syndrome and chronic pain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Instability or deformity requiring major reconstructive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social withdrawal from chronic disability</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Cervical radiculopathy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Nerve-root compression from spondylotic foraminal narrowing or disc herniation (commonly C6-C7, C5-C6) causing arm pain, sensory loss and weakness; Spurling's test is highly specific.</w:t>
            </w:r>
          </w:p>
        </w:tc>
      </w:tr>
      <w:tr>
        <w:trPr>
          <w:cantSplit/>
        </w:trPr>
        <w:tc>
          <w:tcPr>
            <w:tcW w:type="dxa" w:w="2232"/>
            <w:vAlign w:val="top"/>
          </w:tcPr>
          <w:p>
            <w:pPr>
              <w:spacing w:after="40" w:before="0" w:line="259" w:lineRule="auto"/>
            </w:pPr>
            <w:r>
              <w:rPr>
                <w:rFonts w:ascii="Calibri" w:hAnsi="Calibri"/>
                <w:b/>
                <w:i w:val="0"/>
                <w:color w:val="212121"/>
                <w:sz w:val="19"/>
              </w:rPr>
              <w:t>Cervical spondylotic myelopathy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Cord compression from advanced spondylosis - the commonest cause of spinal-cord dysfunction in adults over 55; often painless with hand clumsiness and gait imbalance.</w:t>
            </w:r>
          </w:p>
          <w:p>
            <w:pPr>
              <w:spacing w:after="40" w:before="0" w:line="259" w:lineRule="auto"/>
            </w:pPr>
            <w:r>
              <w:rPr>
                <w:rFonts w:ascii="Calibri" w:hAnsi="Calibri"/>
                <w:b/>
                <w:i w:val="0"/>
                <w:color w:val="212121"/>
                <w:sz w:val="19"/>
              </w:rPr>
              <w:t>Up to ~85-95% radiographic spondylosis in the elderly</w:t>
            </w:r>
          </w:p>
        </w:tc>
      </w:tr>
      <w:tr>
        <w:trPr>
          <w:cantSplit/>
        </w:trPr>
        <w:tc>
          <w:tcPr>
            <w:tcW w:type="dxa" w:w="2232"/>
            <w:vAlign w:val="top"/>
          </w:tcPr>
          <w:p>
            <w:pPr>
              <w:spacing w:after="40" w:before="0" w:line="259" w:lineRule="auto"/>
            </w:pPr>
            <w:r>
              <w:rPr>
                <w:rFonts w:ascii="Calibri" w:hAnsi="Calibri"/>
                <w:b/>
                <w:i w:val="0"/>
                <w:color w:val="212121"/>
                <w:sz w:val="19"/>
              </w:rPr>
              <w:t>Cervicogenic headache and migraine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Upper cervical joint and muscle dysfunction refers pain to the head; neck pain frequently coexists with and worsens tension-type headache and migraine.</w:t>
            </w:r>
          </w:p>
        </w:tc>
      </w:tr>
      <w:tr>
        <w:trPr>
          <w:cantSplit/>
        </w:trPr>
        <w:tc>
          <w:tcPr>
            <w:tcW w:type="dxa" w:w="2232"/>
            <w:vAlign w:val="top"/>
          </w:tcPr>
          <w:p>
            <w:pPr>
              <w:spacing w:after="40" w:before="0" w:line="259" w:lineRule="auto"/>
            </w:pPr>
            <w:r>
              <w:rPr>
                <w:rFonts w:ascii="Calibri" w:hAnsi="Calibri"/>
                <w:b/>
                <w:i w:val="0"/>
                <w:color w:val="212121"/>
                <w:sz w:val="19"/>
              </w:rPr>
              <w:t>Shoulder disorders (rotator cuff, adhesive capsulitis)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 and referred pain around the neck-shoulder girdle; the two commonly coexist and can be confused clinically.</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Bidirectionally linked with chronic neck pain; in one chronic-neck-pain cohort 68.4% had anxiety and 55.7% had depression.</w:t>
            </w:r>
          </w:p>
          <w:p>
            <w:pPr>
              <w:spacing w:after="40" w:before="0" w:line="259" w:lineRule="auto"/>
            </w:pPr>
            <w:r>
              <w:rPr>
                <w:rFonts w:ascii="Calibri" w:hAnsi="Calibri"/>
                <w:b/>
                <w:i w:val="0"/>
                <w:color w:val="212121"/>
                <w:sz w:val="19"/>
              </w:rPr>
              <w:t>Anxiety ~68%, depression ~56%</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post-menopausal women and the elderly, adding fragility and fracture risk to degenerative neck disease.</w:t>
            </w:r>
          </w:p>
        </w:tc>
      </w:tr>
      <w:tr>
        <w:trPr>
          <w:cantSplit/>
        </w:trPr>
        <w:tc>
          <w:tcPr>
            <w:tcW w:type="dxa" w:w="2232"/>
            <w:vAlign w:val="top"/>
          </w:tcPr>
          <w:p>
            <w:pPr>
              <w:spacing w:after="40" w:before="0" w:line="259" w:lineRule="auto"/>
            </w:pPr>
            <w:r>
              <w:rPr>
                <w:rFonts w:ascii="Calibri" w:hAnsi="Calibri"/>
                <w:b/>
                <w:i w:val="0"/>
                <w:color w:val="212121"/>
                <w:sz w:val="19"/>
              </w:rPr>
              <w:t>Temporomandibular joint (TMJ) dysfunction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postural and muscular mechanisms with neck pain and frequently coexists.</w:t>
            </w:r>
          </w:p>
        </w:tc>
      </w:tr>
      <w:tr>
        <w:trPr>
          <w:cantSplit/>
        </w:trPr>
        <w:tc>
          <w:tcPr>
            <w:tcW w:type="dxa" w:w="2232"/>
            <w:vAlign w:val="top"/>
          </w:tcPr>
          <w:p>
            <w:pPr>
              <w:spacing w:after="40" w:before="0" w:line="259" w:lineRule="auto"/>
            </w:pPr>
            <w:r>
              <w:rPr>
                <w:rFonts w:ascii="Calibri" w:hAnsi="Calibri"/>
                <w:b/>
                <w:i w:val="0"/>
                <w:color w:val="212121"/>
                <w:sz w:val="19"/>
              </w:rPr>
              <w:t>Whiplash-associated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Acceleration-deceleration neck injury (often road-traffic) causing acute and sometimes chronic neck pain; important given India's high road-traffic-injury burden.</w:t>
            </w:r>
          </w:p>
        </w:tc>
      </w:tr>
      <w:tr>
        <w:trPr>
          <w:cantSplit/>
        </w:trPr>
        <w:tc>
          <w:tcPr>
            <w:tcW w:type="dxa" w:w="2232"/>
            <w:vAlign w:val="top"/>
          </w:tcPr>
          <w:p>
            <w:pPr>
              <w:spacing w:after="40" w:before="0" w:line="259" w:lineRule="auto"/>
            </w:pPr>
            <w:r>
              <w:rPr>
                <w:rFonts w:ascii="Calibri" w:hAnsi="Calibri"/>
                <w:b/>
                <w:i w:val="0"/>
                <w:color w:val="212121"/>
                <w:sz w:val="19"/>
              </w:rPr>
              <w:t>Peripheral nerve entrapment (carpal tunnel / thoracic outlet)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Can coexist with cervical radiculopathy as a 'double-crush', complicating diagnosis of arm symptoms.</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associated with non-specific musculoskeletal pain and low bone density.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neck pain is non-specific, not dangerous, and improves within a few weeks; staying active and gently mobile speeds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up an ergonomic workstation: screen at eye level, forearms supported, and avoid prolonged forward-head 'text-neck' posture over laptops and phones.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sustained screen and desk time every 30 minutes with neck and shoulder movement; hold the phone up rather than looking 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use of a collar or bed rest for simple neck pain - keep the neck moving within 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supportive pillow that keeps the neck neutral and avoid sleeping in awkward positions.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that need prompt medical care: numbness or weakness spreading in the arms or legs, clumsy hands, unsteady walking, loss of bladder or bowel control, fever, unexplained weight loss, or severe pain after significant trauma.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and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heavy smartphone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and head-load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first episode of neck pain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and return to normal activity early rather than resting the neck; gentle range-of-motion exercises reduce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cervico-scapulothoracic and deep-neck-flexor strengthening (2-3 times/week) - the exercise approach with the best evidence for reducing chronic neck pain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postural, scapular-setting and shoulder-girdle exercises to counter forward-head posture.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general aerobic activity (&gt;=150 min/week) to improve fitness and pain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supervised physiotherapy, and structured yoga, for persistent or recurrent neck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or chronic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desk/IT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recovering from an episode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(Asian-Indian BMI 18-22.9) to reduce mechanical load on the neck.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through safe sun exposure, diet and supplementation where deficient, to protect bone and muscle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fibre-rich diet with adequate protein to support muscle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energy-dense foods that promote weight gain and inflammation.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vitamin-D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treating pain-related insomnia helps break the pain-poor sleep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supportive pillow (contoured or of appropriate height) that keeps the neck neutral - avoid too many or too high pillows.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on the back or side rather than prone (face-down), which forces prolonged neck rotation.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good sleep hygiene.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neck 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morning neck stiffness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 smoking impairs disc nutrition and accelerates cervical disc degeneration and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medications)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exercise and weight control for best musculoskeletal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 with chronic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cervical spondylosis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avoid heavy or binge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relying on alcohol to cope with pain or to sleep, which impairs recovery and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cautious combining alcohol with analgesics and muscle relaxants.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intake to lower fall, injury and fracture risk, especially in older adults.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and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neck pain patients on analgesics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'yellow flags' - distress, depression, anxiety, fear-avoidance and job strain - which strongly predict chronic disabling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reassurance and education to reduce fear-avoidance and encourage a return to activity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or psychologically informed physiotherapy for persistent or high-distress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relaxation and pacing strategies, and address workplace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graded return to work and normal roles rather than prolonged withdrawal.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and recurrent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Work-related neck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distress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fear-avoidance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orldwidejournals.com/indian-journal-of-applied-research-(IJAR)/recent_issues_pdf/2017/June/June_2017_1496325223__124.pdf" TargetMode="External"/><Relationship Id="rId10" Type="http://schemas.openxmlformats.org/officeDocument/2006/relationships/hyperlink" Target="https://www.ncbi.nlm.nih.gov/books/NBK551557/" TargetMode="External"/><Relationship Id="rId11" Type="http://schemas.openxmlformats.org/officeDocument/2006/relationships/hyperlink" Target="https://researchonline.jcu.edu.au/87316/" TargetMode="External"/><Relationship Id="rId12" Type="http://schemas.openxmlformats.org/officeDocument/2006/relationships/hyperlink" Target="https://academic.oup.com/joh/article/67/1/uiae077/7926635" TargetMode="External"/><Relationship Id="rId13" Type="http://schemas.openxmlformats.org/officeDocument/2006/relationships/hyperlink" Target="https://link.springer.com/article/10.1007/s10389-019-01139-4" TargetMode="External"/><Relationship Id="rId14" Type="http://schemas.openxmlformats.org/officeDocument/2006/relationships/hyperlink" Target="https://link.springer.com/article/10.1007/s00586-020-06585-3" TargetMode="External"/><Relationship Id="rId15" Type="http://schemas.openxmlformats.org/officeDocument/2006/relationships/hyperlink" Target="https://link.springer.com/article/10.1186/s12889-025-21685-9" TargetMode="External"/><Relationship Id="rId16" Type="http://schemas.openxmlformats.org/officeDocument/2006/relationships/hyperlink" Target="https://panafrican-med-journal.com/content/article/24/89/full/" TargetMode="External"/><Relationship Id="rId17" Type="http://schemas.openxmlformats.org/officeDocument/2006/relationships/hyperlink" Target="https://www.cochrane.org/evidence/CD004250_exercise-neck-p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