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Rheumatoid Arthritis</w:t>
      </w:r>
    </w:p>
    <w:p>
      <w:pPr>
        <w:spacing w:before="0" w:after="160"/>
      </w:pPr>
      <w:r>
        <w:rPr>
          <w:rFonts w:ascii="Calibri" w:hAnsi="Calibri"/>
          <w:b/>
          <w:i w:val="0"/>
          <w:color w:val="212121"/>
          <w:sz w:val="22"/>
        </w:rPr>
        <w:t xml:space="preserve">AKA </w:t>
      </w:r>
      <w:r>
        <w:rPr>
          <w:rFonts w:ascii="Calibri" w:hAnsi="Calibri"/>
          <w:b w:val="0"/>
          <w:i w:val="0"/>
          <w:color w:val="212121"/>
          <w:sz w:val="22"/>
        </w:rPr>
        <w:t>i.e., RA, Rheumatoid Disease, Aamvata (Ayurveda), Chronic Inflammatory Polyarthritis, Seropositive/Seronegative Arthritis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Rheumatoid arthritis (RA) is a chronic, systemic autoimmune disease in which the immune system attacks the synovial lining of joints, producing persistent inflammatory synovitis that leads to cartilage and bone erosion, joint deformity and functional disability. It characteristically causes a symmetrical polyarthritis of the small joints of the hands, wrists and feet, with prolonged morning stiffness, and can also affect the lungs, heart, eyes, blood vessels and other organs. Because it is a systemic disease driven by autoantibodies such as rheumatoid factor and anti-citrullinated protein antibodies (anti-CCP), untreated RA shortens life expectancy, largely through accelerated cardiovascular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Community (WHO-ILAR COPCORD) surveys estimate the prevalence of rheumatoid arthritis in India at roughly 0.5-0.75% of adults (about 0.7%), which translates into several million affected people, with a marked female preponderance and frequent delays in diagnosis and access to specialist rheumatology care. Globally, an estimated 18 million people were living with RA in 2019 and about 70% of them were women, with typical onset in the fifties and sixties, so the Indian pattern of relatively early, often more erosive disease in middle-aged women carries a substantial lifetime burden of disability.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Rheumatoid arthritis is a clinical diagnosis supported by serology, inflammatory markers and imaging; the 2010 ACR/EULAR classification criteria are applied to a patient with at least one joint showing definite clinical synovitis not better explained by another disease, scoring across four domains (a total score of 6 or more of 10 classifies RA):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Joint involvement: 1 large joint (0), 2-10 large joints (1), 1-3 small joints (2), 4-10 small joints (3), or more than 10 joints including at least one small joint (5);</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Serology: negative RF and anti-CCP (0), low-positive (2), or high-positive - more than three times the upper limit of normal - RF or anti-CCP (3); anti-CCP has high specificity (~95%) and can appear before symptoms;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Acute-phase reactants: normal CRP and ESR (0) or abnormal CRP or ESR (1);</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 duration: less than 6 weeks (0) or 6 weeks or longer (1);</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Supporting imaging - X-ray of hands and feet may show periarticular osteopenia, marginal erosions and joint-space narrowing (often normal early), while ultrasound or MRI can detect synovitis and erosions before radiographs become abnormal.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Rheumatoid arthritis is described by serological status, disease activity, functional impact and special clinical forms:</w:t>
      </w:r>
    </w:p>
    <w:p>
      <w:pPr>
        <w:spacing w:before="0" w:after="80"/>
      </w:pPr>
      <w:r>
        <w:rPr>
          <w:rFonts w:ascii="Calibri" w:hAnsi="Calibri"/>
          <w:b w:val="0"/>
          <w:i w:val="0"/>
          <w:color w:val="212121"/>
          <w:sz w:val="21"/>
        </w:rPr>
        <w:t>(1) By serology: seropositive RA (rheumatoid factor and/or anti-CCP positive), which is more strongly heritable (heritability ~40-65%) and tends to be more erosive and extra-articular; and seronegative RA (both antibodies negative, heritability ~20%), which can overlap with other inflammatory arthritides;</w:t>
      </w:r>
    </w:p>
    <w:p>
      <w:pPr>
        <w:spacing w:before="0" w:after="80"/>
      </w:pPr>
      <w:r>
        <w:rPr>
          <w:rFonts w:ascii="Calibri" w:hAnsi="Calibri"/>
          <w:b w:val="0"/>
          <w:i w:val="0"/>
          <w:color w:val="212121"/>
          <w:sz w:val="21"/>
        </w:rPr>
        <w:t>(2) By disease activity (composite DAS28-ESR/CRP score): remission (&lt; 2.6), low (2.6-3.2), moderate (3.2-5.1) and high (&gt; 5.1) activity - used for treat-to-target management;</w:t>
      </w:r>
    </w:p>
    <w:p>
      <w:pPr>
        <w:spacing w:before="0" w:after="80"/>
      </w:pPr>
      <w:r>
        <w:rPr>
          <w:rFonts w:ascii="Calibri" w:hAnsi="Calibri"/>
          <w:b w:val="0"/>
          <w:i w:val="0"/>
          <w:color w:val="212121"/>
          <w:sz w:val="21"/>
        </w:rPr>
        <w:t>(3) By ACR functional class (I-IV): from completely able to perform usual activities (I) to largely incapacitated and bedridden or wheelchair-bound (IV);</w:t>
      </w:r>
    </w:p>
    <w:p>
      <w:pPr>
        <w:spacing w:before="0" w:after="80"/>
      </w:pPr>
      <w:r>
        <w:rPr>
          <w:rFonts w:ascii="Calibri" w:hAnsi="Calibri"/>
          <w:b w:val="0"/>
          <w:i w:val="0"/>
          <w:color w:val="212121"/>
          <w:sz w:val="21"/>
        </w:rPr>
        <w:t>(4) Special forms: elderly-onset RA (onset after 60, often abrupt with large-joint and constitutional features), palindromic rheumatism (recurrent self-limiting attacks that may evolve into RA), Felty syndrome (seropositive RA with neutropenia and splenomegaly), and RA-associated interstitial lung disease and rheumatoid vasculitis.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HLA-DRB1 alleles carrying the conserved 'shared epitope', together with non-HLA genes such as PTPN22, account for much of the ~40-65% heritability of seropositive RA and cluster the disease in families.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Cigarette and bidi smoking: The single strongest environmental risk factor; smoking promotes protein citrullination in the lungs and, in genetically susceptible (shared-epitope) individuals, drives anti-CCP-positive, more severe disease.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Female sex and hormones: Women are affected two-to-three times more often than men, implicating oestrogen and reproductive/post-partum hormonal shifts, with flares often clustering after childbirth.</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Mucosal and microbial triggers: Periodontitis (notably Porphyromonas gingivalis-driven citrullination), gut dysbiosis and other mucosal inflammation are implicated in breaking immune tolerance.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Obesity and metabolic factors: Excess adipose tissue is pro-inflammatory, modestly increases RA risk and reduces the likelihood and quality of treatment response.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Occupational inhalant exposure: Silica dust and other airborne particulates (stone, construction, mining, agriculture) increase RA risk, especially in smokers.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Autoimmunity: Loss of self-tolerance with rheumatoid factor and anti-citrullinated protein antibodies can precede clinical arthritis by years, sustaining synovial inflammation and joint destruction.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(30-50 years)</w:t>
            </w:r>
          </w:p>
        </w:tc>
        <w:tc>
          <w:tcPr>
            <w:tcW w:type="dxa" w:w="4276"/>
            <w:vAlign w:val="top"/>
          </w:tcPr>
          <w:p>
            <w:pPr>
              <w:spacing w:after="60" w:line="259" w:lineRule="auto"/>
            </w:pPr>
            <w:r>
              <w:rPr>
                <w:rFonts w:ascii="Calibri" w:hAnsi="Calibri"/>
                <w:b w:val="0"/>
                <w:i w:val="0"/>
                <w:color w:val="212121"/>
                <w:sz w:val="19"/>
              </w:rPr>
              <w:t>RA commonly begins in the productive middle years; in India onset is frequently in the 30s-40s, so erosive joint damage and disability accumulate during peak working and caregiving life. Persistent synovitis in this window causes early loss of function if untreated.</w:t>
            </w:r>
          </w:p>
          <w:p>
            <w:pPr>
              <w:spacing w:after="40" w:before="60" w:line="259" w:lineRule="auto"/>
            </w:pPr>
            <w:r>
              <w:rPr>
                <w:rFonts w:ascii="Calibri" w:hAnsi="Calibri"/>
                <w:b w:val="0"/>
                <w:i w:val="0"/>
                <w:color w:val="212121"/>
                <w:sz w:val="19"/>
              </w:rPr>
              <w:t>Rheumatoid arthritis most commonly begins between the ages of 30 and 60.</w:t>
            </w:r>
          </w:p>
          <w:p>
            <w:pPr>
              <w:spacing w:after="40" w:line="252" w:lineRule="auto"/>
            </w:pPr>
            <w:hyperlink r:id="rId9">
              <w:r>
                <w:rPr>
                  <w:rFonts w:ascii="Calibri" w:hAnsi="Calibri" w:cs="Calibri"/>
                  <w:sz w:val="18"/>
                  <w:color w:val="1155CC"/>
                  <w:u w:val="single"/>
                </w:rPr>
                <w:t xml:space="preserve">my.clevelandclinic.org - rheumatoid arthritis</w:t>
              </w:r>
            </w:hyperlink>
          </w:p>
          <w:p>
            <w:pPr>
              <w:spacing w:before="60" w:after="40"/>
            </w:pPr>
            <w:r>
              <w:rPr>
                <w:rFonts w:ascii="Calibri" w:hAnsi="Calibri"/>
                <w:b w:val="0"/>
                <w:i w:val="0"/>
                <w:color w:val="5A5A5A"/>
                <w:sz w:val="18"/>
              </w:rPr>
              <w:t>#RA  #autoimmune  #workingage  #synovitis  #earlyerosions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Incidence continues to rise into older age; elderly-onset RA is often abrupt, with large-joint and marked constitutional features, and is complicated by comorbidity, polypharmacy and higher cardiovascular and infection risk.</w:t>
            </w:r>
          </w:p>
          <w:p>
            <w:pPr>
              <w:spacing w:after="40" w:before="60" w:line="259" w:lineRule="auto"/>
            </w:pPr>
            <w:r>
              <w:rPr>
                <w:rFonts w:ascii="Calibri" w:hAnsi="Calibri"/>
                <w:b w:val="0"/>
                <w:i w:val="0"/>
                <w:color w:val="212121"/>
                <w:sz w:val="19"/>
              </w:rPr>
              <w:t>Peak incidence of RA is between 65 and 80 years, and about 55% of people living with RA are older than 55.</w:t>
            </w:r>
          </w:p>
          <w:p>
            <w:pPr>
              <w:spacing w:after="40" w:line="252" w:lineRule="auto"/>
            </w:pPr>
            <w:hyperlink r:id="rId10">
              <w:r>
                <w:rPr>
                  <w:rFonts w:ascii="Calibri" w:hAnsi="Calibri" w:cs="Calibri"/>
                  <w:sz w:val="18"/>
                  <w:color w:val="1155CC"/>
                  <w:u w:val="single"/>
                </w:rPr>
                <w:t xml:space="preserve">ncbi.nlm.nih.gov - rheumatoid arthritis (StatPearls)</w:t>
              </w:r>
            </w:hyperlink>
          </w:p>
          <w:p>
            <w:pPr>
              <w:spacing w:before="60" w:after="40"/>
            </w:pPr>
            <w:r>
              <w:rPr>
                <w:rFonts w:ascii="Calibri" w:hAnsi="Calibri"/>
                <w:b w:val="0"/>
                <w:i w:val="0"/>
                <w:color w:val="5A5A5A"/>
                <w:sz w:val="18"/>
              </w:rPr>
              <w:t>#elderlyonset  #comorbidity  #polypharmacy  #constitutional</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two-to-three times more often than men, reflecting oestrogen and reproductive-hormone influences on immunity; post-partum flares are common and disease often begins during the childbearing and middle years.</w:t>
            </w:r>
          </w:p>
          <w:p>
            <w:pPr>
              <w:spacing w:after="40" w:before="60" w:line="259" w:lineRule="auto"/>
            </w:pPr>
            <w:r>
              <w:rPr>
                <w:rFonts w:ascii="Calibri" w:hAnsi="Calibri"/>
                <w:b w:val="0"/>
                <w:i w:val="0"/>
                <w:color w:val="212121"/>
                <w:sz w:val="19"/>
              </w:rPr>
              <w:t>About 70% of people with RA are women, who are affected two-to-three times more often than men (lifetime risk ~3.6% in women vs ~1.7% in men).</w:t>
            </w:r>
          </w:p>
          <w:p>
            <w:pPr>
              <w:spacing w:after="40" w:line="252" w:lineRule="auto"/>
            </w:pPr>
            <w:hyperlink r:id="rId11">
              <w:r>
                <w:rPr>
                  <w:rFonts w:ascii="Calibri" w:hAnsi="Calibri" w:cs="Calibri"/>
                  <w:sz w:val="18"/>
                  <w:color w:val="1155CC"/>
                  <w:u w:val="single"/>
                </w:rPr>
                <w:t xml:space="preserve">who.int - rheumatoid arthritis</w:t>
              </w:r>
            </w:hyperlink>
          </w:p>
          <w:p>
            <w:pPr>
              <w:spacing w:before="60" w:after="40"/>
            </w:pPr>
            <w:r>
              <w:rPr>
                <w:rFonts w:ascii="Calibri" w:hAnsi="Calibri"/>
                <w:b w:val="0"/>
                <w:i w:val="0"/>
                <w:color w:val="5A5A5A"/>
                <w:sz w:val="18"/>
              </w:rPr>
              <w:t>#female  #oestrogen  #postpartum  #3to1</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(seropositive smokers)</w:t>
            </w:r>
          </w:p>
        </w:tc>
        <w:tc>
          <w:tcPr>
            <w:tcW w:type="dxa" w:w="4276"/>
            <w:vAlign w:val="top"/>
          </w:tcPr>
          <w:p>
            <w:pPr>
              <w:spacing w:after="60" w:line="259" w:lineRule="auto"/>
            </w:pPr>
            <w:r>
              <w:rPr>
                <w:rFonts w:ascii="Calibri" w:hAnsi="Calibri"/>
                <w:b w:val="0"/>
                <w:i w:val="0"/>
                <w:color w:val="212121"/>
                <w:sz w:val="19"/>
              </w:rPr>
              <w:t>Although less commonly affected, men who develop RA - particularly smokers with the shared epitope - tend to have seropositive disease with more nodules, interstitial lung disease and vasculitis, and higher cardiovascular mortality.</w:t>
            </w:r>
          </w:p>
          <w:p>
            <w:pPr>
              <w:spacing w:after="40" w:before="60" w:line="259" w:lineRule="auto"/>
            </w:pPr>
            <w:r>
              <w:rPr>
                <w:rFonts w:ascii="Calibri" w:hAnsi="Calibri"/>
                <w:b w:val="0"/>
                <w:i w:val="0"/>
                <w:color w:val="212121"/>
                <w:sz w:val="19"/>
              </w:rPr>
              <w:t>RA is rare in men under the age of 45, but male seropositive disease carries greater extra-articular and cardiovascular burden.</w:t>
            </w:r>
          </w:p>
          <w:p>
            <w:pPr>
              <w:spacing w:after="40" w:line="252" w:lineRule="auto"/>
            </w:pPr>
            <w:hyperlink r:id="rId12">
              <w:r>
                <w:rPr>
                  <w:rFonts w:ascii="Calibri" w:hAnsi="Calibri" w:cs="Calibri"/>
                  <w:sz w:val="18"/>
                  <w:color w:val="1155CC"/>
                  <w:u w:val="single"/>
                </w:rPr>
                <w:t xml:space="preserve">arthritis.org - rheumatoid arthritis</w:t>
              </w:r>
            </w:hyperlink>
          </w:p>
          <w:p>
            <w:pPr>
              <w:spacing w:before="60" w:after="40"/>
            </w:pPr>
            <w:r>
              <w:rPr>
                <w:rFonts w:ascii="Calibri" w:hAnsi="Calibri"/>
                <w:b w:val="0"/>
                <w:i w:val="0"/>
                <w:color w:val="5A5A5A"/>
                <w:sz w:val="18"/>
              </w:rPr>
              <w:t>#male  #seropositive  #nodules  #ILD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&amp; manual workers</w:t>
            </w:r>
          </w:p>
        </w:tc>
        <w:tc>
          <w:tcPr>
            <w:tcW w:type="dxa" w:w="4276"/>
            <w:vAlign w:val="top"/>
          </w:tcPr>
          <w:p>
            <w:pPr>
              <w:spacing w:after="60" w:line="259" w:lineRule="auto"/>
            </w:pPr>
            <w:r>
              <w:rPr>
                <w:rFonts w:ascii="Calibri" w:hAnsi="Calibri"/>
                <w:b w:val="0"/>
                <w:i w:val="0"/>
                <w:color w:val="212121"/>
                <w:sz w:val="19"/>
              </w:rPr>
              <w:t>Lower socioeconomic status is associated with higher RA prevalence and worse outcomes; in India, limited access to early rheumatology care, cost of DMARDs/biologics and delayed diagnosis lead to more deformity and disability.</w:t>
            </w:r>
          </w:p>
          <w:p>
            <w:pPr>
              <w:spacing w:after="40" w:before="60" w:line="259" w:lineRule="auto"/>
            </w:pPr>
            <w:r>
              <w:rPr>
                <w:rFonts w:ascii="Calibri" w:hAnsi="Calibri"/>
                <w:b w:val="0"/>
                <w:i w:val="0"/>
                <w:color w:val="212121"/>
                <w:sz w:val="19"/>
              </w:rPr>
              <w:t>People from lower-income backgrounds show increased prevalence of rheumatoid arthritis.</w:t>
            </w:r>
          </w:p>
          <w:p>
            <w:pPr>
              <w:spacing w:after="40" w:line="252" w:lineRule="auto"/>
            </w:pPr>
            <w:hyperlink r:id="rId13">
              <w:r>
                <w:rPr>
                  <w:rFonts w:ascii="Calibri" w:hAnsi="Calibri" w:cs="Calibri"/>
                  <w:sz w:val="18"/>
                  <w:color w:val="1155CC"/>
                  <w:u w:val="single"/>
                </w:rPr>
                <w:t xml:space="preserve">cdc.gov - rheumatoid arthritis</w:t>
              </w:r>
            </w:hyperlink>
          </w:p>
          <w:p>
            <w:pPr>
              <w:spacing w:before="60" w:after="40"/>
            </w:pPr>
            <w:r>
              <w:rPr>
                <w:rFonts w:ascii="Calibri" w:hAnsi="Calibri"/>
                <w:b w:val="0"/>
                <w:i w:val="0"/>
                <w:color w:val="5A5A5A"/>
                <w:sz w:val="18"/>
              </w:rPr>
              <w:t>#lowincome  #accessgap  #delayeddiagnosis  #deformity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 Asian adults</w:t>
            </w:r>
          </w:p>
        </w:tc>
        <w:tc>
          <w:tcPr>
            <w:tcW w:type="dxa" w:w="4276"/>
            <w:vAlign w:val="top"/>
          </w:tcPr>
          <w:p>
            <w:pPr>
              <w:spacing w:after="60" w:line="259" w:lineRule="auto"/>
            </w:pPr>
            <w:r>
              <w:rPr>
                <w:rFonts w:ascii="Calibri" w:hAnsi="Calibri"/>
                <w:b w:val="0"/>
                <w:i w:val="0"/>
                <w:color w:val="212121"/>
                <w:sz w:val="19"/>
              </w:rPr>
              <w:t>Indian community (COPCORD) surveys show RA in roughly 0.5-0.75% of adults; the HLA-DRB1 shared epitope is prevalent, and combined with high smoking rates in men and widespread vitamin-D deficiency this shapes an often erosive, disabling disease course.</w:t>
            </w:r>
          </w:p>
          <w:p>
            <w:pPr>
              <w:spacing w:after="40" w:before="60" w:line="259" w:lineRule="auto"/>
            </w:pPr>
            <w:r>
              <w:rPr>
                <w:rFonts w:ascii="Calibri" w:hAnsi="Calibri"/>
                <w:b w:val="0"/>
                <w:i w:val="0"/>
                <w:color w:val="212121"/>
                <w:sz w:val="19"/>
              </w:rPr>
              <w:t>RA prevalence in Indian community surveys is about 0.7% of adults, within a worldwide period prevalence of roughly 0.5%.</w:t>
            </w:r>
          </w:p>
          <w:p>
            <w:pPr>
              <w:spacing w:after="40" w:line="252" w:lineRule="auto"/>
            </w:pPr>
            <w:hyperlink r:id="rId10">
              <w:r>
                <w:rPr>
                  <w:rFonts w:ascii="Calibri" w:hAnsi="Calibri" w:cs="Calibri"/>
                  <w:sz w:val="18"/>
                  <w:color w:val="1155CC"/>
                  <w:u w:val="single"/>
                </w:rPr>
                <w:t xml:space="preserve">ncbi.nlm.nih.gov - rheumatoid arthritis (StatPearls)</w:t>
              </w:r>
            </w:hyperlink>
          </w:p>
          <w:p>
            <w:pPr>
              <w:spacing w:before="60" w:after="40"/>
            </w:pPr>
            <w:r>
              <w:rPr>
                <w:rFonts w:ascii="Calibri" w:hAnsi="Calibri"/>
                <w:b w:val="0"/>
                <w:i w:val="0"/>
                <w:color w:val="5A5A5A"/>
                <w:sz w:val="18"/>
              </w:rPr>
              <w:t>#India  #COPCORD  #sharedepitope  #HLADRB1</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development</w:t>
            </w:r>
          </w:p>
        </w:tc>
        <w:tc>
          <w:tcPr>
            <w:tcW w:type="dxa" w:w="2160"/>
            <w:vAlign w:val="top"/>
          </w:tcPr>
          <w:p>
            <w:pPr>
              <w:spacing w:after="40" w:before="0" w:line="259" w:lineRule="auto"/>
            </w:pPr>
            <w:r>
              <w:rPr>
                <w:rFonts w:ascii="Calibri" w:hAnsi="Calibri"/>
                <w:b w:val="0"/>
                <w:i w:val="0"/>
                <w:color w:val="212121"/>
                <w:sz w:val="19"/>
              </w:rPr>
              <w:t>Urban &amp; industrialized populations</w:t>
            </w:r>
          </w:p>
        </w:tc>
        <w:tc>
          <w:tcPr>
            <w:tcW w:type="dxa" w:w="4276"/>
            <w:vAlign w:val="top"/>
          </w:tcPr>
          <w:p>
            <w:pPr>
              <w:spacing w:after="60" w:line="259" w:lineRule="auto"/>
            </w:pPr>
            <w:r>
              <w:rPr>
                <w:rFonts w:ascii="Calibri" w:hAnsi="Calibri"/>
                <w:b w:val="0"/>
                <w:i w:val="0"/>
                <w:color w:val="212121"/>
                <w:sz w:val="19"/>
              </w:rPr>
              <w:t>Prevalence is higher in industrialized and urban settings, linked to tobacco exposure, air pollution and occupational inhalants that promote lung citrullination and autoantibody formation in susceptible people.</w:t>
            </w:r>
          </w:p>
          <w:p>
            <w:pPr>
              <w:spacing w:after="40" w:before="60" w:line="259" w:lineRule="auto"/>
            </w:pPr>
            <w:r>
              <w:rPr>
                <w:rFonts w:ascii="Calibri" w:hAnsi="Calibri"/>
                <w:b w:val="0"/>
                <w:i w:val="0"/>
                <w:color w:val="212121"/>
                <w:sz w:val="19"/>
              </w:rPr>
              <w:t>The prevalence of rheumatoid arthritis is higher in industrialized countries.</w:t>
            </w:r>
          </w:p>
          <w:p>
            <w:pPr>
              <w:spacing w:after="40" w:line="252" w:lineRule="auto"/>
            </w:pPr>
            <w:hyperlink r:id="rId11">
              <w:r>
                <w:rPr>
                  <w:rFonts w:ascii="Calibri" w:hAnsi="Calibri" w:cs="Calibri"/>
                  <w:sz w:val="18"/>
                  <w:color w:val="1155CC"/>
                  <w:u w:val="single"/>
                </w:rPr>
                <w:t xml:space="preserve">who.int - rheumatoid arthritis</w:t>
              </w:r>
            </w:hyperlink>
          </w:p>
          <w:p>
            <w:pPr>
              <w:spacing w:before="60" w:after="40"/>
            </w:pPr>
            <w:r>
              <w:rPr>
                <w:rFonts w:ascii="Calibri" w:hAnsi="Calibri"/>
                <w:b w:val="0"/>
                <w:i w:val="0"/>
                <w:color w:val="5A5A5A"/>
                <w:sz w:val="18"/>
              </w:rPr>
              <w:t>#urban  #industrialized  #pollution  #citrullination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long-term smokers (cigarette/bidi)</w:t>
            </w:r>
          </w:p>
        </w:tc>
        <w:tc>
          <w:tcPr>
            <w:tcW w:type="dxa" w:w="4276"/>
            <w:vAlign w:val="top"/>
          </w:tcPr>
          <w:p>
            <w:pPr>
              <w:spacing w:after="60" w:line="259" w:lineRule="auto"/>
            </w:pPr>
            <w:r>
              <w:rPr>
                <w:rFonts w:ascii="Calibri" w:hAnsi="Calibri"/>
                <w:b w:val="0"/>
                <w:i w:val="0"/>
                <w:color w:val="212121"/>
                <w:sz w:val="19"/>
              </w:rPr>
              <w:t>Smoking is the strongest environmental risk factor for RA, driving citrullination of lung proteins and, in shared-epitope carriers, anti-CCP-positive disease that is more severe and less responsive to treatment; it also worsens cardiovascular risk.</w:t>
            </w:r>
          </w:p>
          <w:p>
            <w:pPr>
              <w:spacing w:after="40" w:before="60" w:line="259" w:lineRule="auto"/>
            </w:pPr>
            <w:r>
              <w:rPr>
                <w:rFonts w:ascii="Calibri" w:hAnsi="Calibri"/>
                <w:b w:val="0"/>
                <w:i w:val="0"/>
                <w:color w:val="212121"/>
                <w:sz w:val="19"/>
              </w:rPr>
              <w:t>Cigarette smoking is the strongest environmental risk factor for RA and makes the disease worse; risk is highest when combined with genetic (shared-epitope) predisposition.</w:t>
            </w:r>
          </w:p>
          <w:p>
            <w:pPr>
              <w:spacing w:after="40" w:line="252" w:lineRule="auto"/>
            </w:pPr>
            <w:hyperlink r:id="rId10">
              <w:r>
                <w:rPr>
                  <w:rFonts w:ascii="Calibri" w:hAnsi="Calibri" w:cs="Calibri"/>
                  <w:sz w:val="18"/>
                  <w:color w:val="1155CC"/>
                  <w:u w:val="single"/>
                </w:rPr>
                <w:t xml:space="preserve">ncbi.nlm.nih.gov - rheumatoid arthritis (StatPearls)</w:t>
              </w:r>
            </w:hyperlink>
          </w:p>
          <w:p>
            <w:pPr>
              <w:spacing w:before="60" w:after="40"/>
            </w:pPr>
            <w:r>
              <w:rPr>
                <w:rFonts w:ascii="Calibri" w:hAnsi="Calibri"/>
                <w:b w:val="0"/>
                <w:i w:val="0"/>
                <w:color w:val="5A5A5A"/>
                <w:sz w:val="18"/>
              </w:rPr>
              <w:t>#smoking  #bidi  #antiCCP  #strongestrisk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physical inactivity</w:t>
            </w:r>
          </w:p>
        </w:tc>
        <w:tc>
          <w:tcPr>
            <w:tcW w:type="dxa" w:w="2160"/>
            <w:vAlign w:val="top"/>
          </w:tcPr>
          <w:p>
            <w:pPr>
              <w:spacing w:after="40" w:before="0" w:line="259" w:lineRule="auto"/>
            </w:pPr>
            <w:r>
              <w:rPr>
                <w:rFonts w:ascii="Calibri" w:hAnsi="Calibri"/>
                <w:b w:val="0"/>
                <w:i w:val="0"/>
                <w:color w:val="212121"/>
                <w:sz w:val="19"/>
              </w:rPr>
              <w:t>Inactive &amp; deconditioned adults</w:t>
            </w:r>
          </w:p>
        </w:tc>
        <w:tc>
          <w:tcPr>
            <w:tcW w:type="dxa" w:w="4276"/>
            <w:vAlign w:val="top"/>
          </w:tcPr>
          <w:p>
            <w:pPr>
              <w:spacing w:after="60" w:line="259" w:lineRule="auto"/>
            </w:pPr>
            <w:r>
              <w:rPr>
                <w:rFonts w:ascii="Calibri" w:hAnsi="Calibri"/>
                <w:b w:val="0"/>
                <w:i w:val="0"/>
                <w:color w:val="212121"/>
                <w:sz w:val="19"/>
              </w:rPr>
              <w:t>Physical inactivity contributes to obesity, muscle loss (rheumatoid cachexia), stiffness and cardiovascular risk, and limits how much the disease can improve; regular exercise preserves joint mobility and muscle strength.</w:t>
            </w:r>
          </w:p>
          <w:p>
            <w:pPr>
              <w:spacing w:after="40" w:before="60" w:line="259" w:lineRule="auto"/>
            </w:pPr>
            <w:r>
              <w:rPr>
                <w:rFonts w:ascii="Calibri" w:hAnsi="Calibri"/>
                <w:b w:val="0"/>
                <w:i w:val="0"/>
                <w:color w:val="212121"/>
                <w:sz w:val="19"/>
              </w:rPr>
              <w:t>Being obese may increase RA risk and limit how much the disease can improve; exercise is important for maintaining strong muscles and joint mobility.</w:t>
            </w:r>
          </w:p>
          <w:p>
            <w:pPr>
              <w:spacing w:after="40" w:line="252" w:lineRule="auto"/>
            </w:pPr>
            <w:hyperlink r:id="rId14">
              <w:r>
                <w:rPr>
                  <w:rFonts w:ascii="Calibri" w:hAnsi="Calibri" w:cs="Calibri"/>
                  <w:sz w:val="18"/>
                  <w:color w:val="1155CC"/>
                  <w:u w:val="single"/>
                </w:rPr>
                <w:t xml:space="preserve">niams.nih.gov - rheumatoid arthritis</w:t>
              </w:r>
            </w:hyperlink>
          </w:p>
          <w:p>
            <w:pPr>
              <w:spacing w:before="60" w:after="40"/>
            </w:pPr>
            <w:r>
              <w:rPr>
                <w:rFonts w:ascii="Calibri" w:hAnsi="Calibri"/>
                <w:b w:val="0"/>
                <w:i w:val="0"/>
                <w:color w:val="5A5A5A"/>
                <w:sz w:val="18"/>
              </w:rPr>
              <w:t>#sedentary  #deconditioning  #cachexia  #jointmobility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 on DMARDs</w:t>
            </w:r>
          </w:p>
        </w:tc>
        <w:tc>
          <w:tcPr>
            <w:tcW w:type="dxa" w:w="4276"/>
            <w:vAlign w:val="top"/>
          </w:tcPr>
          <w:p>
            <w:pPr>
              <w:spacing w:after="60" w:line="259" w:lineRule="auto"/>
            </w:pPr>
            <w:r>
              <w:rPr>
                <w:rFonts w:ascii="Calibri" w:hAnsi="Calibri"/>
                <w:b w:val="0"/>
                <w:i w:val="0"/>
                <w:color w:val="212121"/>
                <w:sz w:val="19"/>
              </w:rPr>
              <w:t>Heavy alcohol use offers no protection and compounds liver toxicity of key RA drugs (methotrexate, leflunomide), raises fracture risk and interacts with analgesics; light intake shows at most a weak inverse association.</w:t>
            </w:r>
          </w:p>
          <w:p>
            <w:pPr>
              <w:spacing w:after="40" w:before="60" w:line="259" w:lineRule="auto"/>
            </w:pPr>
            <w:r>
              <w:rPr>
                <w:rFonts w:ascii="Calibri" w:hAnsi="Calibri"/>
                <w:b w:val="0"/>
                <w:i w:val="0"/>
                <w:color w:val="212121"/>
                <w:sz w:val="19"/>
              </w:rPr>
              <w:t>Alcohol adds to the hepatotoxic risk of methotrexate and leflunomide, the mainstays of RA therapy, and should be limited.</w:t>
            </w:r>
          </w:p>
          <w:p>
            <w:pPr>
              <w:spacing w:after="40" w:line="252" w:lineRule="auto"/>
            </w:pPr>
            <w:hyperlink r:id="rId10">
              <w:r>
                <w:rPr>
                  <w:rFonts w:ascii="Calibri" w:hAnsi="Calibri" w:cs="Calibri"/>
                  <w:sz w:val="18"/>
                  <w:color w:val="1155CC"/>
                  <w:u w:val="single"/>
                </w:rPr>
                <w:t xml:space="preserve">ncbi.nlm.nih.gov - rheumatoid arthritis (StatPearls)</w:t>
              </w:r>
            </w:hyperlink>
          </w:p>
          <w:p>
            <w:pPr>
              <w:spacing w:before="60" w:after="40"/>
            </w:pPr>
            <w:r>
              <w:rPr>
                <w:rFonts w:ascii="Calibri" w:hAnsi="Calibri"/>
                <w:b w:val="0"/>
                <w:i w:val="0"/>
                <w:color w:val="5A5A5A"/>
                <w:sz w:val="18"/>
              </w:rPr>
              <w:t>#alcohol  #methotrexate  #hepatotoxicity  #DMARDs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Oral hygiene / periodontitis</w:t>
            </w:r>
          </w:p>
        </w:tc>
        <w:tc>
          <w:tcPr>
            <w:tcW w:type="dxa" w:w="2160"/>
            <w:vAlign w:val="top"/>
          </w:tcPr>
          <w:p>
            <w:pPr>
              <w:spacing w:after="40" w:before="0" w:line="259" w:lineRule="auto"/>
            </w:pPr>
            <w:r>
              <w:rPr>
                <w:rFonts w:ascii="Calibri" w:hAnsi="Calibri"/>
                <w:b w:val="0"/>
                <w:i w:val="0"/>
                <w:color w:val="212121"/>
                <w:sz w:val="19"/>
              </w:rPr>
              <w:t>Patients with chronic periodontal disease</w:t>
            </w:r>
          </w:p>
        </w:tc>
        <w:tc>
          <w:tcPr>
            <w:tcW w:type="dxa" w:w="4276"/>
            <w:vAlign w:val="top"/>
          </w:tcPr>
          <w:p>
            <w:pPr>
              <w:spacing w:after="60" w:line="259" w:lineRule="auto"/>
            </w:pPr>
            <w:r>
              <w:rPr>
                <w:rFonts w:ascii="Calibri" w:hAnsi="Calibri"/>
                <w:b w:val="0"/>
                <w:i w:val="0"/>
                <w:color w:val="212121"/>
                <w:sz w:val="19"/>
              </w:rPr>
              <w:t>Periodontitis - especially Porphyromonas gingivalis infection - promotes citrullination of proteins and is an independent risk factor for RA; gum inflammation and RA activity track together bidirectionally.</w:t>
            </w:r>
          </w:p>
          <w:p>
            <w:pPr>
              <w:spacing w:after="40" w:before="60" w:line="259" w:lineRule="auto"/>
            </w:pPr>
            <w:r>
              <w:rPr>
                <w:rFonts w:ascii="Calibri" w:hAnsi="Calibri"/>
                <w:b w:val="0"/>
                <w:i w:val="0"/>
                <w:color w:val="212121"/>
                <w:sz w:val="19"/>
              </w:rPr>
              <w:t>Periodontal disease is listed among the risk factors for developing rheumatoid arthritis.</w:t>
            </w:r>
          </w:p>
          <w:p>
            <w:pPr>
              <w:spacing w:after="40" w:line="252" w:lineRule="auto"/>
            </w:pPr>
            <w:hyperlink r:id="rId15">
              <w:r>
                <w:rPr>
                  <w:rFonts w:ascii="Calibri" w:hAnsi="Calibri" w:cs="Calibri"/>
                  <w:sz w:val="18"/>
                  <w:color w:val="1155CC"/>
                  <w:u w:val="single"/>
                </w:rPr>
                <w:t xml:space="preserve">mayoclinic.org - rheumatoid arthritis</w:t>
              </w:r>
            </w:hyperlink>
          </w:p>
          <w:p>
            <w:pPr>
              <w:spacing w:before="60" w:after="40"/>
            </w:pPr>
            <w:r>
              <w:rPr>
                <w:rFonts w:ascii="Calibri" w:hAnsi="Calibri"/>
                <w:b w:val="0"/>
                <w:i w:val="0"/>
                <w:color w:val="5A5A5A"/>
                <w:sz w:val="18"/>
              </w:rPr>
              <w:t>#periodontitis  #Pgingivalis  #oralhygiene  #citrullination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inhalant exposure</w:t>
            </w:r>
          </w:p>
        </w:tc>
        <w:tc>
          <w:tcPr>
            <w:tcW w:type="dxa" w:w="2160"/>
            <w:vAlign w:val="top"/>
          </w:tcPr>
          <w:p>
            <w:pPr>
              <w:spacing w:after="40" w:before="0" w:line="259" w:lineRule="auto"/>
            </w:pPr>
            <w:r>
              <w:rPr>
                <w:rFonts w:ascii="Calibri" w:hAnsi="Calibri"/>
                <w:b w:val="0"/>
                <w:i w:val="0"/>
                <w:color w:val="212121"/>
                <w:sz w:val="19"/>
              </w:rPr>
              <w:t>Silica / stone / construction / mine workers</w:t>
            </w:r>
          </w:p>
        </w:tc>
        <w:tc>
          <w:tcPr>
            <w:tcW w:type="dxa" w:w="4276"/>
            <w:vAlign w:val="top"/>
          </w:tcPr>
          <w:p>
            <w:pPr>
              <w:spacing w:after="60" w:line="259" w:lineRule="auto"/>
            </w:pPr>
            <w:r>
              <w:rPr>
                <w:rFonts w:ascii="Calibri" w:hAnsi="Calibri"/>
                <w:b w:val="0"/>
                <w:i w:val="0"/>
                <w:color w:val="212121"/>
                <w:sz w:val="19"/>
              </w:rPr>
              <w:t>Inhaled silica and mineral dust cause chronic lung inflammation and citrullination, raising RA risk - an important exposure in India's large construction, stone-cutting and mining workforce, and strongly amplified by concurrent smoking.</w:t>
            </w:r>
          </w:p>
          <w:p>
            <w:pPr>
              <w:spacing w:after="40" w:before="60" w:line="259" w:lineRule="auto"/>
            </w:pPr>
            <w:r>
              <w:rPr>
                <w:rFonts w:ascii="Calibri" w:hAnsi="Calibri"/>
                <w:b w:val="0"/>
                <w:i w:val="0"/>
                <w:color w:val="212121"/>
                <w:sz w:val="19"/>
              </w:rPr>
              <w:t>Occupational silica-dust exposure is an established environmental risk factor for RA, particularly among smokers.</w:t>
            </w:r>
          </w:p>
          <w:p>
            <w:pPr>
              <w:spacing w:before="60" w:after="40"/>
            </w:pPr>
            <w:r>
              <w:rPr>
                <w:rFonts w:ascii="Calibri" w:hAnsi="Calibri"/>
                <w:b w:val="0"/>
                <w:i w:val="0"/>
                <w:color w:val="5A5A5A"/>
                <w:sz w:val="18"/>
              </w:rPr>
              <w:t>#silica  #occupational  #stonecutting  #dustexposure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High-calorie, energy-dense diet</w:t>
            </w:r>
          </w:p>
        </w:tc>
        <w:tc>
          <w:tcPr>
            <w:tcW w:type="dxa" w:w="4276"/>
            <w:vAlign w:val="top"/>
          </w:tcPr>
          <w:p>
            <w:pPr>
              <w:spacing w:after="60" w:line="259" w:lineRule="auto"/>
            </w:pPr>
            <w:r>
              <w:rPr>
                <w:rFonts w:ascii="Calibri" w:hAnsi="Calibri"/>
                <w:b w:val="0"/>
                <w:i w:val="0"/>
                <w:color w:val="212121"/>
                <w:sz w:val="19"/>
              </w:rPr>
              <w:t>Adipose tissue is metabolically active and pro-inflammatory; excess weight modestly increases RA risk, worsens disease activity and reduces the chance of achieving remission, while also loading weight-bearing joints.</w:t>
            </w:r>
          </w:p>
          <w:p>
            <w:pPr>
              <w:spacing w:after="40" w:before="60" w:line="259" w:lineRule="auto"/>
            </w:pPr>
            <w:r>
              <w:rPr>
                <w:rFonts w:ascii="Calibri" w:hAnsi="Calibri"/>
                <w:b w:val="0"/>
                <w:i w:val="0"/>
                <w:color w:val="212121"/>
                <w:sz w:val="19"/>
              </w:rPr>
              <w:t>Obesity increases the risk of developing RA and can limit how much the disease improves.</w:t>
            </w:r>
          </w:p>
          <w:p>
            <w:pPr>
              <w:spacing w:after="40" w:line="252" w:lineRule="auto"/>
            </w:pPr>
            <w:hyperlink r:id="rId14">
              <w:r>
                <w:rPr>
                  <w:rFonts w:ascii="Calibri" w:hAnsi="Calibri" w:cs="Calibri"/>
                  <w:sz w:val="18"/>
                  <w:color w:val="1155CC"/>
                  <w:u w:val="single"/>
                </w:rPr>
                <w:t xml:space="preserve">niams.nih.gov - rheumatoid arthritis</w:t>
              </w:r>
            </w:hyperlink>
          </w:p>
          <w:p>
            <w:pPr>
              <w:spacing w:before="60" w:after="40"/>
            </w:pPr>
            <w:r>
              <w:rPr>
                <w:rFonts w:ascii="Calibri" w:hAnsi="Calibri"/>
                <w:b w:val="0"/>
                <w:i w:val="0"/>
                <w:color w:val="5A5A5A"/>
                <w:sz w:val="18"/>
              </w:rPr>
              <w:t>#obesity  #adipokines  #inflammation  #remissiongap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 quality</w:t>
            </w:r>
          </w:p>
        </w:tc>
        <w:tc>
          <w:tcPr>
            <w:tcW w:type="dxa" w:w="2160"/>
            <w:vAlign w:val="top"/>
          </w:tcPr>
          <w:p>
            <w:pPr>
              <w:spacing w:after="40" w:before="0" w:line="259" w:lineRule="auto"/>
            </w:pPr>
            <w:r>
              <w:rPr>
                <w:rFonts w:ascii="Calibri" w:hAnsi="Calibri"/>
                <w:b w:val="0"/>
                <w:i w:val="0"/>
                <w:color w:val="212121"/>
                <w:sz w:val="19"/>
              </w:rPr>
              <w:t>Low omega-3 / high ultra-processed intake</w:t>
            </w:r>
          </w:p>
        </w:tc>
        <w:tc>
          <w:tcPr>
            <w:tcW w:type="dxa" w:w="4276"/>
            <w:vAlign w:val="top"/>
          </w:tcPr>
          <w:p>
            <w:pPr>
              <w:spacing w:after="60" w:line="259" w:lineRule="auto"/>
            </w:pPr>
            <w:r>
              <w:rPr>
                <w:rFonts w:ascii="Calibri" w:hAnsi="Calibri"/>
                <w:b w:val="0"/>
                <w:i w:val="0"/>
                <w:color w:val="212121"/>
                <w:sz w:val="19"/>
              </w:rPr>
              <w:t>Diets low in oily fish and vegetables and high in ultra-processed foods provide little anti-inflammatory omega-3 or antioxidant intake; a Mediterranean-style, fish-rich pattern is associated with modestly lower risk and better symptom control.</w:t>
            </w:r>
          </w:p>
          <w:p>
            <w:pPr>
              <w:spacing w:after="40" w:before="60" w:line="259" w:lineRule="auto"/>
            </w:pPr>
            <w:r>
              <w:rPr>
                <w:rFonts w:ascii="Calibri" w:hAnsi="Calibri"/>
                <w:b w:val="0"/>
                <w:i w:val="0"/>
                <w:color w:val="212121"/>
                <w:sz w:val="19"/>
              </w:rPr>
              <w:t>A healthy, nutritious diet with adequate protein and calcium is recommended, and omega-3-rich, Mediterranean-style eating is associated with better RA symptom control.</w:t>
            </w:r>
          </w:p>
          <w:p>
            <w:pPr>
              <w:spacing w:after="40" w:line="252" w:lineRule="auto"/>
            </w:pPr>
            <w:hyperlink r:id="rId16">
              <w:r>
                <w:rPr>
                  <w:rFonts w:ascii="Calibri" w:hAnsi="Calibri" w:cs="Calibri"/>
                  <w:sz w:val="18"/>
                  <w:color w:val="1155CC"/>
                  <w:u w:val="single"/>
                </w:rPr>
                <w:t xml:space="preserve">niams.nih.gov - RA diagnosis, treatment &amp; steps</w:t>
              </w:r>
            </w:hyperlink>
          </w:p>
          <w:p>
            <w:pPr>
              <w:spacing w:before="60" w:after="40"/>
            </w:pPr>
            <w:r>
              <w:rPr>
                <w:rFonts w:ascii="Calibri" w:hAnsi="Calibri"/>
                <w:b w:val="0"/>
                <w:i w:val="0"/>
                <w:color w:val="5A5A5A"/>
                <w:sz w:val="18"/>
              </w:rPr>
              <w:t>#omega3  #Mediterranean  #ultraprocessed  #antiinflammatory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shared epitope</w:t>
            </w:r>
          </w:p>
        </w:tc>
        <w:tc>
          <w:tcPr>
            <w:tcW w:type="dxa" w:w="2160"/>
            <w:vAlign w:val="top"/>
          </w:tcPr>
          <w:p>
            <w:pPr>
              <w:spacing w:after="40" w:before="0" w:line="259" w:lineRule="auto"/>
            </w:pPr>
            <w:r>
              <w:rPr>
                <w:rFonts w:ascii="Calibri" w:hAnsi="Calibri"/>
                <w:b w:val="0"/>
                <w:i w:val="0"/>
                <w:color w:val="212121"/>
                <w:sz w:val="19"/>
              </w:rPr>
              <w:t>First-degree relatives with RA or autoimmunity</w:t>
            </w:r>
          </w:p>
        </w:tc>
        <w:tc>
          <w:tcPr>
            <w:tcW w:type="dxa" w:w="4276"/>
            <w:vAlign w:val="top"/>
          </w:tcPr>
          <w:p>
            <w:pPr>
              <w:spacing w:after="60" w:line="259" w:lineRule="auto"/>
            </w:pPr>
            <w:r>
              <w:rPr>
                <w:rFonts w:ascii="Calibri" w:hAnsi="Calibri"/>
                <w:b w:val="0"/>
                <w:i w:val="0"/>
                <w:color w:val="212121"/>
                <w:sz w:val="19"/>
              </w:rPr>
              <w:t>Inherited HLA-DRB1 shared-epitope alleles and other genes strongly increase susceptibility; a first-degree relative with RA or another autoimmune disease raises personal risk, especially for seropositive disease.</w:t>
            </w:r>
          </w:p>
          <w:p>
            <w:pPr>
              <w:spacing w:after="40" w:before="60" w:line="259" w:lineRule="auto"/>
            </w:pPr>
            <w:r>
              <w:rPr>
                <w:rFonts w:ascii="Calibri" w:hAnsi="Calibri"/>
                <w:b w:val="0"/>
                <w:i w:val="0"/>
                <w:color w:val="212121"/>
                <w:sz w:val="19"/>
              </w:rPr>
              <w:t>Heritability is approximately 40-65% for seropositive RA and about 20% for seronegative RA.</w:t>
            </w:r>
          </w:p>
          <w:p>
            <w:pPr>
              <w:spacing w:after="40" w:line="252" w:lineRule="auto"/>
            </w:pPr>
            <w:hyperlink r:id="rId10">
              <w:r>
                <w:rPr>
                  <w:rFonts w:ascii="Calibri" w:hAnsi="Calibri" w:cs="Calibri"/>
                  <w:sz w:val="18"/>
                  <w:color w:val="1155CC"/>
                  <w:u w:val="single"/>
                </w:rPr>
                <w:t xml:space="preserve">ncbi.nlm.nih.gov - rheumatoid arthritis (StatPearls)</w:t>
              </w:r>
            </w:hyperlink>
          </w:p>
          <w:p>
            <w:pPr>
              <w:spacing w:before="60" w:after="40"/>
            </w:pPr>
            <w:r>
              <w:rPr>
                <w:rFonts w:ascii="Calibri" w:hAnsi="Calibri"/>
                <w:b w:val="0"/>
                <w:i w:val="0"/>
                <w:color w:val="5A5A5A"/>
                <w:sz w:val="18"/>
              </w:rPr>
              <w:t>#familyhistory  #HLADRB1  #sharedepitope  #heritability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Cardiovascular disease</w:t>
            </w:r>
          </w:p>
        </w:tc>
        <w:tc>
          <w:tcPr>
            <w:tcW w:type="dxa" w:w="2160"/>
            <w:vAlign w:val="top"/>
          </w:tcPr>
          <w:p>
            <w:pPr>
              <w:spacing w:after="40" w:before="0" w:line="259" w:lineRule="auto"/>
            </w:pPr>
            <w:r>
              <w:rPr>
                <w:rFonts w:ascii="Calibri" w:hAnsi="Calibri"/>
                <w:b w:val="0"/>
                <w:i w:val="0"/>
                <w:color w:val="212121"/>
                <w:sz w:val="19"/>
              </w:rPr>
              <w:t>Patients with, or at risk of, CVD</w:t>
            </w:r>
          </w:p>
        </w:tc>
        <w:tc>
          <w:tcPr>
            <w:tcW w:type="dxa" w:w="4276"/>
            <w:vAlign w:val="top"/>
          </w:tcPr>
          <w:p>
            <w:pPr>
              <w:spacing w:after="60" w:line="259" w:lineRule="auto"/>
            </w:pPr>
            <w:r>
              <w:rPr>
                <w:rFonts w:ascii="Calibri" w:hAnsi="Calibri"/>
                <w:b w:val="0"/>
                <w:i w:val="0"/>
                <w:color w:val="212121"/>
                <w:sz w:val="19"/>
              </w:rPr>
              <w:t>Chronic systemic inflammation accelerates atherosclerosis, making cardiovascular disease the leading cause of death in RA; this compounds India's already high burden of ischaemic heart disease and premature CVD.</w:t>
            </w:r>
          </w:p>
          <w:p>
            <w:pPr>
              <w:spacing w:after="40" w:before="60" w:line="259" w:lineRule="auto"/>
            </w:pPr>
            <w:r>
              <w:rPr>
                <w:rFonts w:ascii="Calibri" w:hAnsi="Calibri"/>
                <w:b w:val="0"/>
                <w:i w:val="0"/>
                <w:color w:val="212121"/>
                <w:sz w:val="19"/>
              </w:rPr>
              <w:t>RA increases cardiovascular risk, with accelerated atherosclerosis a primary cause of morbidity and mortality, and overall mortality about three times that of the general population.</w:t>
            </w:r>
          </w:p>
          <w:p>
            <w:pPr>
              <w:spacing w:after="40" w:line="252" w:lineRule="auto"/>
            </w:pPr>
            <w:hyperlink r:id="rId10">
              <w:r>
                <w:rPr>
                  <w:rFonts w:ascii="Calibri" w:hAnsi="Calibri" w:cs="Calibri"/>
                  <w:sz w:val="18"/>
                  <w:color w:val="1155CC"/>
                  <w:u w:val="single"/>
                </w:rPr>
                <w:t xml:space="preserve">ncbi.nlm.nih.gov - rheumatoid arthritis (StatPearls)</w:t>
              </w:r>
            </w:hyperlink>
          </w:p>
          <w:p>
            <w:pPr>
              <w:spacing w:before="60" w:after="40"/>
            </w:pPr>
            <w:r>
              <w:rPr>
                <w:rFonts w:ascii="Calibri" w:hAnsi="Calibri"/>
                <w:b w:val="0"/>
                <w:i w:val="0"/>
                <w:color w:val="5A5A5A"/>
                <w:sz w:val="18"/>
              </w:rPr>
              <w:t>#cardiovascular  #atherosclerosis  #mortality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Osteoporosis</w:t>
            </w:r>
          </w:p>
        </w:tc>
        <w:tc>
          <w:tcPr>
            <w:tcW w:type="dxa" w:w="2160"/>
            <w:vAlign w:val="top"/>
          </w:tcPr>
          <w:p>
            <w:pPr>
              <w:spacing w:after="40" w:before="0" w:line="259" w:lineRule="auto"/>
            </w:pPr>
            <w:r>
              <w:rPr>
                <w:rFonts w:ascii="Calibri" w:hAnsi="Calibri"/>
                <w:b w:val="0"/>
                <w:i w:val="0"/>
                <w:color w:val="212121"/>
                <w:sz w:val="19"/>
              </w:rPr>
              <w:t>Patients with RA (esp. post-menopausal women, steroid users)</w:t>
            </w:r>
          </w:p>
        </w:tc>
        <w:tc>
          <w:tcPr>
            <w:tcW w:type="dxa" w:w="4276"/>
            <w:vAlign w:val="top"/>
          </w:tcPr>
          <w:p>
            <w:pPr>
              <w:spacing w:after="60" w:line="259" w:lineRule="auto"/>
            </w:pPr>
            <w:r>
              <w:rPr>
                <w:rFonts w:ascii="Calibri" w:hAnsi="Calibri"/>
                <w:b w:val="0"/>
                <w:i w:val="0"/>
                <w:color w:val="212121"/>
                <w:sz w:val="19"/>
              </w:rPr>
              <w:t>Inflammation, immobility, low vitamin D and glucocorticoid therapy accelerate bone loss; widespread vitamin-D deficiency in India further raises fracture risk in RA patients.</w:t>
            </w:r>
          </w:p>
          <w:p>
            <w:pPr>
              <w:spacing w:after="40" w:before="60" w:line="259" w:lineRule="auto"/>
            </w:pPr>
            <w:r>
              <w:rPr>
                <w:rFonts w:ascii="Calibri" w:hAnsi="Calibri"/>
                <w:b w:val="0"/>
                <w:i w:val="0"/>
                <w:color w:val="212121"/>
                <w:sz w:val="19"/>
              </w:rPr>
              <w:t>Patients with RA have a 60% to 100% increased risk of fracture compared with the general population.</w:t>
            </w:r>
          </w:p>
          <w:p>
            <w:pPr>
              <w:spacing w:after="40" w:line="252" w:lineRule="auto"/>
            </w:pPr>
            <w:hyperlink r:id="rId10">
              <w:r>
                <w:rPr>
                  <w:rFonts w:ascii="Calibri" w:hAnsi="Calibri" w:cs="Calibri"/>
                  <w:sz w:val="18"/>
                  <w:color w:val="1155CC"/>
                  <w:u w:val="single"/>
                </w:rPr>
                <w:t xml:space="preserve">ncbi.nlm.nih.gov - rheumatoid arthritis (StatPearls)</w:t>
              </w:r>
            </w:hyperlink>
          </w:p>
          <w:p>
            <w:pPr>
              <w:spacing w:before="60" w:after="40"/>
            </w:pPr>
            <w:r>
              <w:rPr>
                <w:rFonts w:ascii="Calibri" w:hAnsi="Calibri"/>
                <w:b w:val="0"/>
                <w:i w:val="0"/>
                <w:color w:val="5A5A5A"/>
                <w:sz w:val="18"/>
              </w:rPr>
              <w:t>#osteoporosis  #fracture  #steroids  #vitaminD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Interstitial lung disease</w:t>
            </w:r>
          </w:p>
        </w:tc>
        <w:tc>
          <w:tcPr>
            <w:tcW w:type="dxa" w:w="2160"/>
            <w:vAlign w:val="top"/>
          </w:tcPr>
          <w:p>
            <w:pPr>
              <w:spacing w:after="40" w:before="0" w:line="259" w:lineRule="auto"/>
            </w:pPr>
            <w:r>
              <w:rPr>
                <w:rFonts w:ascii="Calibri" w:hAnsi="Calibri"/>
                <w:b w:val="0"/>
                <w:i w:val="0"/>
                <w:color w:val="212121"/>
                <w:sz w:val="19"/>
              </w:rPr>
              <w:t>Seropositive smokers with RA</w:t>
            </w:r>
          </w:p>
        </w:tc>
        <w:tc>
          <w:tcPr>
            <w:tcW w:type="dxa" w:w="4276"/>
            <w:vAlign w:val="top"/>
          </w:tcPr>
          <w:p>
            <w:pPr>
              <w:spacing w:after="60" w:line="259" w:lineRule="auto"/>
            </w:pPr>
            <w:r>
              <w:rPr>
                <w:rFonts w:ascii="Calibri" w:hAnsi="Calibri"/>
                <w:b w:val="0"/>
                <w:i w:val="0"/>
                <w:color w:val="212121"/>
                <w:sz w:val="19"/>
              </w:rPr>
              <w:t>RA-associated interstitial lung disease is an important extra-articular complication linked to smoking and specific autoantibodies, and it markedly increases mortality.</w:t>
            </w:r>
          </w:p>
          <w:p>
            <w:pPr>
              <w:spacing w:after="40" w:before="60" w:line="259" w:lineRule="auto"/>
            </w:pPr>
            <w:r>
              <w:rPr>
                <w:rFonts w:ascii="Calibri" w:hAnsi="Calibri"/>
                <w:b w:val="0"/>
                <w:i w:val="0"/>
                <w:color w:val="212121"/>
                <w:sz w:val="19"/>
              </w:rPr>
              <w:t>Interstitial lung disease affects 5% to 16% of patients with RA and is associated with RA-specific autoantibodies and increased mortality.</w:t>
            </w:r>
          </w:p>
          <w:p>
            <w:pPr>
              <w:spacing w:after="40" w:line="252" w:lineRule="auto"/>
            </w:pPr>
            <w:hyperlink r:id="rId10">
              <w:r>
                <w:rPr>
                  <w:rFonts w:ascii="Calibri" w:hAnsi="Calibri" w:cs="Calibri"/>
                  <w:sz w:val="18"/>
                  <w:color w:val="1155CC"/>
                  <w:u w:val="single"/>
                </w:rPr>
                <w:t xml:space="preserve">ncbi.nlm.nih.gov - rheumatoid arthritis (StatPearls)</w:t>
              </w:r>
            </w:hyperlink>
          </w:p>
          <w:p>
            <w:pPr>
              <w:spacing w:before="60" w:after="40"/>
            </w:pPr>
            <w:r>
              <w:rPr>
                <w:rFonts w:ascii="Calibri" w:hAnsi="Calibri"/>
                <w:b w:val="0"/>
                <w:i w:val="0"/>
                <w:color w:val="5A5A5A"/>
                <w:sz w:val="18"/>
              </w:rPr>
              <w:t>#ILD  #lungfibrosis  #seropositive  #smoking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Patients with active or long-standing RA</w:t>
            </w:r>
          </w:p>
        </w:tc>
        <w:tc>
          <w:tcPr>
            <w:tcW w:type="dxa" w:w="4276"/>
            <w:vAlign w:val="top"/>
          </w:tcPr>
          <w:p>
            <w:pPr>
              <w:spacing w:after="60" w:line="259" w:lineRule="auto"/>
            </w:pPr>
            <w:r>
              <w:rPr>
                <w:rFonts w:ascii="Calibri" w:hAnsi="Calibri"/>
                <w:b w:val="0"/>
                <w:i w:val="0"/>
                <w:color w:val="212121"/>
                <w:sz w:val="19"/>
              </w:rPr>
              <w:t>Chronic pain, disability and systemic inflammation drive a high burden of depression, which in turn worsens pain perception, adherence and disease outcomes in a bidirectional relationship.</w:t>
            </w:r>
          </w:p>
          <w:p>
            <w:pPr>
              <w:spacing w:after="40" w:before="60" w:line="259" w:lineRule="auto"/>
            </w:pPr>
            <w:r>
              <w:rPr>
                <w:rFonts w:ascii="Calibri" w:hAnsi="Calibri"/>
                <w:b w:val="0"/>
                <w:i w:val="0"/>
                <w:color w:val="212121"/>
                <w:sz w:val="19"/>
              </w:rPr>
              <w:t>Depression affects around one in six people with rheumatoid arthritis.</w:t>
            </w:r>
          </w:p>
          <w:p>
            <w:pPr>
              <w:spacing w:after="40" w:line="252" w:lineRule="auto"/>
            </w:pPr>
            <w:hyperlink r:id="rId17">
              <w:r>
                <w:rPr>
                  <w:rFonts w:ascii="Calibri" w:hAnsi="Calibri" w:cs="Calibri"/>
                  <w:sz w:val="18"/>
                  <w:color w:val="1155CC"/>
                  <w:u w:val="single"/>
                </w:rPr>
                <w:t xml:space="preserve">versusarthritis.org - rheumatoid arthritis</w:t>
              </w:r>
            </w:hyperlink>
          </w:p>
          <w:p>
            <w:pPr>
              <w:spacing w:before="60" w:after="40"/>
            </w:pPr>
            <w:r>
              <w:rPr>
                <w:rFonts w:ascii="Calibri" w:hAnsi="Calibri"/>
                <w:b w:val="0"/>
                <w:i w:val="0"/>
                <w:color w:val="5A5A5A"/>
                <w:sz w:val="18"/>
              </w:rPr>
              <w:t>#depression  #chronicpain  #bidirectional  #adherence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promotes obesity, rheumatoid cachexia, stiffness and cardiovascular risk and limits improvement; regular tailored exercise preserves muscle strength, joint mobility and function without accelerating joint damage.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Obesity modestly raises RA risk and lowers the chance of remission, while a Mediterranean, oily-fish and vegetable-rich, omega-3-adequate diet is associated with somewhat lower risk and better symptom control; adequate protein and calcium counter cachexia and bone loss.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Pain and inflammation disrupt sleep, and poor sleep in turn amplifies pain, fatigue and depressed mood in a bidirectional loop that worsens disease activity and quality of life.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Cigarette and bidi smoking is the strongest environmental risk factor for RA; it drives anti-CCP-positive, more severe disease in shared-epitope carriers, blunts treatment response and multiplies cardiovascular and lung (ILD)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Any protective signal is weak; heavy use offers no benefit and compounds the hepatotoxicity of methotrexate and leflunomide, raises fracture risk and interacts with analgesics.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affects about one in six people with RA and is bidirectional - low mood worsens pain, fatigue, adherence and outcomes, while active disease fuels depression.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role in RA risk or activity; adequate fluids matter mainly for general health and for safe use of nephrotoxic or renally cleared drugs (e.g., NSAIDs, methotrexate).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inconsistent; some studies weakly link decaffeinated coffee with RA risk, but no reliable causal effect of caffeine on onset or activity is established.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Oral hygiene is relevant - periodontitis, particularly Porphyromonas gingivalis, promotes citrullination and is an independent RA risk factor - and general infection prevention matters because DMARDs and biologics are immunosuppressive.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Onset and flares can be triggered by smoking, infections, physical or emotional stress and the post-partum period; abruptly stopping medication is a common precipitant of flares.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does not cause RA, but joint protection, splinting, ergonomic adaptation and good positioning reduce strain on inflamed and deformed joints and preserve hand function.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 with RA</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Obesity raises RA risk and reduces remission; low BMI may signal rheumatoid cachexia</w:t>
            </w:r>
          </w:p>
          <w:p>
            <w:pPr>
              <w:spacing w:after="40" w:line="252" w:lineRule="auto"/>
            </w:pPr>
            <w:hyperlink r:id="rId14">
              <w:r>
                <w:rPr>
                  <w:rFonts w:ascii="Calibri" w:hAnsi="Calibri" w:cs="Calibri"/>
                  <w:sz w:val="18"/>
                  <w:color w:val="1155CC"/>
                  <w:u w:val="single"/>
                </w:rPr>
                <w:t xml:space="preserve">https://www.niams.nih.gov/health-topics/rheumatoid-arthritis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aerobic + strengthening activity</w:t>
            </w:r>
          </w:p>
        </w:tc>
        <w:tc>
          <w:tcPr>
            <w:tcW w:type="dxa" w:w="1655"/>
            <w:vAlign w:val="top"/>
          </w:tcPr>
          <w:p>
            <w:pPr>
              <w:spacing w:after="40" w:before="0" w:line="259" w:lineRule="auto"/>
            </w:pPr>
            <w:r>
              <w:rPr>
                <w:rFonts w:ascii="Calibri" w:hAnsi="Calibri"/>
                <w:b w:val="0"/>
                <w:i w:val="0"/>
                <w:color w:val="212121"/>
                <w:sz w:val="19"/>
              </w:rPr>
              <w:t>Stable RA</w:t>
            </w:r>
          </w:p>
        </w:tc>
        <w:tc>
          <w:tcPr>
            <w:tcW w:type="dxa" w:w="1512"/>
            <w:vAlign w:val="top"/>
          </w:tcPr>
          <w:p>
            <w:pPr>
              <w:spacing w:after="40" w:before="0" w:line="259" w:lineRule="auto"/>
            </w:pPr>
            <w:r>
              <w:rPr>
                <w:rFonts w:ascii="Calibri" w:hAnsi="Calibri"/>
                <w:b w:val="0"/>
                <w:i w:val="0"/>
                <w:color w:val="212121"/>
                <w:sz w:val="19"/>
              </w:rPr>
              <w:t>&gt;= 150 min/week + 2 days strengthening</w:t>
            </w:r>
          </w:p>
        </w:tc>
        <w:tc>
          <w:tcPr>
            <w:tcW w:type="dxa" w:w="1512"/>
            <w:vAlign w:val="top"/>
          </w:tcPr>
          <w:p>
            <w:pPr>
              <w:spacing w:after="40" w:before="0" w:line="259" w:lineRule="auto"/>
            </w:pPr>
            <w:r>
              <w:rPr>
                <w:rFonts w:ascii="Calibri" w:hAnsi="Calibri"/>
                <w:b w:val="0"/>
                <w:i w:val="0"/>
                <w:color w:val="212121"/>
                <w:sz w:val="19"/>
              </w:rPr>
              <w:t>&lt; 150 min/week / sedentary</w:t>
            </w:r>
          </w:p>
        </w:tc>
        <w:tc>
          <w:tcPr>
            <w:tcW w:type="dxa" w:w="1468"/>
            <w:vAlign w:val="top"/>
          </w:tcPr>
          <w:p>
            <w:pPr>
              <w:spacing w:after="60" w:line="259" w:lineRule="auto"/>
            </w:pPr>
            <w:r>
              <w:rPr>
                <w:rFonts w:ascii="Calibri" w:hAnsi="Calibri"/>
                <w:b w:val="0"/>
                <w:i w:val="0"/>
                <w:color w:val="212121"/>
                <w:sz w:val="19"/>
              </w:rPr>
              <w:t>Exercise preserves muscle, mobility and cardiovascular health without harming joints</w:t>
            </w:r>
          </w:p>
          <w:p>
            <w:pPr>
              <w:spacing w:after="40" w:line="252" w:lineRule="auto"/>
            </w:pPr>
            <w:hyperlink r:id="rId16">
              <w:r>
                <w:rPr>
                  <w:rFonts w:ascii="Calibri" w:hAnsi="Calibri" w:cs="Calibri"/>
                  <w:sz w:val="18"/>
                  <w:color w:val="1155CC"/>
                  <w:u w:val="single"/>
                </w:rPr>
                <w:t xml:space="preserve">https://www.niams.nih.gov/health-topics/rheumatoid-arthritis/diagnosis-treatment-and-steps-to-take</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Waist circumference (Asian cut-offs)</w:t>
            </w:r>
          </w:p>
        </w:tc>
        <w:tc>
          <w:tcPr>
            <w:tcW w:type="dxa" w:w="1655"/>
            <w:vAlign w:val="top"/>
          </w:tcPr>
          <w:p>
            <w:pPr>
              <w:spacing w:after="40" w:before="0" w:line="259" w:lineRule="auto"/>
            </w:pPr>
            <w:r>
              <w:rPr>
                <w:rFonts w:ascii="Calibri" w:hAnsi="Calibri"/>
                <w:b w:val="0"/>
                <w:i w:val="0"/>
                <w:color w:val="212121"/>
                <w:sz w:val="19"/>
              </w:rPr>
              <w:t>Adults with RA</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40" w:before="0" w:line="259" w:lineRule="auto"/>
            </w:pPr>
            <w:r>
              <w:rPr>
                <w:rFonts w:ascii="Calibri" w:hAnsi="Calibri"/>
                <w:b w:val="0"/>
                <w:i w:val="0"/>
                <w:color w:val="212121"/>
                <w:sz w:val="19"/>
              </w:rPr>
              <w:t>Central adiposity is pro-inflammatory and worsens disease activity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w:t>
            </w:r>
          </w:p>
        </w:tc>
        <w:tc>
          <w:tcPr>
            <w:tcW w:type="dxa" w:w="1655"/>
            <w:vAlign w:val="top"/>
          </w:tcPr>
          <w:p>
            <w:pPr>
              <w:spacing w:after="40" w:before="0" w:line="259" w:lineRule="auto"/>
            </w:pPr>
            <w:r>
              <w:rPr>
                <w:rFonts w:ascii="Calibri" w:hAnsi="Calibri"/>
                <w:b w:val="0"/>
                <w:i w:val="0"/>
                <w:color w:val="212121"/>
                <w:sz w:val="19"/>
              </w:rPr>
              <w:t>RA patients, post-menopausal women</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40" w:before="0" w:line="259" w:lineRule="auto"/>
            </w:pPr>
            <w:r>
              <w:rPr>
                <w:rFonts w:ascii="Calibri" w:hAnsi="Calibri"/>
                <w:b w:val="0"/>
                <w:i w:val="0"/>
                <w:color w:val="212121"/>
                <w:sz w:val="19"/>
              </w:rPr>
              <w:t>Deficiency is widespread in India and compounds inflammatory bone loss and fracture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Adults, shared-epitope carriers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Strongest environmental risk factor; any smoking worsens disease and CV/lung risk</w:t>
            </w:r>
          </w:p>
          <w:p>
            <w:pPr>
              <w:spacing w:after="40" w:line="252" w:lineRule="auto"/>
            </w:pPr>
            <w:hyperlink r:id="rId10">
              <w:r>
                <w:rPr>
                  <w:rFonts w:ascii="Calibri" w:hAnsi="Calibri" w:cs="Calibri"/>
                  <w:sz w:val="18"/>
                  <w:color w:val="1155CC"/>
                  <w:u w:val="single"/>
                </w:rPr>
                <w:t xml:space="preserve">https://www.ncbi.nlm.nih.gov/books/NBK441999/</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(on DMARDs)</w:t>
            </w:r>
          </w:p>
        </w:tc>
        <w:tc>
          <w:tcPr>
            <w:tcW w:type="dxa" w:w="1655"/>
            <w:vAlign w:val="top"/>
          </w:tcPr>
          <w:p>
            <w:pPr>
              <w:spacing w:after="40" w:before="0" w:line="259" w:lineRule="auto"/>
            </w:pPr>
            <w:r>
              <w:rPr>
                <w:rFonts w:ascii="Calibri" w:hAnsi="Calibri"/>
                <w:b w:val="0"/>
                <w:i w:val="0"/>
                <w:color w:val="212121"/>
                <w:sz w:val="19"/>
              </w:rPr>
              <w:t>Patients on methotrexate/leflunomide</w:t>
            </w:r>
          </w:p>
        </w:tc>
        <w:tc>
          <w:tcPr>
            <w:tcW w:type="dxa" w:w="1512"/>
            <w:vAlign w:val="top"/>
          </w:tcPr>
          <w:p>
            <w:pPr>
              <w:spacing w:after="40" w:before="0" w:line="259" w:lineRule="auto"/>
            </w:pPr>
            <w:r>
              <w:rPr>
                <w:rFonts w:ascii="Calibri" w:hAnsi="Calibri"/>
                <w:b w:val="0"/>
                <w:i w:val="0"/>
                <w:color w:val="212121"/>
                <w:sz w:val="19"/>
              </w:rPr>
              <w:t>Minimal / none</w:t>
            </w:r>
          </w:p>
        </w:tc>
        <w:tc>
          <w:tcPr>
            <w:tcW w:type="dxa" w:w="1512"/>
            <w:vAlign w:val="top"/>
          </w:tcPr>
          <w:p>
            <w:pPr>
              <w:spacing w:after="40" w:before="0" w:line="259" w:lineRule="auto"/>
            </w:pPr>
            <w:r>
              <w:rPr>
                <w:rFonts w:ascii="Calibri" w:hAnsi="Calibri"/>
                <w:b w:val="0"/>
                <w:i w:val="0"/>
                <w:color w:val="212121"/>
                <w:sz w:val="19"/>
              </w:rPr>
              <w:t>Regular or heavy intake</w:t>
            </w:r>
          </w:p>
        </w:tc>
        <w:tc>
          <w:tcPr>
            <w:tcW w:type="dxa" w:w="1468"/>
            <w:vAlign w:val="top"/>
          </w:tcPr>
          <w:p>
            <w:pPr>
              <w:spacing w:after="60" w:line="259" w:lineRule="auto"/>
            </w:pPr>
            <w:r>
              <w:rPr>
                <w:rFonts w:ascii="Calibri" w:hAnsi="Calibri"/>
                <w:b w:val="0"/>
                <w:i w:val="0"/>
                <w:color w:val="212121"/>
                <w:sz w:val="19"/>
              </w:rPr>
              <w:t>Adds to DMARD hepatotoxicity; monitor liver function</w:t>
            </w:r>
          </w:p>
          <w:p>
            <w:pPr>
              <w:spacing w:after="40" w:line="252" w:lineRule="auto"/>
            </w:pPr>
            <w:hyperlink r:id="rId10">
              <w:r>
                <w:rPr>
                  <w:rFonts w:ascii="Calibri" w:hAnsi="Calibri" w:cs="Calibri"/>
                  <w:sz w:val="18"/>
                  <w:color w:val="1155CC"/>
                  <w:u w:val="single"/>
                </w:rPr>
                <w:t xml:space="preserve">https://www.ncbi.nlm.nih.gov/books/NBK441999/</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 with RA</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non-restorative</w:t>
            </w:r>
          </w:p>
        </w:tc>
        <w:tc>
          <w:tcPr>
            <w:tcW w:type="dxa" w:w="1468"/>
            <w:vAlign w:val="top"/>
          </w:tcPr>
          <w:p>
            <w:pPr>
              <w:spacing w:after="40" w:before="0" w:line="259" w:lineRule="auto"/>
            </w:pPr>
            <w:r>
              <w:rPr>
                <w:rFonts w:ascii="Calibri" w:hAnsi="Calibri"/>
                <w:b w:val="0"/>
                <w:i w:val="0"/>
                <w:color w:val="212121"/>
                <w:sz w:val="19"/>
              </w:rPr>
              <w:t>Poor sleep amplifies pain, fatigue and low mood and worsens activity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Active/chronic RA</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&gt;= 10 (moderate or greater)</w:t>
            </w:r>
          </w:p>
        </w:tc>
        <w:tc>
          <w:tcPr>
            <w:tcW w:type="dxa" w:w="1468"/>
            <w:vAlign w:val="top"/>
          </w:tcPr>
          <w:p>
            <w:pPr>
              <w:spacing w:after="60" w:line="259" w:lineRule="auto"/>
            </w:pPr>
            <w:r>
              <w:rPr>
                <w:rFonts w:ascii="Calibri" w:hAnsi="Calibri"/>
                <w:b w:val="0"/>
                <w:i w:val="0"/>
                <w:color w:val="212121"/>
                <w:sz w:val="19"/>
              </w:rPr>
              <w:t>About 1 in 6 RA patients has depression; it worsens pain and adherence</w:t>
            </w:r>
          </w:p>
          <w:p>
            <w:pPr>
              <w:spacing w:after="40" w:line="252" w:lineRule="auto"/>
            </w:pPr>
            <w:hyperlink r:id="rId17">
              <w:r>
                <w:rPr>
                  <w:rFonts w:ascii="Calibri" w:hAnsi="Calibri" w:cs="Calibri"/>
                  <w:sz w:val="18"/>
                  <w:color w:val="1155CC"/>
                  <w:u w:val="single"/>
                </w:rPr>
                <w:t xml:space="preserve">https://versusarthritis.org/about-arthritis/conditions/rheumatoid-arthritis/</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Morning stiffness duration</w:t>
            </w:r>
          </w:p>
        </w:tc>
        <w:tc>
          <w:tcPr>
            <w:tcW w:type="dxa" w:w="1655"/>
            <w:vAlign w:val="top"/>
          </w:tcPr>
          <w:p>
            <w:pPr>
              <w:spacing w:after="40" w:before="0" w:line="259" w:lineRule="auto"/>
            </w:pPr>
            <w:r>
              <w:rPr>
                <w:rFonts w:ascii="Calibri" w:hAnsi="Calibri"/>
                <w:b w:val="0"/>
                <w:i w:val="0"/>
                <w:color w:val="212121"/>
                <w:sz w:val="19"/>
              </w:rPr>
              <w:t>Suspected/active RA</w:t>
            </w:r>
          </w:p>
        </w:tc>
        <w:tc>
          <w:tcPr>
            <w:tcW w:type="dxa" w:w="1512"/>
            <w:vAlign w:val="top"/>
          </w:tcPr>
          <w:p>
            <w:pPr>
              <w:spacing w:after="40" w:before="0" w:line="259" w:lineRule="auto"/>
            </w:pPr>
            <w:r>
              <w:rPr>
                <w:rFonts w:ascii="Calibri" w:hAnsi="Calibri"/>
                <w:b w:val="0"/>
                <w:i w:val="0"/>
                <w:color w:val="212121"/>
                <w:sz w:val="19"/>
              </w:rPr>
              <w:t>&lt; 15 minutes</w:t>
            </w:r>
          </w:p>
        </w:tc>
        <w:tc>
          <w:tcPr>
            <w:tcW w:type="dxa" w:w="1512"/>
            <w:vAlign w:val="top"/>
          </w:tcPr>
          <w:p>
            <w:pPr>
              <w:spacing w:after="40" w:before="0" w:line="259" w:lineRule="auto"/>
            </w:pPr>
            <w:r>
              <w:rPr>
                <w:rFonts w:ascii="Calibri" w:hAnsi="Calibri"/>
                <w:b w:val="0"/>
                <w:i w:val="0"/>
                <w:color w:val="212121"/>
                <w:sz w:val="19"/>
              </w:rPr>
              <w:t>&gt;= 30-45 minutes</w:t>
            </w:r>
          </w:p>
        </w:tc>
        <w:tc>
          <w:tcPr>
            <w:tcW w:type="dxa" w:w="1468"/>
            <w:vAlign w:val="top"/>
          </w:tcPr>
          <w:p>
            <w:pPr>
              <w:spacing w:after="60" w:line="259" w:lineRule="auto"/>
            </w:pPr>
            <w:r>
              <w:rPr>
                <w:rFonts w:ascii="Calibri" w:hAnsi="Calibri"/>
                <w:b w:val="0"/>
                <w:i w:val="0"/>
                <w:color w:val="212121"/>
                <w:sz w:val="19"/>
              </w:rPr>
              <w:t>Prolonged early-morning stiffness is a hallmark of inflammatory (RA) joint disease</w:t>
            </w:r>
          </w:p>
          <w:p>
            <w:pPr>
              <w:spacing w:after="40" w:line="252" w:lineRule="auto"/>
            </w:pPr>
            <w:hyperlink r:id="rId15">
              <w:r>
                <w:rPr>
                  <w:rFonts w:ascii="Calibri" w:hAnsi="Calibri" w:cs="Calibri"/>
                  <w:sz w:val="18"/>
                  <w:color w:val="1155CC"/>
                  <w:u w:val="single"/>
                </w:rPr>
                <w:t xml:space="preserve">https://www.mayoclinic.org/diseases-conditions/rheumatoid-arthritis/symptoms-causes/syc-20353648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DAS28 disease activity score</w:t>
            </w:r>
          </w:p>
        </w:tc>
        <w:tc>
          <w:tcPr>
            <w:tcW w:type="dxa" w:w="1655"/>
            <w:vAlign w:val="top"/>
          </w:tcPr>
          <w:p>
            <w:pPr>
              <w:spacing w:after="40" w:before="0" w:line="259" w:lineRule="auto"/>
            </w:pPr>
            <w:r>
              <w:rPr>
                <w:rFonts w:ascii="Calibri" w:hAnsi="Calibri"/>
                <w:b w:val="0"/>
                <w:i w:val="0"/>
                <w:color w:val="212121"/>
                <w:sz w:val="19"/>
              </w:rPr>
              <w:t>Patients with RA</w:t>
            </w:r>
          </w:p>
        </w:tc>
        <w:tc>
          <w:tcPr>
            <w:tcW w:type="dxa" w:w="1512"/>
            <w:vAlign w:val="top"/>
          </w:tcPr>
          <w:p>
            <w:pPr>
              <w:spacing w:after="40" w:before="0" w:line="259" w:lineRule="auto"/>
            </w:pPr>
            <w:r>
              <w:rPr>
                <w:rFonts w:ascii="Calibri" w:hAnsi="Calibri"/>
                <w:b w:val="0"/>
                <w:i w:val="0"/>
                <w:color w:val="212121"/>
                <w:sz w:val="19"/>
              </w:rPr>
              <w:t>&lt; 2.6 (remission)</w:t>
            </w:r>
          </w:p>
        </w:tc>
        <w:tc>
          <w:tcPr>
            <w:tcW w:type="dxa" w:w="1512"/>
            <w:vAlign w:val="top"/>
          </w:tcPr>
          <w:p>
            <w:pPr>
              <w:spacing w:after="40" w:before="0" w:line="259" w:lineRule="auto"/>
            </w:pPr>
            <w:r>
              <w:rPr>
                <w:rFonts w:ascii="Calibri" w:hAnsi="Calibri"/>
                <w:b w:val="0"/>
                <w:i w:val="0"/>
                <w:color w:val="212121"/>
                <w:sz w:val="19"/>
              </w:rPr>
              <w:t>&gt; 5.1 (high activity)</w:t>
            </w:r>
          </w:p>
        </w:tc>
        <w:tc>
          <w:tcPr>
            <w:tcW w:type="dxa" w:w="1468"/>
            <w:vAlign w:val="top"/>
          </w:tcPr>
          <w:p>
            <w:pPr>
              <w:spacing w:after="60" w:line="259" w:lineRule="auto"/>
            </w:pPr>
            <w:r>
              <w:rPr>
                <w:rFonts w:ascii="Calibri" w:hAnsi="Calibri"/>
                <w:b w:val="0"/>
                <w:i w:val="0"/>
                <w:color w:val="212121"/>
                <w:sz w:val="19"/>
              </w:rPr>
              <w:t>Composite of tender/swollen joint counts, ESR/CRP and global health; guides treat-to-target</w:t>
            </w:r>
          </w:p>
          <w:p>
            <w:pPr>
              <w:spacing w:after="40" w:line="252" w:lineRule="auto"/>
            </w:pPr>
            <w:hyperlink r:id="rId10">
              <w:r>
                <w:rPr>
                  <w:rFonts w:ascii="Calibri" w:hAnsi="Calibri" w:cs="Calibri"/>
                  <w:sz w:val="18"/>
                  <w:color w:val="1155CC"/>
                  <w:u w:val="single"/>
                </w:rPr>
                <w:t xml:space="preserve">https://www.ncbi.nlm.nih.gov/books/NBK441999/</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Periodontal health</w:t>
            </w:r>
          </w:p>
        </w:tc>
        <w:tc>
          <w:tcPr>
            <w:tcW w:type="dxa" w:w="1655"/>
            <w:vAlign w:val="top"/>
          </w:tcPr>
          <w:p>
            <w:pPr>
              <w:spacing w:after="40" w:before="0" w:line="259" w:lineRule="auto"/>
            </w:pPr>
            <w:r>
              <w:rPr>
                <w:rFonts w:ascii="Calibri" w:hAnsi="Calibri"/>
                <w:b w:val="0"/>
                <w:i w:val="0"/>
                <w:color w:val="212121"/>
                <w:sz w:val="19"/>
              </w:rPr>
              <w:t>RA patients / at-risk adults</w:t>
            </w:r>
          </w:p>
        </w:tc>
        <w:tc>
          <w:tcPr>
            <w:tcW w:type="dxa" w:w="1512"/>
            <w:vAlign w:val="top"/>
          </w:tcPr>
          <w:p>
            <w:pPr>
              <w:spacing w:after="40" w:before="0" w:line="259" w:lineRule="auto"/>
            </w:pPr>
            <w:r>
              <w:rPr>
                <w:rFonts w:ascii="Calibri" w:hAnsi="Calibri"/>
                <w:b w:val="0"/>
                <w:i w:val="0"/>
                <w:color w:val="212121"/>
                <w:sz w:val="19"/>
              </w:rPr>
              <w:t>Healthy gums, routine dental care</w:t>
            </w:r>
          </w:p>
        </w:tc>
        <w:tc>
          <w:tcPr>
            <w:tcW w:type="dxa" w:w="1512"/>
            <w:vAlign w:val="top"/>
          </w:tcPr>
          <w:p>
            <w:pPr>
              <w:spacing w:after="40" w:before="0" w:line="259" w:lineRule="auto"/>
            </w:pPr>
            <w:r>
              <w:rPr>
                <w:rFonts w:ascii="Calibri" w:hAnsi="Calibri"/>
                <w:b w:val="0"/>
                <w:i w:val="0"/>
                <w:color w:val="212121"/>
                <w:sz w:val="19"/>
              </w:rPr>
              <w:t>Untreated periodontitis</w:t>
            </w:r>
          </w:p>
        </w:tc>
        <w:tc>
          <w:tcPr>
            <w:tcW w:type="dxa" w:w="1468"/>
            <w:vAlign w:val="top"/>
          </w:tcPr>
          <w:p>
            <w:pPr>
              <w:spacing w:after="60" w:line="259" w:lineRule="auto"/>
            </w:pPr>
            <w:r>
              <w:rPr>
                <w:rFonts w:ascii="Calibri" w:hAnsi="Calibri"/>
                <w:b w:val="0"/>
                <w:i w:val="0"/>
                <w:color w:val="212121"/>
                <w:sz w:val="19"/>
              </w:rPr>
              <w:t>Periodontitis promotes citrullination and is linked to RA onset and activity</w:t>
            </w:r>
          </w:p>
          <w:p>
            <w:pPr>
              <w:spacing w:after="40" w:line="252" w:lineRule="auto"/>
            </w:pPr>
            <w:hyperlink r:id="rId15">
              <w:r>
                <w:rPr>
                  <w:rFonts w:ascii="Calibri" w:hAnsi="Calibri" w:cs="Calibri"/>
                  <w:sz w:val="18"/>
                  <w:color w:val="1155CC"/>
                  <w:u w:val="single"/>
                </w:rPr>
                <w:t xml:space="preserve">https://www.mayoclinic.org/diseases-conditions/rheumatoid-arthritis/symptoms-causes/syc-20353648</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Anti-CCP antibody (ACPA)</w:t>
            </w:r>
          </w:p>
        </w:tc>
        <w:tc>
          <w:tcPr>
            <w:tcW w:type="dxa" w:w="892"/>
            <w:vAlign w:val="top"/>
          </w:tcPr>
          <w:p>
            <w:pPr>
              <w:spacing w:after="40" w:before="0" w:line="259" w:lineRule="auto"/>
            </w:pPr>
            <w:r>
              <w:rPr>
                <w:rFonts w:ascii="Calibri" w:hAnsi="Calibri"/>
                <w:b w:val="0"/>
                <w:i w:val="0"/>
                <w:color w:val="212121"/>
                <w:sz w:val="16"/>
              </w:rPr>
              <w:t>Autoantibody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(esp. &gt; 3x upper limit)</w:t>
            </w:r>
          </w:p>
        </w:tc>
        <w:tc>
          <w:tcPr>
            <w:tcW w:type="dxa" w:w="1036"/>
            <w:vAlign w:val="top"/>
          </w:tcPr>
          <w:p>
            <w:pPr>
              <w:spacing w:after="40" w:before="0" w:line="259" w:lineRule="auto"/>
            </w:pPr>
            <w:r>
              <w:rPr>
                <w:rFonts w:ascii="Calibri" w:hAnsi="Calibri"/>
                <w:b w:val="0"/>
                <w:i w:val="0"/>
                <w:color w:val="212121"/>
                <w:sz w:val="16"/>
              </w:rPr>
              <w:t>Highly specific for RA (~95%); present in 70-80% and can precede symptoms; marks erosive disease</w:t>
            </w:r>
          </w:p>
        </w:tc>
        <w:tc>
          <w:tcPr>
            <w:tcW w:type="dxa" w:w="1036"/>
            <w:vAlign w:val="top"/>
          </w:tcPr>
          <w:p>
            <w:pPr>
              <w:spacing w:after="40" w:before="0" w:line="259" w:lineRule="auto"/>
            </w:pPr>
            <w:r>
              <w:rPr>
                <w:rFonts w:ascii="Calibri" w:hAnsi="Calibri"/>
                <w:b w:val="0"/>
                <w:i w:val="0"/>
                <w:color w:val="212121"/>
                <w:sz w:val="16"/>
              </w:rPr>
              <w:t>Suspected/early RA, seropositive smokers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Most specific diagnostic antibody; predicts joint damage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Rheumatoid Factor (RF)</w:t>
            </w:r>
          </w:p>
        </w:tc>
        <w:tc>
          <w:tcPr>
            <w:tcW w:type="dxa" w:w="892"/>
            <w:vAlign w:val="top"/>
          </w:tcPr>
          <w:p>
            <w:pPr>
              <w:spacing w:after="40" w:before="0" w:line="259" w:lineRule="auto"/>
            </w:pPr>
            <w:r>
              <w:rPr>
                <w:rFonts w:ascii="Calibri" w:hAnsi="Calibri"/>
                <w:b w:val="0"/>
                <w:i w:val="0"/>
                <w:color w:val="212121"/>
                <w:sz w:val="16"/>
              </w:rPr>
              <w:t>Autoantibody assay</w:t>
            </w:r>
          </w:p>
        </w:tc>
        <w:tc>
          <w:tcPr>
            <w:tcW w:type="dxa" w:w="950"/>
            <w:vAlign w:val="top"/>
          </w:tcPr>
          <w:p>
            <w:pPr>
              <w:spacing w:after="40" w:before="0" w:line="259" w:lineRule="auto"/>
            </w:pPr>
            <w:r>
              <w:rPr>
                <w:rFonts w:ascii="Calibri" w:hAnsi="Calibri"/>
                <w:b w:val="0"/>
                <w:i w:val="0"/>
                <w:color w:val="212121"/>
                <w:sz w:val="16"/>
              </w:rPr>
              <w:t>Negative / &lt; 15 IU/mL</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Present in 80-90% of RA (sensitivity ~69%, specificity ~85%); also positive in infections and healthy elderly</w:t>
            </w:r>
          </w:p>
        </w:tc>
        <w:tc>
          <w:tcPr>
            <w:tcW w:type="dxa" w:w="1036"/>
            <w:vAlign w:val="top"/>
          </w:tcPr>
          <w:p>
            <w:pPr>
              <w:spacing w:after="40" w:before="0" w:line="259" w:lineRule="auto"/>
            </w:pPr>
            <w:r>
              <w:rPr>
                <w:rFonts w:ascii="Calibri" w:hAnsi="Calibri"/>
                <w:b w:val="0"/>
                <w:i w:val="0"/>
                <w:color w:val="212121"/>
                <w:sz w:val="16"/>
              </w:rPr>
              <w:t>Suspected RA, extra-articular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Less specific than anti-CCP; high titres track severity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(CRP)</w:t>
            </w:r>
          </w:p>
        </w:tc>
        <w:tc>
          <w:tcPr>
            <w:tcW w:type="dxa" w:w="892"/>
            <w:vAlign w:val="top"/>
          </w:tcPr>
          <w:p>
            <w:pPr>
              <w:spacing w:after="40" w:before="0" w:line="259" w:lineRule="auto"/>
            </w:pPr>
            <w:r>
              <w:rPr>
                <w:rFonts w:ascii="Calibri" w:hAnsi="Calibri"/>
                <w:b w:val="0"/>
                <w:i w:val="0"/>
                <w:color w:val="212121"/>
                <w:sz w:val="16"/>
              </w:rPr>
              <w:t>Acute-phase reactant</w:t>
            </w:r>
          </w:p>
        </w:tc>
        <w:tc>
          <w:tcPr>
            <w:tcW w:type="dxa" w:w="950"/>
            <w:vAlign w:val="top"/>
          </w:tcPr>
          <w:p>
            <w:pPr>
              <w:spacing w:after="40" w:before="0" w:line="259" w:lineRule="auto"/>
            </w:pPr>
            <w:r>
              <w:rPr>
                <w:rFonts w:ascii="Calibri" w:hAnsi="Calibri"/>
                <w:b w:val="0"/>
                <w:i w:val="0"/>
                <w:color w:val="212121"/>
                <w:sz w:val="16"/>
              </w:rPr>
              <w:t>&lt; 5 mg/L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Measures systemic inflammation; monitors disease activity and treatment response</w:t>
            </w:r>
          </w:p>
        </w:tc>
        <w:tc>
          <w:tcPr>
            <w:tcW w:type="dxa" w:w="1036"/>
            <w:vAlign w:val="top"/>
          </w:tcPr>
          <w:p>
            <w:pPr>
              <w:spacing w:after="40" w:before="0" w:line="259" w:lineRule="auto"/>
            </w:pPr>
            <w:r>
              <w:rPr>
                <w:rFonts w:ascii="Calibri" w:hAnsi="Calibri"/>
                <w:b w:val="0"/>
                <w:i w:val="0"/>
                <w:color w:val="212121"/>
                <w:sz w:val="16"/>
              </w:rPr>
              <w:t>Active RA, flares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Feeds into DAS28-CRP; part of ACR/EULAR criteria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Erythrocyte Sedimentation Rate (ESR)</w:t>
            </w:r>
          </w:p>
        </w:tc>
        <w:tc>
          <w:tcPr>
            <w:tcW w:type="dxa" w:w="892"/>
            <w:vAlign w:val="top"/>
          </w:tcPr>
          <w:p>
            <w:pPr>
              <w:spacing w:after="40" w:before="0" w:line="259" w:lineRule="auto"/>
            </w:pPr>
            <w:r>
              <w:rPr>
                <w:rFonts w:ascii="Calibri" w:hAnsi="Calibri"/>
                <w:b w:val="0"/>
                <w:i w:val="0"/>
                <w:color w:val="212121"/>
                <w:sz w:val="16"/>
              </w:rPr>
              <w:t>Acute-phase reactant</w:t>
            </w:r>
          </w:p>
        </w:tc>
        <w:tc>
          <w:tcPr>
            <w:tcW w:type="dxa" w:w="950"/>
            <w:vAlign w:val="top"/>
          </w:tcPr>
          <w:p>
            <w:pPr>
              <w:spacing w:after="40" w:before="0" w:line="259" w:lineRule="auto"/>
            </w:pPr>
            <w:r>
              <w:rPr>
                <w:rFonts w:ascii="Calibri" w:hAnsi="Calibri"/>
                <w:b w:val="0"/>
                <w:i w:val="0"/>
                <w:color w:val="212121"/>
                <w:sz w:val="16"/>
              </w:rPr>
              <w:t>Age/sex dependent (approx &lt; 20 mm/hr)</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Reflects inflammation; used to monitor activity and response</w:t>
            </w:r>
          </w:p>
        </w:tc>
        <w:tc>
          <w:tcPr>
            <w:tcW w:type="dxa" w:w="1036"/>
            <w:vAlign w:val="top"/>
          </w:tcPr>
          <w:p>
            <w:pPr>
              <w:spacing w:after="40" w:before="0" w:line="259" w:lineRule="auto"/>
            </w:pPr>
            <w:r>
              <w:rPr>
                <w:rFonts w:ascii="Calibri" w:hAnsi="Calibri"/>
                <w:b w:val="0"/>
                <w:i w:val="0"/>
                <w:color w:val="212121"/>
                <w:sz w:val="16"/>
              </w:rPr>
              <w:t>Active RA, flares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Feeds into DAS28-ESR; less specific than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X-ray hands &amp; feet</w:t>
            </w:r>
          </w:p>
        </w:tc>
        <w:tc>
          <w:tcPr>
            <w:tcW w:type="dxa" w:w="892"/>
            <w:vAlign w:val="top"/>
          </w:tcPr>
          <w:p>
            <w:pPr>
              <w:spacing w:after="40" w:before="0" w:line="259" w:lineRule="auto"/>
            </w:pPr>
            <w:r>
              <w:rPr>
                <w:rFonts w:ascii="Calibri" w:hAnsi="Calibri"/>
                <w:b w:val="0"/>
                <w:i w:val="0"/>
                <w:color w:val="212121"/>
                <w:sz w:val="16"/>
              </w:rPr>
              <w:t>Radiograph</w:t>
            </w:r>
          </w:p>
        </w:tc>
        <w:tc>
          <w:tcPr>
            <w:tcW w:type="dxa" w:w="950"/>
            <w:vAlign w:val="top"/>
          </w:tcPr>
          <w:p>
            <w:pPr>
              <w:spacing w:after="40" w:before="0" w:line="259" w:lineRule="auto"/>
            </w:pPr>
            <w:r>
              <w:rPr>
                <w:rFonts w:ascii="Calibri" w:hAnsi="Calibri"/>
                <w:b w:val="0"/>
                <w:i w:val="0"/>
                <w:color w:val="212121"/>
                <w:sz w:val="16"/>
              </w:rPr>
              <w:t>No erosion; preserved joint space</w:t>
            </w:r>
          </w:p>
        </w:tc>
        <w:tc>
          <w:tcPr>
            <w:tcW w:type="dxa" w:w="950"/>
            <w:vAlign w:val="top"/>
          </w:tcPr>
          <w:p>
            <w:pPr>
              <w:spacing w:after="40" w:before="0" w:line="259" w:lineRule="auto"/>
            </w:pPr>
            <w:r>
              <w:rPr>
                <w:rFonts w:ascii="Calibri" w:hAnsi="Calibri"/>
                <w:b w:val="0"/>
                <w:i w:val="0"/>
                <w:color w:val="212121"/>
                <w:sz w:val="16"/>
              </w:rPr>
              <w:t>Periarticular osteopenia, marginal erosions, joint-space narrowing</w:t>
            </w:r>
          </w:p>
        </w:tc>
        <w:tc>
          <w:tcPr>
            <w:tcW w:type="dxa" w:w="1036"/>
            <w:vAlign w:val="top"/>
          </w:tcPr>
          <w:p>
            <w:pPr>
              <w:spacing w:after="40" w:before="0" w:line="259" w:lineRule="auto"/>
            </w:pPr>
            <w:r>
              <w:rPr>
                <w:rFonts w:ascii="Calibri" w:hAnsi="Calibri"/>
                <w:b w:val="0"/>
                <w:i w:val="0"/>
                <w:color w:val="212121"/>
                <w:sz w:val="16"/>
              </w:rPr>
              <w:t>Documents structural damage and progression; often normal in very early disease</w:t>
            </w:r>
          </w:p>
        </w:tc>
        <w:tc>
          <w:tcPr>
            <w:tcW w:type="dxa" w:w="1036"/>
            <w:vAlign w:val="top"/>
          </w:tcPr>
          <w:p>
            <w:pPr>
              <w:spacing w:after="40" w:before="0" w:line="259" w:lineRule="auto"/>
            </w:pPr>
            <w:r>
              <w:rPr>
                <w:rFonts w:ascii="Calibri" w:hAnsi="Calibri"/>
                <w:b w:val="0"/>
                <w:i w:val="0"/>
                <w:color w:val="212121"/>
                <w:sz w:val="16"/>
              </w:rPr>
              <w:t>Established RA, baseline assessment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Structural</w:t>
            </w:r>
          </w:p>
        </w:tc>
        <w:tc>
          <w:tcPr>
            <w:tcW w:type="dxa" w:w="720"/>
            <w:vAlign w:val="top"/>
          </w:tcPr>
          <w:p>
            <w:pPr>
              <w:spacing w:after="40" w:before="0" w:line="259" w:lineRule="auto"/>
            </w:pPr>
            <w:r>
              <w:rPr>
                <w:rFonts w:ascii="Calibri" w:hAnsi="Calibri"/>
                <w:b w:val="0"/>
                <w:i w:val="0"/>
                <w:color w:val="212121"/>
                <w:sz w:val="16"/>
              </w:rPr>
              <w:t>Erosions are a poor-prognosis marker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Musculoskeletal ultrasound / MRI</w:t>
            </w:r>
          </w:p>
        </w:tc>
        <w:tc>
          <w:tcPr>
            <w:tcW w:type="dxa" w:w="892"/>
            <w:vAlign w:val="top"/>
          </w:tcPr>
          <w:p>
            <w:pPr>
              <w:spacing w:after="40" w:before="0" w:line="259" w:lineRule="auto"/>
            </w:pPr>
            <w:r>
              <w:rPr>
                <w:rFonts w:ascii="Calibri" w:hAnsi="Calibri"/>
                <w:b w:val="0"/>
                <w:i w:val="0"/>
                <w:color w:val="212121"/>
                <w:sz w:val="16"/>
              </w:rPr>
              <w:t>Ultrasound / MRI</w:t>
            </w:r>
          </w:p>
        </w:tc>
        <w:tc>
          <w:tcPr>
            <w:tcW w:type="dxa" w:w="950"/>
            <w:vAlign w:val="top"/>
          </w:tcPr>
          <w:p>
            <w:pPr>
              <w:spacing w:after="40" w:before="0" w:line="259" w:lineRule="auto"/>
            </w:pPr>
            <w:r>
              <w:rPr>
                <w:rFonts w:ascii="Calibri" w:hAnsi="Calibri"/>
                <w:b w:val="0"/>
                <w:i w:val="0"/>
                <w:color w:val="212121"/>
                <w:sz w:val="16"/>
              </w:rPr>
              <w:t>No synovitis or erosion</w:t>
            </w:r>
          </w:p>
        </w:tc>
        <w:tc>
          <w:tcPr>
            <w:tcW w:type="dxa" w:w="950"/>
            <w:vAlign w:val="top"/>
          </w:tcPr>
          <w:p>
            <w:pPr>
              <w:spacing w:after="40" w:before="0" w:line="259" w:lineRule="auto"/>
            </w:pPr>
            <w:r>
              <w:rPr>
                <w:rFonts w:ascii="Calibri" w:hAnsi="Calibri"/>
                <w:b w:val="0"/>
                <w:i w:val="0"/>
                <w:color w:val="212121"/>
                <w:sz w:val="16"/>
              </w:rPr>
              <w:t>Synovial hypertrophy, power-Doppler flow, early erosions</w:t>
            </w:r>
          </w:p>
        </w:tc>
        <w:tc>
          <w:tcPr>
            <w:tcW w:type="dxa" w:w="1036"/>
            <w:vAlign w:val="top"/>
          </w:tcPr>
          <w:p>
            <w:pPr>
              <w:spacing w:after="40" w:before="0" w:line="259" w:lineRule="auto"/>
            </w:pPr>
            <w:r>
              <w:rPr>
                <w:rFonts w:ascii="Calibri" w:hAnsi="Calibri"/>
                <w:b w:val="0"/>
                <w:i w:val="0"/>
                <w:color w:val="212121"/>
                <w:sz w:val="16"/>
              </w:rPr>
              <w:t>Detects subclinical synovitis and erosions before X-ray changes; aids early diagnosis</w:t>
            </w:r>
          </w:p>
        </w:tc>
        <w:tc>
          <w:tcPr>
            <w:tcW w:type="dxa" w:w="1036"/>
            <w:vAlign w:val="top"/>
          </w:tcPr>
          <w:p>
            <w:pPr>
              <w:spacing w:after="40" w:before="0" w:line="259" w:lineRule="auto"/>
            </w:pPr>
            <w:r>
              <w:rPr>
                <w:rFonts w:ascii="Calibri" w:hAnsi="Calibri"/>
                <w:b w:val="0"/>
                <w:i w:val="0"/>
                <w:color w:val="212121"/>
                <w:sz w:val="16"/>
              </w:rPr>
              <w:t>Early/undifferentiated arthritis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More sensitive than radiography for early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(Hb, WBC, platelets)</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Normocytic anaemia; leukopenia (Felty); reactive thrombocytosis</w:t>
            </w:r>
          </w:p>
        </w:tc>
        <w:tc>
          <w:tcPr>
            <w:tcW w:type="dxa" w:w="1036"/>
            <w:vAlign w:val="top"/>
          </w:tcPr>
          <w:p>
            <w:pPr>
              <w:spacing w:after="40" w:before="0" w:line="259" w:lineRule="auto"/>
            </w:pPr>
            <w:r>
              <w:rPr>
                <w:rFonts w:ascii="Calibri" w:hAnsi="Calibri"/>
                <w:b w:val="0"/>
                <w:i w:val="0"/>
                <w:color w:val="212121"/>
                <w:sz w:val="16"/>
              </w:rPr>
              <w:t>Anaemia of chronic disease is common; cytopenias may indicate Felty syndrome or drug toxicity</w:t>
            </w:r>
          </w:p>
        </w:tc>
        <w:tc>
          <w:tcPr>
            <w:tcW w:type="dxa" w:w="1036"/>
            <w:vAlign w:val="top"/>
          </w:tcPr>
          <w:p>
            <w:pPr>
              <w:spacing w:after="40" w:before="0" w:line="259" w:lineRule="auto"/>
            </w:pPr>
            <w:r>
              <w:rPr>
                <w:rFonts w:ascii="Calibri" w:hAnsi="Calibri"/>
                <w:b w:val="0"/>
                <w:i w:val="0"/>
                <w:color w:val="212121"/>
                <w:sz w:val="16"/>
              </w:rPr>
              <w:t>Active RA, patients on DMARDs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a safety baseline before/with methotrexate &amp; biologics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Composite score</w:t>
            </w:r>
          </w:p>
        </w:tc>
        <w:tc>
          <w:tcPr>
            <w:tcW w:type="dxa" w:w="1036"/>
            <w:vAlign w:val="top"/>
          </w:tcPr>
          <w:p>
            <w:pPr>
              <w:spacing w:after="40" w:before="0" w:line="259" w:lineRule="auto"/>
            </w:pPr>
            <w:r>
              <w:rPr>
                <w:rFonts w:ascii="Calibri" w:hAnsi="Calibri"/>
                <w:b w:val="0"/>
                <w:i w:val="0"/>
                <w:color w:val="212121"/>
                <w:sz w:val="16"/>
              </w:rPr>
              <w:t>DAS28 disease activity</w:t>
            </w:r>
          </w:p>
        </w:tc>
        <w:tc>
          <w:tcPr>
            <w:tcW w:type="dxa" w:w="892"/>
            <w:vAlign w:val="top"/>
          </w:tcPr>
          <w:p>
            <w:pPr>
              <w:spacing w:after="40" w:before="0" w:line="259" w:lineRule="auto"/>
            </w:pPr>
            <w:r>
              <w:rPr>
                <w:rFonts w:ascii="Calibri" w:hAnsi="Calibri"/>
                <w:b w:val="0"/>
                <w:i w:val="0"/>
                <w:color w:val="212121"/>
                <w:sz w:val="16"/>
              </w:rPr>
              <w:t>DAS28-ESR/CRP</w:t>
            </w:r>
          </w:p>
        </w:tc>
        <w:tc>
          <w:tcPr>
            <w:tcW w:type="dxa" w:w="950"/>
            <w:vAlign w:val="top"/>
          </w:tcPr>
          <w:p>
            <w:pPr>
              <w:spacing w:after="40" w:before="0" w:line="259" w:lineRule="auto"/>
            </w:pPr>
            <w:r>
              <w:rPr>
                <w:rFonts w:ascii="Calibri" w:hAnsi="Calibri"/>
                <w:b w:val="0"/>
                <w:i w:val="0"/>
                <w:color w:val="212121"/>
                <w:sz w:val="16"/>
              </w:rPr>
              <w:t>&lt; 2.6 (remission)</w:t>
            </w:r>
          </w:p>
        </w:tc>
        <w:tc>
          <w:tcPr>
            <w:tcW w:type="dxa" w:w="950"/>
            <w:vAlign w:val="top"/>
          </w:tcPr>
          <w:p>
            <w:pPr>
              <w:spacing w:after="40" w:before="0" w:line="259" w:lineRule="auto"/>
            </w:pPr>
            <w:r>
              <w:rPr>
                <w:rFonts w:ascii="Calibri" w:hAnsi="Calibri"/>
                <w:b w:val="0"/>
                <w:i w:val="0"/>
                <w:color w:val="212121"/>
                <w:sz w:val="16"/>
              </w:rPr>
              <w:t>&gt; 5.1 (high activity)</w:t>
            </w:r>
          </w:p>
        </w:tc>
        <w:tc>
          <w:tcPr>
            <w:tcW w:type="dxa" w:w="1036"/>
            <w:vAlign w:val="top"/>
          </w:tcPr>
          <w:p>
            <w:pPr>
              <w:spacing w:after="40" w:before="0" w:line="259" w:lineRule="auto"/>
            </w:pPr>
            <w:r>
              <w:rPr>
                <w:rFonts w:ascii="Calibri" w:hAnsi="Calibri"/>
                <w:b w:val="0"/>
                <w:i w:val="0"/>
                <w:color w:val="212121"/>
                <w:sz w:val="16"/>
              </w:rPr>
              <w:t>Combines 28-joint tender/swollen counts, ESR/CRP and patient global to grade activity</w:t>
            </w:r>
          </w:p>
        </w:tc>
        <w:tc>
          <w:tcPr>
            <w:tcW w:type="dxa" w:w="1036"/>
            <w:vAlign w:val="top"/>
          </w:tcPr>
          <w:p>
            <w:pPr>
              <w:spacing w:after="40" w:before="0" w:line="259" w:lineRule="auto"/>
            </w:pPr>
            <w:r>
              <w:rPr>
                <w:rFonts w:ascii="Calibri" w:hAnsi="Calibri"/>
                <w:b w:val="0"/>
                <w:i w:val="0"/>
                <w:color w:val="212121"/>
                <w:sz w:val="16"/>
              </w:rPr>
              <w:t>All RA on treat-to-target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Standard tool for escalating therapy toward remission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Symmetrical small-joint pain, swelling and prolonged morning stiffness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Bilateral MCP/PIP/wrist/MTP pain with morning stiffness &gt;= 30-45 min for &gt;= 6 weeks</w:t>
            </w:r>
          </w:p>
        </w:tc>
        <w:tc>
          <w:tcPr>
            <w:tcW w:type="dxa" w:w="1036"/>
            <w:vAlign w:val="top"/>
          </w:tcPr>
          <w:p>
            <w:pPr>
              <w:spacing w:after="40" w:before="0" w:line="259" w:lineRule="auto"/>
            </w:pPr>
            <w:r>
              <w:rPr>
                <w:rFonts w:ascii="Calibri" w:hAnsi="Calibri"/>
                <w:b w:val="0"/>
                <w:i w:val="0"/>
                <w:color w:val="212121"/>
                <w:sz w:val="16"/>
              </w:rPr>
              <w:t>Classic inflammatory polyarthritis pattern of RA</w:t>
            </w:r>
          </w:p>
        </w:tc>
        <w:tc>
          <w:tcPr>
            <w:tcW w:type="dxa" w:w="1036"/>
            <w:vAlign w:val="top"/>
          </w:tcPr>
          <w:p>
            <w:pPr>
              <w:spacing w:after="40" w:before="0" w:line="259" w:lineRule="auto"/>
            </w:pPr>
            <w:r>
              <w:rPr>
                <w:rFonts w:ascii="Calibri" w:hAnsi="Calibri"/>
                <w:b w:val="0"/>
                <w:i w:val="0"/>
                <w:color w:val="212121"/>
                <w:sz w:val="16"/>
              </w:rPr>
              <w:t>Adults with early inflammatory arthritis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Persistent (&gt;6 week) symmetrical small-joint disease is the key clinical clue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autoimmune history</w:t>
            </w:r>
          </w:p>
        </w:tc>
        <w:tc>
          <w:tcPr>
            <w:tcW w:type="dxa" w:w="979"/>
            <w:vAlign w:val="top"/>
          </w:tcPr>
          <w:p>
            <w:pPr>
              <w:spacing w:after="40" w:before="0" w:line="259" w:lineRule="auto"/>
            </w:pPr>
            <w:r>
              <w:rPr>
                <w:rFonts w:ascii="Calibri" w:hAnsi="Calibri"/>
                <w:b w:val="0"/>
                <w:i w:val="0"/>
                <w:color w:val="212121"/>
                <w:sz w:val="16"/>
              </w:rPr>
              <w:t>First-degree relative with RA/autoimmunity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&gt;= 1 affected first-degree relative</w:t>
            </w:r>
          </w:p>
        </w:tc>
        <w:tc>
          <w:tcPr>
            <w:tcW w:type="dxa" w:w="1036"/>
            <w:vAlign w:val="top"/>
          </w:tcPr>
          <w:p>
            <w:pPr>
              <w:spacing w:after="40" w:before="0" w:line="259" w:lineRule="auto"/>
            </w:pPr>
            <w:r>
              <w:rPr>
                <w:rFonts w:ascii="Calibri" w:hAnsi="Calibri"/>
                <w:b w:val="0"/>
                <w:i w:val="0"/>
                <w:color w:val="212121"/>
                <w:sz w:val="16"/>
              </w:rPr>
              <w:t>Reflects HLA-DRB1 shared-epitope and other heritable risk</w:t>
            </w:r>
          </w:p>
        </w:tc>
        <w:tc>
          <w:tcPr>
            <w:tcW w:type="dxa" w:w="1036"/>
            <w:vAlign w:val="top"/>
          </w:tcPr>
          <w:p>
            <w:pPr>
              <w:spacing w:after="40" w:before="0" w:line="259" w:lineRule="auto"/>
            </w:pPr>
            <w:r>
              <w:rPr>
                <w:rFonts w:ascii="Calibri" w:hAnsi="Calibri"/>
                <w:b w:val="0"/>
                <w:i w:val="0"/>
                <w:color w:val="212121"/>
                <w:sz w:val="16"/>
              </w:rPr>
              <w:t>Relatives of RA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Strengthens suspicion in seropositive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Smoking &amp; exposure history</w:t>
            </w:r>
          </w:p>
        </w:tc>
        <w:tc>
          <w:tcPr>
            <w:tcW w:type="dxa" w:w="979"/>
            <w:vAlign w:val="top"/>
          </w:tcPr>
          <w:p>
            <w:pPr>
              <w:spacing w:after="40" w:before="0" w:line="259" w:lineRule="auto"/>
            </w:pPr>
            <w:r>
              <w:rPr>
                <w:rFonts w:ascii="Calibri" w:hAnsi="Calibri"/>
                <w:b w:val="0"/>
                <w:i w:val="0"/>
                <w:color w:val="212121"/>
                <w:sz w:val="16"/>
              </w:rPr>
              <w:t>Cigarette/bidi pack-years, silica exposure</w:t>
            </w:r>
          </w:p>
        </w:tc>
        <w:tc>
          <w:tcPr>
            <w:tcW w:type="dxa" w:w="950"/>
            <w:vAlign w:val="top"/>
          </w:tcPr>
          <w:p>
            <w:pPr>
              <w:spacing w:after="40" w:before="0" w:line="259" w:lineRule="auto"/>
            </w:pPr>
            <w:r>
              <w:rPr>
                <w:rFonts w:ascii="Calibri" w:hAnsi="Calibri"/>
                <w:b w:val="0"/>
                <w:i w:val="0"/>
                <w:color w:val="212121"/>
                <w:sz w:val="16"/>
              </w:rPr>
              <w:t>Never smoker, no dust exposure</w:t>
            </w:r>
          </w:p>
        </w:tc>
        <w:tc>
          <w:tcPr>
            <w:tcW w:type="dxa" w:w="950"/>
            <w:vAlign w:val="top"/>
          </w:tcPr>
          <w:p>
            <w:pPr>
              <w:spacing w:after="40" w:before="0" w:line="259" w:lineRule="auto"/>
            </w:pPr>
            <w:r>
              <w:rPr>
                <w:rFonts w:ascii="Calibri" w:hAnsi="Calibri"/>
                <w:b w:val="0"/>
                <w:i w:val="0"/>
                <w:color w:val="212121"/>
                <w:sz w:val="16"/>
              </w:rPr>
              <w:t>Current/ex-smoker or occupational silica exposure</w:t>
            </w:r>
          </w:p>
        </w:tc>
        <w:tc>
          <w:tcPr>
            <w:tcW w:type="dxa" w:w="1036"/>
            <w:vAlign w:val="top"/>
          </w:tcPr>
          <w:p>
            <w:pPr>
              <w:spacing w:after="40" w:before="0" w:line="259" w:lineRule="auto"/>
            </w:pPr>
            <w:r>
              <w:rPr>
                <w:rFonts w:ascii="Calibri" w:hAnsi="Calibri"/>
                <w:b w:val="0"/>
                <w:i w:val="0"/>
                <w:color w:val="212121"/>
                <w:sz w:val="16"/>
              </w:rPr>
              <w:t>Identifies the strongest modifiable environmental driver of RA</w:t>
            </w:r>
          </w:p>
        </w:tc>
        <w:tc>
          <w:tcPr>
            <w:tcW w:type="dxa" w:w="1036"/>
            <w:vAlign w:val="top"/>
          </w:tcPr>
          <w:p>
            <w:pPr>
              <w:spacing w:after="40" w:before="0" w:line="259" w:lineRule="auto"/>
            </w:pPr>
            <w:r>
              <w:rPr>
                <w:rFonts w:ascii="Calibri" w:hAnsi="Calibri"/>
                <w:b w:val="0"/>
                <w:i w:val="0"/>
                <w:color w:val="212121"/>
                <w:sz w:val="16"/>
              </w:rPr>
              <w:t>Smokers, stone/construction workers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cessation counselling and prognosis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Joint examination</w:t>
            </w:r>
          </w:p>
        </w:tc>
        <w:tc>
          <w:tcPr>
            <w:tcW w:type="dxa" w:w="979"/>
            <w:vAlign w:val="top"/>
          </w:tcPr>
          <w:p>
            <w:pPr>
              <w:spacing w:after="40" w:before="0" w:line="259" w:lineRule="auto"/>
            </w:pPr>
            <w:r>
              <w:rPr>
                <w:rFonts w:ascii="Calibri" w:hAnsi="Calibri"/>
                <w:b w:val="0"/>
                <w:i w:val="0"/>
                <w:color w:val="212121"/>
                <w:sz w:val="16"/>
              </w:rPr>
              <w:t>Synovitis, squeeze test, deformities</w:t>
            </w:r>
          </w:p>
        </w:tc>
        <w:tc>
          <w:tcPr>
            <w:tcW w:type="dxa" w:w="950"/>
            <w:vAlign w:val="top"/>
          </w:tcPr>
          <w:p>
            <w:pPr>
              <w:spacing w:after="40" w:before="0" w:line="259" w:lineRule="auto"/>
            </w:pPr>
            <w:r>
              <w:rPr>
                <w:rFonts w:ascii="Calibri" w:hAnsi="Calibri"/>
                <w:b w:val="0"/>
                <w:i w:val="0"/>
                <w:color w:val="212121"/>
                <w:sz w:val="16"/>
              </w:rPr>
              <w:t>No synovitis; full range of motion</w:t>
            </w:r>
          </w:p>
        </w:tc>
        <w:tc>
          <w:tcPr>
            <w:tcW w:type="dxa" w:w="950"/>
            <w:vAlign w:val="top"/>
          </w:tcPr>
          <w:p>
            <w:pPr>
              <w:spacing w:after="40" w:before="0" w:line="259" w:lineRule="auto"/>
            </w:pPr>
            <w:r>
              <w:rPr>
                <w:rFonts w:ascii="Calibri" w:hAnsi="Calibri"/>
                <w:b w:val="0"/>
                <w:i w:val="0"/>
                <w:color w:val="212121"/>
                <w:sz w:val="16"/>
              </w:rPr>
              <w:t>Boggy synovitis, positive MCP/MTP squeeze, ulnar deviation, swan-neck/boutonniere</w:t>
            </w:r>
          </w:p>
        </w:tc>
        <w:tc>
          <w:tcPr>
            <w:tcW w:type="dxa" w:w="1036"/>
            <w:vAlign w:val="top"/>
          </w:tcPr>
          <w:p>
            <w:pPr>
              <w:spacing w:after="40" w:before="0" w:line="259" w:lineRule="auto"/>
            </w:pPr>
            <w:r>
              <w:rPr>
                <w:rFonts w:ascii="Calibri" w:hAnsi="Calibri"/>
                <w:b w:val="0"/>
                <w:i w:val="0"/>
                <w:color w:val="212121"/>
                <w:sz w:val="16"/>
              </w:rPr>
              <w:t>Objective evidence of active inflammation and structural damage</w:t>
            </w:r>
          </w:p>
        </w:tc>
        <w:tc>
          <w:tcPr>
            <w:tcW w:type="dxa" w:w="1036"/>
            <w:vAlign w:val="top"/>
          </w:tcPr>
          <w:p>
            <w:pPr>
              <w:spacing w:after="40" w:before="0" w:line="259" w:lineRule="auto"/>
            </w:pPr>
            <w:r>
              <w:rPr>
                <w:rFonts w:ascii="Calibri" w:hAnsi="Calibri"/>
                <w:b w:val="0"/>
                <w:i w:val="0"/>
                <w:color w:val="212121"/>
                <w:sz w:val="16"/>
              </w:rPr>
              <w:t>All suspected RA</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Document tender and swollen joint counts for DAS28</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 assessment</w:t>
            </w:r>
          </w:p>
        </w:tc>
        <w:tc>
          <w:tcPr>
            <w:tcW w:type="dxa" w:w="950"/>
            <w:vAlign w:val="top"/>
          </w:tcPr>
          <w:p>
            <w:pPr>
              <w:spacing w:after="40" w:before="0" w:line="259" w:lineRule="auto"/>
            </w:pPr>
            <w:r>
              <w:rPr>
                <w:rFonts w:ascii="Calibri" w:hAnsi="Calibri"/>
                <w:b w:val="0"/>
                <w:i w:val="0"/>
                <w:color w:val="212121"/>
                <w:sz w:val="16"/>
              </w:rPr>
              <w:t>Health Assessment Questionnaire (HAQ-DI)</w:t>
            </w:r>
          </w:p>
        </w:tc>
        <w:tc>
          <w:tcPr>
            <w:tcW w:type="dxa" w:w="979"/>
            <w:vAlign w:val="top"/>
          </w:tcPr>
          <w:p>
            <w:pPr>
              <w:spacing w:after="40" w:before="0" w:line="259" w:lineRule="auto"/>
            </w:pPr>
            <w:r>
              <w:rPr>
                <w:rFonts w:ascii="Calibri" w:hAnsi="Calibri"/>
                <w:b w:val="0"/>
                <w:i w:val="0"/>
                <w:color w:val="212121"/>
                <w:sz w:val="16"/>
              </w:rPr>
              <w:t>Disability / activities of daily living</w:t>
            </w:r>
          </w:p>
        </w:tc>
        <w:tc>
          <w:tcPr>
            <w:tcW w:type="dxa" w:w="950"/>
            <w:vAlign w:val="top"/>
          </w:tcPr>
          <w:p>
            <w:pPr>
              <w:spacing w:after="40" w:before="0" w:line="259" w:lineRule="auto"/>
            </w:pPr>
            <w:r>
              <w:rPr>
                <w:rFonts w:ascii="Calibri" w:hAnsi="Calibri"/>
                <w:b w:val="0"/>
                <w:i w:val="0"/>
                <w:color w:val="212121"/>
                <w:sz w:val="16"/>
              </w:rPr>
              <w:t>0 (no difficulty)</w:t>
            </w:r>
          </w:p>
        </w:tc>
        <w:tc>
          <w:tcPr>
            <w:tcW w:type="dxa" w:w="950"/>
            <w:vAlign w:val="top"/>
          </w:tcPr>
          <w:p>
            <w:pPr>
              <w:spacing w:after="40" w:before="0" w:line="259" w:lineRule="auto"/>
            </w:pPr>
            <w:r>
              <w:rPr>
                <w:rFonts w:ascii="Calibri" w:hAnsi="Calibri"/>
                <w:b w:val="0"/>
                <w:i w:val="0"/>
                <w:color w:val="212121"/>
                <w:sz w:val="16"/>
              </w:rPr>
              <w:t>Higher score = greater disability</w:t>
            </w:r>
          </w:p>
        </w:tc>
        <w:tc>
          <w:tcPr>
            <w:tcW w:type="dxa" w:w="1036"/>
            <w:vAlign w:val="top"/>
          </w:tcPr>
          <w:p>
            <w:pPr>
              <w:spacing w:after="40" w:before="0" w:line="259" w:lineRule="auto"/>
            </w:pPr>
            <w:r>
              <w:rPr>
                <w:rFonts w:ascii="Calibri" w:hAnsi="Calibri"/>
                <w:b w:val="0"/>
                <w:i w:val="0"/>
                <w:color w:val="212121"/>
                <w:sz w:val="16"/>
              </w:rPr>
              <w:t>Quantifies functional impact and tracks response to therapy</w:t>
            </w:r>
          </w:p>
        </w:tc>
        <w:tc>
          <w:tcPr>
            <w:tcW w:type="dxa" w:w="1036"/>
            <w:vAlign w:val="top"/>
          </w:tcPr>
          <w:p>
            <w:pPr>
              <w:spacing w:after="40" w:before="0" w:line="259" w:lineRule="auto"/>
            </w:pPr>
            <w:r>
              <w:rPr>
                <w:rFonts w:ascii="Calibri" w:hAnsi="Calibri"/>
                <w:b w:val="0"/>
                <w:i w:val="0"/>
                <w:color w:val="212121"/>
                <w:sz w:val="16"/>
              </w:rPr>
              <w:t>Established RA</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Predicts work disability and long-term outcome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Systems review</w:t>
            </w:r>
          </w:p>
        </w:tc>
        <w:tc>
          <w:tcPr>
            <w:tcW w:type="dxa" w:w="950"/>
            <w:vAlign w:val="top"/>
          </w:tcPr>
          <w:p>
            <w:pPr>
              <w:spacing w:after="40" w:before="0" w:line="259" w:lineRule="auto"/>
            </w:pPr>
            <w:r>
              <w:rPr>
                <w:rFonts w:ascii="Calibri" w:hAnsi="Calibri"/>
                <w:b w:val="0"/>
                <w:i w:val="0"/>
                <w:color w:val="212121"/>
                <w:sz w:val="16"/>
              </w:rPr>
              <w:t>Extra-articular assessment</w:t>
            </w:r>
          </w:p>
        </w:tc>
        <w:tc>
          <w:tcPr>
            <w:tcW w:type="dxa" w:w="979"/>
            <w:vAlign w:val="top"/>
          </w:tcPr>
          <w:p>
            <w:pPr>
              <w:spacing w:after="40" w:before="0" w:line="259" w:lineRule="auto"/>
            </w:pPr>
            <w:r>
              <w:rPr>
                <w:rFonts w:ascii="Calibri" w:hAnsi="Calibri"/>
                <w:b w:val="0"/>
                <w:i w:val="0"/>
                <w:color w:val="212121"/>
                <w:sz w:val="16"/>
              </w:rPr>
              <w:t>Nodules, sicca, dyspnoea, CV risk</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Rheumatoid nodules, dry eyes/mouth, bibasal crackles (ILD), high CV risk</w:t>
            </w:r>
          </w:p>
        </w:tc>
        <w:tc>
          <w:tcPr>
            <w:tcW w:type="dxa" w:w="1036"/>
            <w:vAlign w:val="top"/>
          </w:tcPr>
          <w:p>
            <w:pPr>
              <w:spacing w:after="40" w:before="0" w:line="259" w:lineRule="auto"/>
            </w:pPr>
            <w:r>
              <w:rPr>
                <w:rFonts w:ascii="Calibri" w:hAnsi="Calibri"/>
                <w:b w:val="0"/>
                <w:i w:val="0"/>
                <w:color w:val="212121"/>
                <w:sz w:val="16"/>
              </w:rPr>
              <w:t>Detects systemic complications that alter management and prognosis</w:t>
            </w:r>
          </w:p>
        </w:tc>
        <w:tc>
          <w:tcPr>
            <w:tcW w:type="dxa" w:w="1036"/>
            <w:vAlign w:val="top"/>
          </w:tcPr>
          <w:p>
            <w:pPr>
              <w:spacing w:after="40" w:before="0" w:line="259" w:lineRule="auto"/>
            </w:pPr>
            <w:r>
              <w:rPr>
                <w:rFonts w:ascii="Calibri" w:hAnsi="Calibri"/>
                <w:b w:val="0"/>
                <w:i w:val="0"/>
                <w:color w:val="212121"/>
                <w:sz w:val="16"/>
              </w:rPr>
              <w:t>Seropositive/long-standing RA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Screen cardiovascular risk actively - leading cause of death in RA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Prolonged morning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Stiffness in the joints on waking that lasts 30-45 minutes or longer - a hallmark of inflammatory arthritis.</w:t>
            </w:r>
          </w:p>
        </w:tc>
      </w:tr>
      <w:tr>
        <w:trPr>
          <w:cantSplit/>
        </w:trPr>
        <w:tc>
          <w:tcPr>
            <w:tcW w:type="dxa" w:w="2304"/>
            <w:vAlign w:val="top"/>
          </w:tcPr>
          <w:p>
            <w:pPr>
              <w:spacing w:after="40" w:before="0" w:line="259" w:lineRule="auto"/>
            </w:pPr>
            <w:r>
              <w:rPr>
                <w:rFonts w:ascii="Calibri" w:hAnsi="Calibri"/>
                <w:b/>
                <w:i w:val="0"/>
                <w:color w:val="212121"/>
                <w:sz w:val="19"/>
              </w:rPr>
              <w:t>Symmetrical joint pain (hands, wrists, feet)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in the same joints on both sides of the body, typically the MCP, PIP, wrist and MTP joints.</w:t>
            </w:r>
          </w:p>
        </w:tc>
      </w:tr>
      <w:tr>
        <w:trPr>
          <w:cantSplit/>
        </w:trPr>
        <w:tc>
          <w:tcPr>
            <w:tcW w:type="dxa" w:w="2304"/>
            <w:vAlign w:val="top"/>
          </w:tcPr>
          <w:p>
            <w:pPr>
              <w:spacing w:after="40" w:before="0" w:line="259" w:lineRule="auto"/>
            </w:pPr>
            <w:r>
              <w:rPr>
                <w:rFonts w:ascii="Calibri" w:hAnsi="Calibri"/>
                <w:b/>
                <w:i w:val="0"/>
                <w:color w:val="212121"/>
                <w:sz w:val="19"/>
              </w:rPr>
              <w:t>Joint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Soft, boggy swelling of affected joints due to synovial inflammation and effusion.</w:t>
            </w:r>
          </w:p>
        </w:tc>
      </w:tr>
      <w:tr>
        <w:trPr>
          <w:cantSplit/>
        </w:trPr>
        <w:tc>
          <w:tcPr>
            <w:tcW w:type="dxa" w:w="2304"/>
            <w:vAlign w:val="top"/>
          </w:tcPr>
          <w:p>
            <w:pPr>
              <w:spacing w:after="40" w:before="0" w:line="259" w:lineRule="auto"/>
            </w:pPr>
            <w:r>
              <w:rPr>
                <w:rFonts w:ascii="Calibri" w:hAnsi="Calibri"/>
                <w:b/>
                <w:i w:val="0"/>
                <w:color w:val="212121"/>
                <w:sz w:val="19"/>
              </w:rPr>
              <w:t>Joint tenderness and warmth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Tender, warm and sometimes red joints reflecting active synovitis.</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tiredness driven by systemic inflammation and often by anaemia and poor sleep.</w:t>
            </w:r>
          </w:p>
        </w:tc>
      </w:tr>
      <w:tr>
        <w:trPr>
          <w:cantSplit/>
        </w:trPr>
        <w:tc>
          <w:tcPr>
            <w:tcW w:type="dxa" w:w="2304"/>
            <w:vAlign w:val="top"/>
          </w:tcPr>
          <w:p>
            <w:pPr>
              <w:spacing w:after="40" w:before="0" w:line="259" w:lineRule="auto"/>
            </w:pPr>
            <w:r>
              <w:rPr>
                <w:rFonts w:ascii="Calibri" w:hAnsi="Calibri"/>
                <w:b/>
                <w:i w:val="0"/>
                <w:color w:val="212121"/>
                <w:sz w:val="19"/>
              </w:rPr>
              <w:t>Reduced grip strength / difficulty with fine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Trouble opening jars, buttoning clothes or gripping, from hand-joint inflammation and pain.</w:t>
            </w:r>
          </w:p>
        </w:tc>
      </w:tr>
      <w:tr>
        <w:trPr>
          <w:cantSplit/>
        </w:trPr>
        <w:tc>
          <w:tcPr>
            <w:tcW w:type="dxa" w:w="2304"/>
            <w:vAlign w:val="top"/>
          </w:tcPr>
          <w:p>
            <w:pPr>
              <w:spacing w:after="40" w:before="0" w:line="259" w:lineRule="auto"/>
            </w:pPr>
            <w:r>
              <w:rPr>
                <w:rFonts w:ascii="Calibri" w:hAnsi="Calibri"/>
                <w:b/>
                <w:i w:val="0"/>
                <w:color w:val="212121"/>
                <w:sz w:val="19"/>
              </w:rPr>
              <w:t>Low-grade fever, malaise and poor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Constitutional features of systemic inflammation, sometimes with weight loss.</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Inflammatory cytokines can cause loss of appetite, weight and muscle (rheumatoid cachexia).</w:t>
            </w:r>
          </w:p>
        </w:tc>
      </w:tr>
      <w:tr>
        <w:trPr>
          <w:cantSplit/>
        </w:trPr>
        <w:tc>
          <w:tcPr>
            <w:tcW w:type="dxa" w:w="2304"/>
            <w:vAlign w:val="top"/>
          </w:tcPr>
          <w:p>
            <w:pPr>
              <w:spacing w:after="40" w:before="0" w:line="259" w:lineRule="auto"/>
            </w:pPr>
            <w:r>
              <w:rPr>
                <w:rFonts w:ascii="Calibri" w:hAnsi="Calibri"/>
                <w:b/>
                <w:i w:val="0"/>
                <w:color w:val="212121"/>
                <w:sz w:val="19"/>
              </w:rPr>
              <w:t>Numbness / tingling in the hand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Wrist synovitis can compress the median nerve, causing carpal tunnel symptoms.</w:t>
            </w:r>
          </w:p>
        </w:tc>
      </w:tr>
      <w:tr>
        <w:trPr>
          <w:cantSplit/>
        </w:trPr>
        <w:tc>
          <w:tcPr>
            <w:tcW w:type="dxa" w:w="2304"/>
            <w:vAlign w:val="top"/>
          </w:tcPr>
          <w:p>
            <w:pPr>
              <w:spacing w:after="40" w:before="0" w:line="259" w:lineRule="auto"/>
            </w:pPr>
            <w:r>
              <w:rPr>
                <w:rFonts w:ascii="Calibri" w:hAnsi="Calibri"/>
                <w:b/>
                <w:i w:val="0"/>
                <w:color w:val="212121"/>
                <w:sz w:val="19"/>
              </w:rPr>
              <w:t>Dry eyes and dry mouth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Secondary Sjogren syndrome reduces tear and saliva production.</w:t>
            </w:r>
          </w:p>
        </w:tc>
      </w:tr>
      <w:tr>
        <w:trPr>
          <w:cantSplit/>
        </w:trPr>
        <w:tc>
          <w:tcPr>
            <w:tcW w:type="dxa" w:w="2304"/>
            <w:vAlign w:val="top"/>
          </w:tcPr>
          <w:p>
            <w:pPr>
              <w:spacing w:after="40" w:before="0" w:line="259" w:lineRule="auto"/>
            </w:pPr>
            <w:r>
              <w:rPr>
                <w:rFonts w:ascii="Calibri" w:hAnsi="Calibri"/>
                <w:b/>
                <w:i w:val="0"/>
                <w:color w:val="212121"/>
                <w:sz w:val="19"/>
              </w:rPr>
              <w:t>Breathlessness on exertion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indicate interstitial lung disease, pleural involvement or anaemia.</w:t>
            </w:r>
          </w:p>
        </w:tc>
      </w:tr>
      <w:tr>
        <w:trPr>
          <w:cantSplit/>
        </w:trPr>
        <w:tc>
          <w:tcPr>
            <w:tcW w:type="dxa" w:w="2304"/>
            <w:vAlign w:val="top"/>
          </w:tcPr>
          <w:p>
            <w:pPr>
              <w:spacing w:after="40" w:before="0" w:line="259" w:lineRule="auto"/>
            </w:pPr>
            <w:r>
              <w:rPr>
                <w:rFonts w:ascii="Calibri" w:hAnsi="Calibri"/>
                <w:b/>
                <w:i w:val="0"/>
                <w:color w:val="212121"/>
                <w:sz w:val="19"/>
              </w:rPr>
              <w:t>Firm lumps under the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Rheumatoid nodules over pressure points such as the elbows and forearms.</w:t>
            </w:r>
          </w:p>
        </w:tc>
      </w:tr>
      <w:tr>
        <w:trPr>
          <w:cantSplit/>
        </w:trPr>
        <w:tc>
          <w:tcPr>
            <w:tcW w:type="dxa" w:w="2304"/>
            <w:vAlign w:val="top"/>
          </w:tcPr>
          <w:p>
            <w:pPr>
              <w:spacing w:after="40" w:before="0" w:line="259" w:lineRule="auto"/>
            </w:pPr>
            <w:r>
              <w:rPr>
                <w:rFonts w:ascii="Calibri" w:hAnsi="Calibri"/>
                <w:b/>
                <w:i w:val="0"/>
                <w:color w:val="212121"/>
                <w:sz w:val="19"/>
              </w:rPr>
              <w:t>Chest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Pleuritic or pericardial inflammation, or an anginal presentation of accelerated coronary disease.</w:t>
            </w:r>
          </w:p>
        </w:tc>
      </w:tr>
      <w:tr>
        <w:trPr>
          <w:cantSplit/>
        </w:trPr>
        <w:tc>
          <w:tcPr>
            <w:tcW w:type="dxa" w:w="2304"/>
            <w:vAlign w:val="top"/>
          </w:tcPr>
          <w:p>
            <w:pPr>
              <w:spacing w:after="40" w:before="0" w:line="259" w:lineRule="auto"/>
            </w:pPr>
            <w:r>
              <w:rPr>
                <w:rFonts w:ascii="Calibri" w:hAnsi="Calibri"/>
                <w:b/>
                <w:i w:val="0"/>
                <w:color w:val="212121"/>
                <w:sz w:val="19"/>
              </w:rPr>
              <w:t>Neck pain with arm/leg symptoms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Atlantoaxial (cervical) instability can cause neck pain and, rarely, cord compression - a red flag.</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Symmetrical MCP/PIP and wrist synovitis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Bilateral boggy swelling and tenderness of finger and wrist joints - the cardinal sign of RA.</w:t>
            </w:r>
          </w:p>
        </w:tc>
      </w:tr>
      <w:tr>
        <w:trPr>
          <w:cantSplit/>
        </w:trPr>
        <w:tc>
          <w:tcPr>
            <w:tcW w:type="dxa" w:w="3456"/>
            <w:vAlign w:val="top"/>
          </w:tcPr>
          <w:p>
            <w:pPr>
              <w:spacing w:after="40" w:before="0" w:line="259" w:lineRule="auto"/>
            </w:pPr>
            <w:r>
              <w:rPr>
                <w:rFonts w:ascii="Calibri" w:hAnsi="Calibri"/>
                <w:b/>
                <w:i w:val="0"/>
                <w:color w:val="212121"/>
                <w:sz w:val="19"/>
              </w:rPr>
              <w:t>Positive metacarpophalangeal/metatarsophalangeal squeeze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 on transverse compression across the MCP or MTP row indicates active inflammatory arthritis.</w:t>
            </w:r>
          </w:p>
        </w:tc>
      </w:tr>
      <w:tr>
        <w:trPr>
          <w:cantSplit/>
        </w:trPr>
        <w:tc>
          <w:tcPr>
            <w:tcW w:type="dxa" w:w="3456"/>
            <w:vAlign w:val="top"/>
          </w:tcPr>
          <w:p>
            <w:pPr>
              <w:spacing w:after="40" w:before="0" w:line="259" w:lineRule="auto"/>
            </w:pPr>
            <w:r>
              <w:rPr>
                <w:rFonts w:ascii="Calibri" w:hAnsi="Calibri"/>
                <w:b/>
                <w:i w:val="0"/>
                <w:color w:val="212121"/>
                <w:sz w:val="19"/>
              </w:rPr>
              <w:t>Reduced grip strength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Weak, painful grip from joint inflammation and, later, structural damage.</w:t>
            </w:r>
          </w:p>
        </w:tc>
      </w:tr>
      <w:tr>
        <w:trPr>
          <w:cantSplit/>
        </w:trPr>
        <w:tc>
          <w:tcPr>
            <w:tcW w:type="dxa" w:w="3456"/>
            <w:vAlign w:val="top"/>
          </w:tcPr>
          <w:p>
            <w:pPr>
              <w:spacing w:after="40" w:before="0" w:line="259" w:lineRule="auto"/>
            </w:pPr>
            <w:r>
              <w:rPr>
                <w:rFonts w:ascii="Calibri" w:hAnsi="Calibri"/>
                <w:b/>
                <w:i w:val="0"/>
                <w:color w:val="212121"/>
                <w:sz w:val="19"/>
              </w:rPr>
              <w:t>Rheumatoid nodules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Firm subcutaneous nodules over extensor surfaces/pressure points - the commonest extra-articular sign, in seropositive disease.</w:t>
            </w:r>
          </w:p>
        </w:tc>
      </w:tr>
      <w:tr>
        <w:trPr>
          <w:cantSplit/>
        </w:trPr>
        <w:tc>
          <w:tcPr>
            <w:tcW w:type="dxa" w:w="3456"/>
            <w:vAlign w:val="top"/>
          </w:tcPr>
          <w:p>
            <w:pPr>
              <w:spacing w:after="40" w:before="0" w:line="259" w:lineRule="auto"/>
            </w:pPr>
            <w:r>
              <w:rPr>
                <w:rFonts w:ascii="Calibri" w:hAnsi="Calibri"/>
                <w:b/>
                <w:i w:val="0"/>
                <w:color w:val="212121"/>
                <w:sz w:val="19"/>
              </w:rPr>
              <w:t>Ulnar deviation of the fingers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drift of the fingers at the MCP joints in established disease.</w:t>
            </w:r>
          </w:p>
        </w:tc>
      </w:tr>
      <w:tr>
        <w:trPr>
          <w:cantSplit/>
        </w:trPr>
        <w:tc>
          <w:tcPr>
            <w:tcW w:type="dxa" w:w="3456"/>
            <w:vAlign w:val="top"/>
          </w:tcPr>
          <w:p>
            <w:pPr>
              <w:spacing w:after="40" w:before="0" w:line="259" w:lineRule="auto"/>
            </w:pPr>
            <w:r>
              <w:rPr>
                <w:rFonts w:ascii="Calibri" w:hAnsi="Calibri"/>
                <w:b/>
                <w:i w:val="0"/>
                <w:color w:val="212121"/>
                <w:sz w:val="19"/>
              </w:rPr>
              <w:t>Swan-neck and boutonniere deformities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finger deformities from chronic tendon and joint damage.</w:t>
            </w:r>
          </w:p>
        </w:tc>
      </w:tr>
      <w:tr>
        <w:trPr>
          <w:cantSplit/>
        </w:trPr>
        <w:tc>
          <w:tcPr>
            <w:tcW w:type="dxa" w:w="3456"/>
            <w:vAlign w:val="top"/>
          </w:tcPr>
          <w:p>
            <w:pPr>
              <w:spacing w:after="40" w:before="0" w:line="259" w:lineRule="auto"/>
            </w:pPr>
            <w:r>
              <w:rPr>
                <w:rFonts w:ascii="Calibri" w:hAnsi="Calibri"/>
                <w:b/>
                <w:i w:val="0"/>
                <w:color w:val="212121"/>
                <w:sz w:val="19"/>
              </w:rPr>
              <w:t>Joint warmth and effusion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warmth and fluctuant effusion over actively inflamed joints.</w:t>
            </w:r>
          </w:p>
        </w:tc>
      </w:tr>
      <w:tr>
        <w:trPr>
          <w:cantSplit/>
        </w:trPr>
        <w:tc>
          <w:tcPr>
            <w:tcW w:type="dxa" w:w="3456"/>
            <w:vAlign w:val="top"/>
          </w:tcPr>
          <w:p>
            <w:pPr>
              <w:spacing w:after="40" w:before="0" w:line="259" w:lineRule="auto"/>
            </w:pPr>
            <w:r>
              <w:rPr>
                <w:rFonts w:ascii="Calibri" w:hAnsi="Calibri"/>
                <w:b/>
                <w:i w:val="0"/>
                <w:color w:val="212121"/>
                <w:sz w:val="19"/>
              </w:rPr>
              <w:t>Hand muscle wasting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Wasting of the interossei and thenar muscles from disuse and nerve involvement.</w:t>
            </w:r>
          </w:p>
        </w:tc>
      </w:tr>
      <w:tr>
        <w:trPr>
          <w:cantSplit/>
        </w:trPr>
        <w:tc>
          <w:tcPr>
            <w:tcW w:type="dxa" w:w="3456"/>
            <w:vAlign w:val="top"/>
          </w:tcPr>
          <w:p>
            <w:pPr>
              <w:spacing w:after="40" w:before="0" w:line="259" w:lineRule="auto"/>
            </w:pPr>
            <w:r>
              <w:rPr>
                <w:rFonts w:ascii="Calibri" w:hAnsi="Calibri"/>
                <w:b/>
                <w:i w:val="0"/>
                <w:color w:val="212121"/>
                <w:sz w:val="19"/>
              </w:rPr>
              <w:t>Wrist/finger subluxation and deformity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Joint instability and subluxation in longstanding, erosive disease.</w:t>
            </w:r>
          </w:p>
        </w:tc>
      </w:tr>
      <w:tr>
        <w:trPr>
          <w:cantSplit/>
        </w:trPr>
        <w:tc>
          <w:tcPr>
            <w:tcW w:type="dxa" w:w="3456"/>
            <w:vAlign w:val="top"/>
          </w:tcPr>
          <w:p>
            <w:pPr>
              <w:spacing w:after="40" w:before="0" w:line="259" w:lineRule="auto"/>
            </w:pPr>
            <w:r>
              <w:rPr>
                <w:rFonts w:ascii="Calibri" w:hAnsi="Calibri"/>
                <w:b/>
                <w:i w:val="0"/>
                <w:color w:val="212121"/>
                <w:sz w:val="19"/>
              </w:rPr>
              <w:t>Scleritis / episcleritis or dry eyes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Ocular inflammation or sicca signs of extra-articular and secondary Sjogren involvement.</w:t>
            </w:r>
          </w:p>
        </w:tc>
      </w:tr>
      <w:tr>
        <w:trPr>
          <w:cantSplit/>
        </w:trPr>
        <w:tc>
          <w:tcPr>
            <w:tcW w:type="dxa" w:w="3456"/>
            <w:vAlign w:val="top"/>
          </w:tcPr>
          <w:p>
            <w:pPr>
              <w:spacing w:after="40" w:before="0" w:line="259" w:lineRule="auto"/>
            </w:pPr>
            <w:r>
              <w:rPr>
                <w:rFonts w:ascii="Calibri" w:hAnsi="Calibri"/>
                <w:b/>
                <w:i w:val="0"/>
                <w:color w:val="212121"/>
                <w:sz w:val="19"/>
              </w:rPr>
              <w:t>Bibasal fine inspiratory crackles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Velcro-like crackles suggest rheumatoid interstitial lung disease.</w:t>
            </w:r>
          </w:p>
        </w:tc>
      </w:tr>
      <w:tr>
        <w:trPr>
          <w:cantSplit/>
        </w:trPr>
        <w:tc>
          <w:tcPr>
            <w:tcW w:type="dxa" w:w="3456"/>
            <w:vAlign w:val="top"/>
          </w:tcPr>
          <w:p>
            <w:pPr>
              <w:spacing w:after="40" w:before="0" w:line="259" w:lineRule="auto"/>
            </w:pPr>
            <w:r>
              <w:rPr>
                <w:rFonts w:ascii="Calibri" w:hAnsi="Calibri"/>
                <w:b/>
                <w:i w:val="0"/>
                <w:color w:val="212121"/>
                <w:sz w:val="19"/>
              </w:rPr>
              <w:t>Splenomegaly with neutropenia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Felty syndrome - seropositive RA with splenomegaly and neutropenia, now rarely seen.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inflammatory synovitis with pain and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Marginal bone erosions and cartilage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Joint deformities (ulnar deviation, swan-neck, boutonniere)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morning stiffness and loss of hand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Atlantoaxial (cervical spine) instability</w:t>
            </w:r>
          </w:p>
        </w:tc>
        <w:tc>
          <w:tcPr>
            <w:tcW w:type="dxa" w:w="2980"/>
            <w:vAlign w:val="top"/>
          </w:tcPr>
          <w:p>
            <w:pPr>
              <w:spacing w:after="40" w:before="0" w:line="259" w:lineRule="auto"/>
            </w:pPr>
            <w:r>
              <w:rPr>
                <w:rFonts w:ascii="Calibri" w:hAnsi="Calibri"/>
                <w:b w:val="0"/>
                <w:i w:val="0"/>
                <w:color w:val="212121"/>
                <w:sz w:val="19"/>
              </w:rPr>
              <w:t>Direct joint consequences of chronic autoimmune synovial inflammation and erosion.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Rheumatoid nodules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Rheumatoid interstitial lung disease, pleuritis and pericarditis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atherosclerosis and cardiovascular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Sjogren syndrome (dry eyes and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of chronic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Osteoporosis and fragility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Carpal tunnel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Rheumatoid vasculitis and Felty syndrome</w:t>
            </w:r>
          </w:p>
        </w:tc>
        <w:tc>
          <w:tcPr>
            <w:tcW w:type="dxa" w:w="2980"/>
            <w:vAlign w:val="top"/>
          </w:tcPr>
          <w:p>
            <w:pPr>
              <w:spacing w:after="40" w:before="0" w:line="259" w:lineRule="auto"/>
            </w:pPr>
            <w:r>
              <w:rPr>
                <w:rFonts w:ascii="Calibri" w:hAnsi="Calibri"/>
                <w:b w:val="0"/>
                <w:i w:val="0"/>
                <w:color w:val="212121"/>
                <w:sz w:val="19"/>
              </w:rPr>
              <w:t>Systemic extra-articular effects of sustained inflammation and autoantibodies, plus therapy-related risk.</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joint destruction and severe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joint replacement / reconstructive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cardiovascular death (mortality ~3x 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(AA) amyloidosis and chronic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lymphoma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myelopathy from atlantoaxial subluxation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disability, depression and loss of independence</w:t>
            </w:r>
          </w:p>
        </w:tc>
        <w:tc>
          <w:tcPr>
            <w:tcW w:type="dxa" w:w="2980"/>
            <w:vAlign w:val="top"/>
          </w:tcPr>
          <w:p>
            <w:pPr>
              <w:spacing w:after="40" w:before="0" w:line="259" w:lineRule="auto"/>
            </w:pPr>
            <w:r>
              <w:rPr>
                <w:rFonts w:ascii="Calibri" w:hAnsi="Calibri"/>
                <w:b w:val="0"/>
                <w:i w:val="0"/>
                <w:color w:val="212121"/>
                <w:sz w:val="19"/>
              </w:rPr>
              <w:t>Irreversible, life-limiting outcomes of longstanding or inadequately 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inflammation accelerates atherosclerosis; CVD is the leading cause of death in RA and overall mortality is about three times higher than the general population.</w:t>
            </w:r>
          </w:p>
          <w:p>
            <w:pPr>
              <w:spacing w:after="40" w:before="0" w:line="259" w:lineRule="auto"/>
            </w:pPr>
            <w:r>
              <w:rPr>
                <w:rFonts w:ascii="Calibri" w:hAnsi="Calibri"/>
                <w:b/>
                <w:i w:val="0"/>
                <w:color w:val="212121"/>
                <w:sz w:val="19"/>
              </w:rPr>
              <w:t>~3x mortality</w:t>
            </w:r>
          </w:p>
        </w:tc>
      </w:tr>
      <w:tr>
        <w:trPr>
          <w:cantSplit/>
        </w:trPr>
        <w:tc>
          <w:tcPr>
            <w:tcW w:type="dxa" w:w="2232"/>
            <w:vAlign w:val="top"/>
          </w:tcPr>
          <w:p>
            <w:pPr>
              <w:spacing w:after="40" w:before="0" w:line="259" w:lineRule="auto"/>
            </w:pPr>
            <w:r>
              <w:rPr>
                <w:rFonts w:ascii="Calibri" w:hAnsi="Calibri"/>
                <w:b/>
                <w:i w:val="0"/>
                <w:color w:val="212121"/>
                <w:sz w:val="19"/>
              </w:rPr>
              <w:t>Osteoporosis &amp; fragility fracture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Inflammation, immobility, low vitamin D and steroids drive bone loss; fracture risk is substantially raised.</w:t>
            </w:r>
          </w:p>
          <w:p>
            <w:pPr>
              <w:spacing w:after="40" w:before="0" w:line="259" w:lineRule="auto"/>
            </w:pPr>
            <w:r>
              <w:rPr>
                <w:rFonts w:ascii="Calibri" w:hAnsi="Calibri"/>
                <w:b/>
                <w:i w:val="0"/>
                <w:color w:val="212121"/>
                <w:sz w:val="19"/>
              </w:rPr>
              <w:t>60-100% higher fracture risk</w:t>
            </w:r>
          </w:p>
        </w:tc>
      </w:tr>
      <w:tr>
        <w:trPr>
          <w:cantSplit/>
        </w:trPr>
        <w:tc>
          <w:tcPr>
            <w:tcW w:type="dxa" w:w="2232"/>
            <w:vAlign w:val="top"/>
          </w:tcPr>
          <w:p>
            <w:pPr>
              <w:spacing w:after="40" w:before="0" w:line="259" w:lineRule="auto"/>
            </w:pPr>
            <w:r>
              <w:rPr>
                <w:rFonts w:ascii="Calibri" w:hAnsi="Calibri"/>
                <w:b/>
                <w:i w:val="0"/>
                <w:color w:val="212121"/>
                <w:sz w:val="19"/>
              </w:rPr>
              <w:t>Interstitial lung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Smoking- and autoantibody-associated extra-articular manifestation that markedly increases mortality.</w:t>
            </w:r>
          </w:p>
          <w:p>
            <w:pPr>
              <w:spacing w:after="40" w:before="0" w:line="259" w:lineRule="auto"/>
            </w:pPr>
            <w:r>
              <w:rPr>
                <w:rFonts w:ascii="Calibri" w:hAnsi="Calibri"/>
                <w:b/>
                <w:i w:val="0"/>
                <w:color w:val="212121"/>
                <w:sz w:val="19"/>
              </w:rPr>
              <w:t>5-16%</w:t>
            </w:r>
          </w:p>
        </w:tc>
      </w:tr>
      <w:tr>
        <w:trPr>
          <w:cantSplit/>
        </w:trPr>
        <w:tc>
          <w:tcPr>
            <w:tcW w:type="dxa" w:w="2232"/>
            <w:vAlign w:val="top"/>
          </w:tcPr>
          <w:p>
            <w:pPr>
              <w:spacing w:after="40" w:before="0" w:line="259" w:lineRule="auto"/>
            </w:pPr>
            <w:r>
              <w:rPr>
                <w:rFonts w:ascii="Calibri" w:hAnsi="Calibri"/>
                <w:b/>
                <w:i w:val="0"/>
                <w:color w:val="212121"/>
                <w:sz w:val="19"/>
              </w:rPr>
              <w:t>Secondary Sjogren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Autoimmune exocrine involvement causing dry eyes and mouth.</w:t>
            </w:r>
          </w:p>
          <w:p>
            <w:pPr>
              <w:spacing w:after="40" w:before="0" w:line="259" w:lineRule="auto"/>
            </w:pPr>
            <w:r>
              <w:rPr>
                <w:rFonts w:ascii="Calibri" w:hAnsi="Calibri"/>
                <w:b/>
                <w:i w:val="0"/>
                <w:color w:val="212121"/>
                <w:sz w:val="19"/>
              </w:rPr>
              <w:t>Up to 10%</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Bidirectional with pain, disability and inflammation; worsens adherence and outcomes.</w:t>
            </w:r>
          </w:p>
          <w:p>
            <w:pPr>
              <w:spacing w:after="40" w:before="0" w:line="259" w:lineRule="auto"/>
            </w:pPr>
            <w:r>
              <w:rPr>
                <w:rFonts w:ascii="Calibri" w:hAnsi="Calibri"/>
                <w:b/>
                <w:i w:val="0"/>
                <w:color w:val="212121"/>
                <w:sz w:val="19"/>
              </w:rPr>
              <w:t>~1 in 6</w:t>
            </w:r>
          </w:p>
        </w:tc>
      </w:tr>
      <w:tr>
        <w:trPr>
          <w:cantSplit/>
        </w:trPr>
        <w:tc>
          <w:tcPr>
            <w:tcW w:type="dxa" w:w="2232"/>
            <w:vAlign w:val="top"/>
          </w:tcPr>
          <w:p>
            <w:pPr>
              <w:spacing w:after="40" w:before="0" w:line="259" w:lineRule="auto"/>
            </w:pPr>
            <w:r>
              <w:rPr>
                <w:rFonts w:ascii="Calibri" w:hAnsi="Calibri"/>
                <w:b/>
                <w:i w:val="0"/>
                <w:color w:val="212121"/>
                <w:sz w:val="19"/>
              </w:rPr>
              <w:t>Anaemia of chronic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Common normocytic anaemia of active inflammation, contributing to fatigue.</w:t>
            </w:r>
          </w:p>
          <w:p>
            <w:pPr>
              <w:spacing w:after="40" w:before="0" w:line="259" w:lineRule="auto"/>
            </w:pPr>
            <w:r>
              <w:rPr>
                <w:rFonts w:ascii="Calibri" w:hAnsi="Calibri"/>
                <w:b/>
                <w:i w:val="0"/>
                <w:color w:val="212121"/>
                <w:sz w:val="19"/>
              </w:rPr>
              <w:t>Common</w:t>
            </w:r>
          </w:p>
        </w:tc>
      </w:tr>
      <w:tr>
        <w:trPr>
          <w:cantSplit/>
        </w:trPr>
        <w:tc>
          <w:tcPr>
            <w:tcW w:type="dxa" w:w="2232"/>
            <w:vAlign w:val="top"/>
          </w:tcPr>
          <w:p>
            <w:pPr>
              <w:spacing w:after="40" w:before="0" w:line="259" w:lineRule="auto"/>
            </w:pPr>
            <w:r>
              <w:rPr>
                <w:rFonts w:ascii="Calibri" w:hAnsi="Calibri"/>
                <w:b/>
                <w:i w:val="0"/>
                <w:color w:val="212121"/>
                <w:sz w:val="19"/>
              </w:rPr>
              <w:t>Type 2 diabetes &amp; dyslipidaemia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Inflammation and steroid use worsen insulin resistance and lipids, adding to cardiovascular risk.</w:t>
            </w:r>
          </w:p>
        </w:tc>
      </w:tr>
      <w:tr>
        <w:trPr>
          <w:cantSplit/>
        </w:trPr>
        <w:tc>
          <w:tcPr>
            <w:tcW w:type="dxa" w:w="2232"/>
            <w:vAlign w:val="top"/>
          </w:tcPr>
          <w:p>
            <w:pPr>
              <w:spacing w:after="40" w:before="0" w:line="259" w:lineRule="auto"/>
            </w:pPr>
            <w:r>
              <w:rPr>
                <w:rFonts w:ascii="Calibri" w:hAnsi="Calibri"/>
                <w:b/>
                <w:i w:val="0"/>
                <w:color w:val="212121"/>
                <w:sz w:val="19"/>
              </w:rPr>
              <w:t>Periodontal disease</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link; Porphyromonas gingivalis-driven citrullination is implicated in RA onset and activity.</w:t>
            </w:r>
          </w:p>
        </w:tc>
      </w:tr>
      <w:tr>
        <w:trPr>
          <w:cantSplit/>
        </w:trPr>
        <w:tc>
          <w:tcPr>
            <w:tcW w:type="dxa" w:w="2232"/>
            <w:vAlign w:val="top"/>
          </w:tcPr>
          <w:p>
            <w:pPr>
              <w:spacing w:after="40" w:before="0" w:line="259" w:lineRule="auto"/>
            </w:pPr>
            <w:r>
              <w:rPr>
                <w:rFonts w:ascii="Calibri" w:hAnsi="Calibri"/>
                <w:b/>
                <w:i w:val="0"/>
                <w:color w:val="212121"/>
                <w:sz w:val="19"/>
              </w:rPr>
              <w:t>Lymphoma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Longstanding, highly active RA carries an increased risk of lymphoma.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symmetrical pain and swelling of the small joints of the hands and feet with morning stiffness lasting 30-45 minutes or longer for more than 6 weeks - and seek early rheumatology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RA is a treatable systemic autoimmune disease and that starting DMARDs early (a 'window of opportunity' in the first months) prevents irreversible joint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prescribed disease-modifying therapy and regular monitoring even when feeling well, and do not stop medication abruptly, which can trigger a flare.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Actively manage cardiovascular risk (blood pressure, lipids, glucose, weight) because heart disease is the leading cause of death in 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routine dental and eye checks, keep vaccinations up to date before/with immunosuppression, and report new breathlessness, fever or infection promptly.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tailored exercise to preserve joint mobility, muscle strength and flexibility - it does not worsen joint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low-impact aerobic activity (walking, cycling, swimming/hydrotherapy) with strengthening and range-of-motion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hand and grip exercises and joint-protection techniques to maintain fine-motor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Balance activity with rest during flares, easing intensity when joints are acutely inflamed.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with a physiotherapist/occupational therapist for individualised programmes, splints and assistive aids.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hand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Post-flare rehabilitation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 activity plus twice-weekly strengthening to maintain a healthy weight and reduce inflammatory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inactivity and sedentary time, which promote stiffness, weight gain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muscle to counter rheumatoid cachexia and protect joints and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cardiovascularly fit to offset the raised heart-disease risk associated with RA.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Relatives of RA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Mediterranean-style, largely plant-based diet rich in vegetables, fruit, whole grains, pulses and olive oil.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omega-3 sources (oily fish, or flaxseed/walnuts for vegetarians) for their modest anti-inflammatory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calcium and vitamin D to protect muscle and bone, correcting the common Indian vitamin-D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Reach and maintain a healthy weight, since obesity raises RA risk and lowers the chance of remission.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foods, excess salt, sugar and red/processed meat that promote inflammation and cardiometabolic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high CV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reduce pain sensitivity, fatigue and 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evening pain and inflammation adequately so stiffness and discomfort do not disrupt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a calming, screen-free wind-down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supportive positioning, warmth and joint protection to ease night-time joint discomfort.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depression/anxiety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(cigarettes and bidis) - it is the strongest modifiable risk factor for developing RA and makes established disease worse.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cessation improves response to DMARDs and lowers cardiovascular and interstitial-lung-disease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behavioural counselling plus nicotine replacement or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note that parental smoking raises a child's future RA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occupational silica/dust exposure and use protective measures, especially if you smoke.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Shared-epitope carriers /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Stone &amp; construction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to a minimum, particularly while taking methotrexate or leflunomide, to protect the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rely on alcohol to manage chronic pain, which worsens sleep, mood and fracture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scheduled liver-function monitoring while on DMARD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alcohol with NSAIDs or other analgesics.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methotrexate/leflunomide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affect around one in six people with RA and worsen pain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cognitive-behavioural strategies, pain-coping skills and relaxation, mindfulness or yoga-based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 patient-support or peer groups to reduce isolation and improve self-management.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functional goals and maintain social, family and occupational engagement.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pain, fatigue and sleep together, as they reinforce low mood in a bidirectional loop.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active/chronic 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disability or work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treatment adherers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clevelandclinic.org/health/diseases/4924-rheumatoid-arthritis" TargetMode="External"/><Relationship Id="rId10" Type="http://schemas.openxmlformats.org/officeDocument/2006/relationships/hyperlink" Target="https://www.ncbi.nlm.nih.gov/books/NBK441999/" TargetMode="External"/><Relationship Id="rId11" Type="http://schemas.openxmlformats.org/officeDocument/2006/relationships/hyperlink" Target="https://www.who.int/news-room/fact-sheets/detail/rheumatoid-arthritis" TargetMode="External"/><Relationship Id="rId12" Type="http://schemas.openxmlformats.org/officeDocument/2006/relationships/hyperlink" Target="https://www.arthritis.org/diseases/rheumatoid-arthritis" TargetMode="External"/><Relationship Id="rId13" Type="http://schemas.openxmlformats.org/officeDocument/2006/relationships/hyperlink" Target="https://www.cdc.gov/arthritis/types/rheumatoid-arthritis.html" TargetMode="External"/><Relationship Id="rId14" Type="http://schemas.openxmlformats.org/officeDocument/2006/relationships/hyperlink" Target="https://www.niams.nih.gov/health-topics/rheumatoid-arthritis" TargetMode="External"/><Relationship Id="rId15" Type="http://schemas.openxmlformats.org/officeDocument/2006/relationships/hyperlink" Target="https://www.mayoclinic.org/diseases-conditions/rheumatoid-arthritis/symptoms-causes/syc-20353648" TargetMode="External"/><Relationship Id="rId16" Type="http://schemas.openxmlformats.org/officeDocument/2006/relationships/hyperlink" Target="https://www.niams.nih.gov/health-topics/rheumatoid-arthritis/diagnosis-treatment-and-steps-to-take" TargetMode="External"/><Relationship Id="rId17" Type="http://schemas.openxmlformats.org/officeDocument/2006/relationships/hyperlink" Target="https://versusarthritis.org/about-arthritis/conditions/rheumatoid-arthr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