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Ankylosing Spondylitis / Axial SpA</w:t>
      </w:r>
    </w:p>
    <w:p>
      <w:pPr>
        <w:spacing w:before="0" w:after="160"/>
      </w:pPr>
      <w:r>
        <w:rPr>
          <w:rFonts w:ascii="Calibri" w:hAnsi="Calibri"/>
          <w:b/>
          <w:i w:val="0"/>
          <w:color w:val="212121"/>
          <w:sz w:val="22"/>
        </w:rPr>
        <w:t xml:space="preserve">AKA </w:t>
      </w:r>
      <w:r>
        <w:rPr>
          <w:rFonts w:ascii="Calibri" w:hAnsi="Calibri"/>
          <w:b w:val="0"/>
          <w:i w:val="0"/>
          <w:color w:val="212121"/>
          <w:sz w:val="22"/>
        </w:rPr>
        <w:t>i.e., Ankylosing Spondylitis (AS), Axial Spondyloarthritis (axSpA), Radiographic axial SpA, Bamboo Spine, Marie-Strumpell disease / Bechterew's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Ankylosing spondylitis (AS) is a chronic, immune-mediated inflammatory arthritis that predominantly affects the axial skeleton — the sacroiliac joints and spine — and forms the prototype of the broader family of axial spondyloarthritis (axSpA). Persistent inflammation at entheses (where ligaments and tendons attach to bone) drives new bone formation, progressive spinal fusion (ankylosis) and the characteristic “bamboo spine”. It is strongly associated with the HLA-B27 gene and typically presents as chronic inflammatory back pain in young adults, often accompanied by peripheral joint, eye (uveitis) and gut involvement.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the spondyloarthritis group of diseases is estimated to affect roughly 0.25% of the population, and across Asia the mean prevalence of ankylosing spondylitis is about 16.7 per 10,000 (~0.17%), closely tracking the background frequency of the HLA-B27 gene. Onset is usually before 40 years of age with a clear male predominance, and Indian patients experience an average diagnostic delay of around seven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Axial spondyloarthritis is diagnosed by combining clinical features, inflammatory markers, HLA-B27 status and imaging — no single test is diagnostic. Two frameworks are used: the modified New York criteria (1984) for established (radiographic) ankylosing spondylitis, and the ASAS classification criteria (2009) for the wider axial spondyloarthritis spectrum, which also captures early, non-radiographic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Chronic inflammatory back pain: insidious onset before 45 years, duration ≥ 3 months, improvement with exercise but not with rest, pain at night (easing on getting up) and early-morning stiffness &gt; 30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Modified New York criteria (established AS): definite radiographic sacroiliitis (bilateral grade ≥ 2, or unilateral grade 3–4 on a pelvic X-ray) PLUS at least one clinical criterion — inflammatory low back pain, limited lumbar spine motion in sagittal and frontal planes, or reduced chest expansion.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ASAS imaging arm: sacroiliitis on imaging (active/acute inflammation on MRI highly suggestive of sacroiliitis, or definite radiographic sacroiliitis) PLUS ≥ 1 SpA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ASAS clinical arm: HLA-B27 positivity PLUS ≥ 2 other SpA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SpA features: inflammatory back pain, arthritis, heel enthesitis, dactylitis, uveitis, psoriasis, Crohn's disease / ulcerative colitis, good response to NSAIDs, family history of SpA, HLA-B27, and elevated CRP.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ASAS-positive MRI: clearly present subchondral bone marrow oedema (osteitis) in a periarticular sacroiliac location, on ≥ 2 consecutive slices or at ≥ 2 sites on a single slice, highly suggestive of sacroiliitis.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labs: raised ESR/CRP (in roughly half of patients), HLA-B27 positive in the great majority of Indian AS patients; rheumatoid factor and ANA are typically negative (seronegative arthritis).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Ankylosing spondylitis sits within the spondyloarthritis (SpA) family and is classified along axial versus peripheral involvement and by radiographic (structural) status:</w:t>
      </w:r>
    </w:p>
    <w:p>
      <w:pPr>
        <w:spacing w:before="0" w:after="80"/>
      </w:pPr>
      <w:r>
        <w:rPr>
          <w:rFonts w:ascii="Calibri" w:hAnsi="Calibri"/>
          <w:b w:val="0"/>
          <w:i w:val="0"/>
          <w:color w:val="212121"/>
          <w:sz w:val="21"/>
        </w:rPr>
        <w:t>(1) Radiographic axial spondyloarthritis (r-axSpA), i.e. classical ankylosing spondylitis, defined by definite structural damage (sacroiliitis) visible on plain radiographs and meeting the modified New York criteria;</w:t>
      </w:r>
    </w:p>
    <w:p>
      <w:pPr>
        <w:spacing w:before="0" w:after="80"/>
      </w:pPr>
      <w:r>
        <w:rPr>
          <w:rFonts w:ascii="Calibri" w:hAnsi="Calibri"/>
          <w:b w:val="0"/>
          <w:i w:val="0"/>
          <w:color w:val="212121"/>
          <w:sz w:val="21"/>
        </w:rPr>
        <w:t>(2) Non-radiographic axial spondyloarthritis (nr-axSpA), with active inflammation on MRI and/or clinical SpA features but without definite radiographic sacroiliitis — an earlier stage that may or may not progress to r-axSpA and that affects women proportionally more;</w:t>
      </w:r>
    </w:p>
    <w:p>
      <w:pPr>
        <w:spacing w:before="0" w:after="80"/>
      </w:pPr>
      <w:r>
        <w:rPr>
          <w:rFonts w:ascii="Calibri" w:hAnsi="Calibri"/>
          <w:b w:val="0"/>
          <w:i w:val="0"/>
          <w:color w:val="212121"/>
          <w:sz w:val="21"/>
        </w:rPr>
        <w:t>(3) Peripheral spondyloarthritis, dominated by peripheral arthritis (often asymmetric and lower-limb), enthesitis or dactylitis rather than axial disease;</w:t>
      </w:r>
    </w:p>
    <w:p>
      <w:pPr>
        <w:spacing w:before="0" w:after="80"/>
      </w:pPr>
      <w:r>
        <w:rPr>
          <w:rFonts w:ascii="Calibri" w:hAnsi="Calibri"/>
          <w:b w:val="0"/>
          <w:i w:val="0"/>
          <w:color w:val="212121"/>
          <w:sz w:val="21"/>
        </w:rPr>
        <w:t>(4) Related SpA subtypes sharing HLA-B27 and IL-23/IL-17 pathophysiology: psoriatic arthritis, reactive arthritis, enteropathic arthritis (associated with inflammatory bowel disease) and juvenile-onset spondyloarthritis.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HLA-B27 gene: The dominant genetic risk factor — 83–94% of Indian AS patients carry HLA-B27. It is thought to trigger aberrant immune activation, HLA heavy-chain misfolding and IL-23/IL-17–driven inflammation at entheses.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Other genetic loci: ERAP1, IL23R and additional susceptibility genes modulate risk and interact with HLA-B27, explaining the strong familial clustering of disease.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Male sex and young age: Onset is most often before 40 years with a clear male predominance, especially for radiographic (structural) axial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Immune dysregulation (IL-23/IL-17 axis): Innate immune activation at entheses and gut produces the characteristic osteitis, erosion and reactive new-bone (syndesmophyte) formation.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Gut dysbiosis / subclinical bowel inflammation: An altered gut microbiome and subclinical intestinal inflammation are implicated in disease initiation and the link with inflammatory bowel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Mechanical stress at entheses: Biomechanical stress at tendon/ligament insertions may act as a local trigger for inflammation in genetically predisposed individuals.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Smoking: Tobacco use is associated with earlier onset, higher disease activity, faster radiographic spinal progression and poorer response to therapy.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(15–40 years)</w:t>
            </w:r>
          </w:p>
        </w:tc>
        <w:tc>
          <w:tcPr>
            <w:tcW w:type="dxa" w:w="4276"/>
            <w:vAlign w:val="top"/>
          </w:tcPr>
          <w:p>
            <w:pPr>
              <w:spacing w:after="60" w:line="259" w:lineRule="auto"/>
            </w:pPr>
            <w:r>
              <w:rPr>
                <w:rFonts w:ascii="Calibri" w:hAnsi="Calibri"/>
                <w:b w:val="0"/>
                <w:i w:val="0"/>
                <w:color w:val="212121"/>
                <w:sz w:val="19"/>
              </w:rPr>
              <w:t>AS characteristically begins in adolescence and early adulthood; onset after 45 years is uncommon, which is why ASAS criteria restrict entry to back pain starting before 45. Entheseal inflammation starts early and accumulates structural damage over decades.</w:t>
            </w:r>
          </w:p>
          <w:p>
            <w:pPr>
              <w:spacing w:after="40" w:before="60" w:line="259" w:lineRule="auto"/>
            </w:pPr>
            <w:r>
              <w:rPr>
                <w:rFonts w:ascii="Calibri" w:hAnsi="Calibri"/>
                <w:b w:val="0"/>
                <w:i w:val="0"/>
                <w:color w:val="212121"/>
                <w:sz w:val="19"/>
              </w:rPr>
              <w:t>In Indian cohorts, onset is typically before 40 years of age, and diagnosis is delayed by about seven years on average.</w:t>
            </w:r>
          </w:p>
          <w:p>
            <w:pPr>
              <w:spacing w:after="40" w:line="252" w:lineRule="auto"/>
            </w:pPr>
            <w:hyperlink r:id="rId9">
              <w:r>
                <w:rPr>
                  <w:rFonts w:ascii="Calibri" w:hAnsi="Calibri" w:cs="Calibri"/>
                  <w:sz w:val="18"/>
                  <w:color w:val="1155CC"/>
                  <w:u w:val="single"/>
                </w:rPr>
                <w:t xml:space="preserve">arthritis-india.com — ankylosing spondylitis</w:t>
              </w:r>
            </w:hyperlink>
          </w:p>
          <w:p>
            <w:pPr>
              <w:spacing w:before="60" w:after="40"/>
            </w:pPr>
            <w:r>
              <w:rPr>
                <w:rFonts w:ascii="Calibri" w:hAnsi="Calibri"/>
                <w:b w:val="0"/>
                <w:i w:val="0"/>
                <w:color w:val="5A5A5A"/>
                <w:sz w:val="18"/>
              </w:rPr>
              <w:t>#youngadults  #inflammatorybackpain  #earlyonset  #diagnosticdelay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Long-standing disease produces a fused, rigid, osteoporotic spine. The elderly carry the highest burden of fixed kyphotic deformity, vertebral and cervical fractures (even after minor trauma), restrictive lung disease and cardiovascular complications.</w:t>
            </w:r>
          </w:p>
          <w:p>
            <w:pPr>
              <w:spacing w:after="40" w:before="60" w:line="259" w:lineRule="auto"/>
            </w:pPr>
            <w:r>
              <w:rPr>
                <w:rFonts w:ascii="Calibri" w:hAnsi="Calibri"/>
                <w:b w:val="0"/>
                <w:i w:val="0"/>
                <w:color w:val="212121"/>
                <w:sz w:val="19"/>
              </w:rPr>
              <w:t>A fused yet osteoporotic spine fractures easily; even trivial trauma can cause unstable spinal (often cervical) fractures with risk of cord injury.</w:t>
            </w:r>
          </w:p>
          <w:p>
            <w:pPr>
              <w:spacing w:before="60" w:after="40"/>
            </w:pPr>
            <w:r>
              <w:rPr>
                <w:rFonts w:ascii="Calibri" w:hAnsi="Calibri"/>
                <w:b w:val="0"/>
                <w:i w:val="0"/>
                <w:color w:val="5A5A5A"/>
                <w:sz w:val="18"/>
              </w:rPr>
              <w:t>#spinalfusion  #osteoporosis  #fracturerisk  #kyphosis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develop radiographic (structural) axial disease more often and more severely, with greater syndesmophyte formation and progression to spinal ankylosis.</w:t>
            </w:r>
          </w:p>
          <w:p>
            <w:pPr>
              <w:spacing w:after="40" w:before="60" w:line="259" w:lineRule="auto"/>
            </w:pPr>
            <w:r>
              <w:rPr>
                <w:rFonts w:ascii="Calibri" w:hAnsi="Calibri"/>
                <w:b w:val="0"/>
                <w:i w:val="0"/>
                <w:color w:val="212121"/>
                <w:sz w:val="19"/>
              </w:rPr>
              <w:t>In an Indian multi-city analysis of HLA-B27–positive individuals the male-to-female ratio was about 2.7:1.</w:t>
            </w:r>
          </w:p>
          <w:p>
            <w:pPr>
              <w:spacing w:after="40" w:line="252" w:lineRule="auto"/>
            </w:pPr>
            <w:hyperlink r:id="rId10">
              <w:r>
                <w:rPr>
                  <w:rFonts w:ascii="Calibri" w:hAnsi="Calibri" w:cs="Calibri"/>
                  <w:sz w:val="18"/>
                  <w:color w:val="1155CC"/>
                  <w:u w:val="single"/>
                </w:rPr>
                <w:t xml:space="preserve">journalajbgmb.com — HLA-B27 India multi-city</w:t>
              </w:r>
            </w:hyperlink>
          </w:p>
          <w:p>
            <w:pPr>
              <w:spacing w:before="60" w:after="40"/>
            </w:pPr>
            <w:r>
              <w:rPr>
                <w:rFonts w:ascii="Calibri" w:hAnsi="Calibri"/>
                <w:b w:val="0"/>
                <w:i w:val="0"/>
                <w:color w:val="5A5A5A"/>
                <w:sz w:val="18"/>
              </w:rPr>
              <w:t>#malepredominance  #radiographic  #ankylosis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disproportionately represented in non-radiographic axSpA, more often have peripheral joint, neck and widespread pain, show less radiographic sacroiliitis and are frequently under-recognised — lengthening the time to diagnosis.</w:t>
            </w:r>
          </w:p>
          <w:p>
            <w:pPr>
              <w:spacing w:after="40" w:before="60" w:line="259" w:lineRule="auto"/>
            </w:pPr>
            <w:r>
              <w:rPr>
                <w:rFonts w:ascii="Calibri" w:hAnsi="Calibri"/>
                <w:b w:val="0"/>
                <w:i w:val="0"/>
                <w:color w:val="212121"/>
                <w:sz w:val="19"/>
              </w:rPr>
              <w:t>Female axSpA is more often non-radiographic and under-diagnosed, contributing to longer diagnostic delay than in men.</w:t>
            </w:r>
          </w:p>
          <w:p>
            <w:pPr>
              <w:spacing w:before="60" w:after="40"/>
            </w:pPr>
            <w:r>
              <w:rPr>
                <w:rFonts w:ascii="Calibri" w:hAnsi="Calibri"/>
                <w:b w:val="0"/>
                <w:i w:val="0"/>
                <w:color w:val="5A5A5A"/>
                <w:sz w:val="18"/>
              </w:rPr>
              <w:t>#nraxspa  #underdiagnosed  #peripheral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&amp; low-awareness groups</w:t>
            </w:r>
          </w:p>
        </w:tc>
        <w:tc>
          <w:tcPr>
            <w:tcW w:type="dxa" w:w="4276"/>
            <w:vAlign w:val="top"/>
          </w:tcPr>
          <w:p>
            <w:pPr>
              <w:spacing w:after="60" w:line="259" w:lineRule="auto"/>
            </w:pPr>
            <w:r>
              <w:rPr>
                <w:rFonts w:ascii="Calibri" w:hAnsi="Calibri"/>
                <w:b w:val="0"/>
                <w:i w:val="0"/>
                <w:color w:val="212121"/>
                <w:sz w:val="19"/>
              </w:rPr>
              <w:t>Physically demanding work and low disease awareness lead patients (and clinicians) to attribute inflammatory back pain to ordinary ‘mechanical’ strain, delaying rheumatology referral and worsening structural outcomes.</w:t>
            </w:r>
          </w:p>
          <w:p>
            <w:pPr>
              <w:spacing w:after="40" w:before="60" w:line="259" w:lineRule="auto"/>
            </w:pPr>
            <w:r>
              <w:rPr>
                <w:rFonts w:ascii="Calibri" w:hAnsi="Calibri"/>
                <w:b w:val="0"/>
                <w:i w:val="0"/>
                <w:color w:val="212121"/>
                <w:sz w:val="19"/>
              </w:rPr>
              <w:t>An average diagnostic delay of about seven years is documented in Indian AS patients.</w:t>
            </w:r>
          </w:p>
          <w:p>
            <w:pPr>
              <w:spacing w:after="40" w:line="252" w:lineRule="auto"/>
            </w:pPr>
            <w:hyperlink r:id="rId9">
              <w:r>
                <w:rPr>
                  <w:rFonts w:ascii="Calibri" w:hAnsi="Calibri" w:cs="Calibri"/>
                  <w:sz w:val="18"/>
                  <w:color w:val="1155CC"/>
                  <w:u w:val="single"/>
                </w:rPr>
                <w:t xml:space="preserve">arthritis-india.com — ankylosing spondylitis</w:t>
              </w:r>
            </w:hyperlink>
          </w:p>
          <w:p>
            <w:pPr>
              <w:spacing w:before="60" w:after="40"/>
            </w:pPr>
            <w:r>
              <w:rPr>
                <w:rFonts w:ascii="Calibri" w:hAnsi="Calibri"/>
                <w:b w:val="0"/>
                <w:i w:val="0"/>
                <w:color w:val="5A5A5A"/>
                <w:sz w:val="18"/>
              </w:rPr>
              <w:t>#awareness  #delayeddiagnosis  #occupational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North Indian</w:t>
            </w:r>
          </w:p>
        </w:tc>
        <w:tc>
          <w:tcPr>
            <w:tcW w:type="dxa" w:w="4276"/>
            <w:vAlign w:val="top"/>
          </w:tcPr>
          <w:p>
            <w:pPr>
              <w:spacing w:after="60" w:line="259" w:lineRule="auto"/>
            </w:pPr>
            <w:r>
              <w:rPr>
                <w:rFonts w:ascii="Calibri" w:hAnsi="Calibri"/>
                <w:b w:val="0"/>
                <w:i w:val="0"/>
                <w:color w:val="212121"/>
                <w:sz w:val="19"/>
              </w:rPr>
              <w:t>HLA-B27 frequency in the general North Indian population is around 4%, with B*27:05 — a strongly AS-associated subtype — the most common allele, underpinning regional disease risk.</w:t>
            </w:r>
          </w:p>
          <w:p>
            <w:pPr>
              <w:spacing w:after="40" w:before="60" w:line="259" w:lineRule="auto"/>
            </w:pPr>
            <w:r>
              <w:rPr>
                <w:rFonts w:ascii="Calibri" w:hAnsi="Calibri"/>
                <w:b w:val="0"/>
                <w:i w:val="0"/>
                <w:color w:val="212121"/>
                <w:sz w:val="19"/>
              </w:rPr>
              <w:t>HLA-B*27 was carried by 4.08% (304/7,451) of North Indians, with B*27:05 the most frequent subtype (~21.7%); 90–95% of AS patients test positive.</w:t>
            </w:r>
          </w:p>
          <w:p>
            <w:pPr>
              <w:spacing w:after="40" w:line="252" w:lineRule="auto"/>
            </w:pPr>
            <w:hyperlink r:id="rId11">
              <w:r>
                <w:rPr>
                  <w:rFonts w:ascii="Calibri" w:hAnsi="Calibri" w:cs="Calibri"/>
                  <w:sz w:val="18"/>
                  <w:color w:val="1155CC"/>
                  <w:u w:val="single"/>
                </w:rPr>
                <w:t xml:space="preserve">ijmsweb.com — HLA-B27 in North India</w:t>
              </w:r>
            </w:hyperlink>
          </w:p>
          <w:p>
            <w:pPr>
              <w:spacing w:before="60" w:after="40"/>
            </w:pPr>
            <w:r>
              <w:rPr>
                <w:rFonts w:ascii="Calibri" w:hAnsi="Calibri"/>
                <w:b w:val="0"/>
                <w:i w:val="0"/>
                <w:color w:val="5A5A5A"/>
                <w:sz w:val="18"/>
              </w:rPr>
              <w:t>#hla_b27  #b2705  #northindia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Indian (Tamil)</w:t>
            </w:r>
          </w:p>
        </w:tc>
        <w:tc>
          <w:tcPr>
            <w:tcW w:type="dxa" w:w="4276"/>
            <w:vAlign w:val="top"/>
          </w:tcPr>
          <w:p>
            <w:pPr>
              <w:spacing w:after="60" w:line="259" w:lineRule="auto"/>
            </w:pPr>
            <w:r>
              <w:rPr>
                <w:rFonts w:ascii="Calibri" w:hAnsi="Calibri"/>
                <w:b w:val="0"/>
                <w:i w:val="0"/>
                <w:color w:val="212121"/>
                <w:sz w:val="19"/>
              </w:rPr>
              <w:t>Among South Indian (Tamil) AS patients the dominant subtype differs — HLA-B*27:04 predominates and is linked to enthesitis and axial disease — illustrating regional genetic heterogeneity within India.</w:t>
            </w:r>
          </w:p>
          <w:p>
            <w:pPr>
              <w:spacing w:after="40" w:before="60" w:line="259" w:lineRule="auto"/>
            </w:pPr>
            <w:r>
              <w:rPr>
                <w:rFonts w:ascii="Calibri" w:hAnsi="Calibri"/>
                <w:b w:val="0"/>
                <w:i w:val="0"/>
                <w:color w:val="212121"/>
                <w:sz w:val="19"/>
              </w:rPr>
              <w:t>In Tamil AS patients HLA-B*27:04 (52.2%) was the most common subtype, followed by B*27:05 (41.6%); uveitis was most associated with B*27:05.</w:t>
            </w:r>
          </w:p>
          <w:p>
            <w:pPr>
              <w:spacing w:after="40" w:line="252" w:lineRule="auto"/>
            </w:pPr>
            <w:hyperlink r:id="rId12">
              <w:r>
                <w:rPr>
                  <w:rFonts w:ascii="Calibri" w:hAnsi="Calibri" w:cs="Calibri"/>
                  <w:sz w:val="18"/>
                  <w:color w:val="1155CC"/>
                  <w:u w:val="single"/>
                </w:rPr>
                <w:t xml:space="preserve">pubmed.ncbi.nlm.nih.gov/33773810</w:t>
              </w:r>
            </w:hyperlink>
          </w:p>
          <w:p>
            <w:pPr>
              <w:spacing w:before="60" w:after="40"/>
            </w:pPr>
            <w:r>
              <w:rPr>
                <w:rFonts w:ascii="Calibri" w:hAnsi="Calibri"/>
                <w:b w:val="0"/>
                <w:i w:val="0"/>
                <w:color w:val="5A5A5A"/>
                <w:sz w:val="18"/>
              </w:rPr>
              <w:t>#b2704  #tamil  #southindia  #subtypes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rest</w:t>
            </w:r>
          </w:p>
        </w:tc>
        <w:tc>
          <w:tcPr>
            <w:tcW w:type="dxa" w:w="2160"/>
            <w:vAlign w:val="top"/>
          </w:tcPr>
          <w:p>
            <w:pPr>
              <w:spacing w:after="40" w:before="0" w:line="259" w:lineRule="auto"/>
            </w:pPr>
            <w:r>
              <w:rPr>
                <w:rFonts w:ascii="Calibri" w:hAnsi="Calibri"/>
                <w:b w:val="0"/>
                <w:i w:val="0"/>
                <w:color w:val="212121"/>
                <w:sz w:val="19"/>
              </w:rPr>
              <w:t>Physically inactive patients</w:t>
            </w:r>
          </w:p>
        </w:tc>
        <w:tc>
          <w:tcPr>
            <w:tcW w:type="dxa" w:w="4276"/>
            <w:vAlign w:val="top"/>
          </w:tcPr>
          <w:p>
            <w:pPr>
              <w:spacing w:after="60" w:line="259" w:lineRule="auto"/>
            </w:pPr>
            <w:r>
              <w:rPr>
                <w:rFonts w:ascii="Calibri" w:hAnsi="Calibri"/>
                <w:b w:val="0"/>
                <w:i w:val="0"/>
                <w:color w:val="212121"/>
                <w:sz w:val="19"/>
              </w:rPr>
              <w:t>Unlike mechanical back pain, AS worsens with rest and immobility. Prolonged inactivity accelerates stiffness, deconditioning and loss of spinal mobility, whereas regular exercise reduces pain and preserves function.</w:t>
            </w:r>
          </w:p>
          <w:p>
            <w:pPr>
              <w:spacing w:after="40" w:before="60" w:line="259" w:lineRule="auto"/>
            </w:pPr>
            <w:r>
              <w:rPr>
                <w:rFonts w:ascii="Calibri" w:hAnsi="Calibri"/>
                <w:b w:val="0"/>
                <w:i w:val="0"/>
                <w:color w:val="212121"/>
                <w:sz w:val="19"/>
              </w:rPr>
              <w:t>Symptoms characteristically improve with activity and worsen with rest — a hallmark of inflammatory back pain.</w:t>
            </w:r>
          </w:p>
          <w:p>
            <w:pPr>
              <w:spacing w:after="40" w:line="252" w:lineRule="auto"/>
            </w:pPr>
            <w:hyperlink r:id="rId9">
              <w:r>
                <w:rPr>
                  <w:rFonts w:ascii="Calibri" w:hAnsi="Calibri" w:cs="Calibri"/>
                  <w:sz w:val="18"/>
                  <w:color w:val="1155CC"/>
                  <w:u w:val="single"/>
                </w:rPr>
                <w:t xml:space="preserve">arthritis-india.com — ankylosing spondylitis</w:t>
              </w:r>
            </w:hyperlink>
          </w:p>
          <w:p>
            <w:pPr>
              <w:spacing w:before="60" w:after="40"/>
            </w:pPr>
            <w:r>
              <w:rPr>
                <w:rFonts w:ascii="Calibri" w:hAnsi="Calibri"/>
                <w:b w:val="0"/>
                <w:i w:val="0"/>
                <w:color w:val="5A5A5A"/>
                <w:sz w:val="18"/>
              </w:rPr>
              <w:t>#immobility  #stiffness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smoking is associated with earlier symptom onset, higher disease activity, worse physical function, faster radiographic spinal progression and poorer response to treatment.</w:t>
            </w:r>
          </w:p>
          <w:p>
            <w:pPr>
              <w:spacing w:after="40" w:before="60" w:line="259" w:lineRule="auto"/>
            </w:pPr>
            <w:r>
              <w:rPr>
                <w:rFonts w:ascii="Calibri" w:hAnsi="Calibri"/>
                <w:b w:val="0"/>
                <w:i w:val="0"/>
                <w:color w:val="212121"/>
                <w:sz w:val="19"/>
              </w:rPr>
              <w:t>Smoking is a consistent modifiable predictor of worse structural and functional outcomes in axial spondyloarthritis.</w:t>
            </w:r>
          </w:p>
          <w:p>
            <w:pPr>
              <w:spacing w:before="60" w:after="40"/>
            </w:pPr>
            <w:r>
              <w:rPr>
                <w:rFonts w:ascii="Calibri" w:hAnsi="Calibri"/>
                <w:b w:val="0"/>
                <w:i w:val="0"/>
                <w:color w:val="5A5A5A"/>
                <w:sz w:val="18"/>
              </w:rPr>
              <w:t>#smoking  #progression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Excess alcohol lowers bone mineral density (compounding AS-related osteoporosis) and interacts with treatment — NSAIDs (gastrointestinal bleeding) and methotrexate/leflunomide (hepatotoxicity).</w:t>
            </w:r>
          </w:p>
          <w:p>
            <w:pPr>
              <w:spacing w:after="40" w:before="60" w:line="259" w:lineRule="auto"/>
            </w:pPr>
            <w:r>
              <w:rPr>
                <w:rFonts w:ascii="Calibri" w:hAnsi="Calibri"/>
                <w:b w:val="0"/>
                <w:i w:val="0"/>
                <w:color w:val="212121"/>
                <w:sz w:val="19"/>
              </w:rPr>
              <w:t>Alcohol excess aggravates osteoporosis and raises the risk of NSAID- and DMARD-related toxicity.</w:t>
            </w:r>
          </w:p>
          <w:p>
            <w:pPr>
              <w:spacing w:before="60" w:after="40"/>
            </w:pPr>
            <w:r>
              <w:rPr>
                <w:rFonts w:ascii="Calibri" w:hAnsi="Calibri"/>
                <w:b w:val="0"/>
                <w:i w:val="0"/>
                <w:color w:val="5A5A5A"/>
                <w:sz w:val="18"/>
              </w:rPr>
              <w:t>#alcohol  #boneloss  #druginteraction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Posture / ergonomics</w:t>
            </w:r>
          </w:p>
        </w:tc>
        <w:tc>
          <w:tcPr>
            <w:tcW w:type="dxa" w:w="2160"/>
            <w:vAlign w:val="top"/>
          </w:tcPr>
          <w:p>
            <w:pPr>
              <w:spacing w:after="40" w:before="0" w:line="259" w:lineRule="auto"/>
            </w:pPr>
            <w:r>
              <w:rPr>
                <w:rFonts w:ascii="Calibri" w:hAnsi="Calibri"/>
                <w:b w:val="0"/>
                <w:i w:val="0"/>
                <w:color w:val="212121"/>
                <w:sz w:val="19"/>
              </w:rPr>
              <w:t>Poor sustained posture</w:t>
            </w:r>
          </w:p>
        </w:tc>
        <w:tc>
          <w:tcPr>
            <w:tcW w:type="dxa" w:w="4276"/>
            <w:vAlign w:val="top"/>
          </w:tcPr>
          <w:p>
            <w:pPr>
              <w:spacing w:after="60" w:line="259" w:lineRule="auto"/>
            </w:pPr>
            <w:r>
              <w:rPr>
                <w:rFonts w:ascii="Calibri" w:hAnsi="Calibri"/>
                <w:b w:val="0"/>
                <w:i w:val="0"/>
                <w:color w:val="212121"/>
                <w:sz w:val="19"/>
              </w:rPr>
              <w:t>Habitual stooped posture and sleeping in flexed positions, in a patient whose spine is stiffening, promote fixed forward-bent (kyphotic) deformity. Posture training and a firm, flat sleeping surface are protective.</w:t>
            </w:r>
          </w:p>
          <w:p>
            <w:pPr>
              <w:spacing w:after="40" w:before="60" w:line="259" w:lineRule="auto"/>
            </w:pPr>
            <w:r>
              <w:rPr>
                <w:rFonts w:ascii="Calibri" w:hAnsi="Calibri"/>
                <w:b w:val="0"/>
                <w:i w:val="0"/>
                <w:color w:val="212121"/>
                <w:sz w:val="19"/>
              </w:rPr>
              <w:t>Progressive thoracic kyphosis is a key driver of disability and reduced quality of life in advanced AS.</w:t>
            </w:r>
          </w:p>
          <w:p>
            <w:pPr>
              <w:spacing w:before="60" w:after="40"/>
            </w:pPr>
            <w:r>
              <w:rPr>
                <w:rFonts w:ascii="Calibri" w:hAnsi="Calibri"/>
                <w:b w:val="0"/>
                <w:i w:val="0"/>
                <w:color w:val="5A5A5A"/>
                <w:sz w:val="18"/>
              </w:rPr>
              <w:t>#posture  #kyphosis  #ergonomics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&amp; vitamin D intake</w:t>
            </w:r>
          </w:p>
        </w:tc>
        <w:tc>
          <w:tcPr>
            <w:tcW w:type="dxa" w:w="2160"/>
            <w:vAlign w:val="top"/>
          </w:tcPr>
          <w:p>
            <w:pPr>
              <w:spacing w:after="40" w:before="0" w:line="259" w:lineRule="auto"/>
            </w:pPr>
            <w:r>
              <w:rPr>
                <w:rFonts w:ascii="Calibri" w:hAnsi="Calibri"/>
                <w:b w:val="0"/>
                <w:i w:val="0"/>
                <w:color w:val="212121"/>
                <w:sz w:val="19"/>
              </w:rPr>
              <w:t>Deficient diet</w:t>
            </w:r>
          </w:p>
        </w:tc>
        <w:tc>
          <w:tcPr>
            <w:tcW w:type="dxa" w:w="4276"/>
            <w:vAlign w:val="top"/>
          </w:tcPr>
          <w:p>
            <w:pPr>
              <w:spacing w:after="60" w:line="259" w:lineRule="auto"/>
            </w:pPr>
            <w:r>
              <w:rPr>
                <w:rFonts w:ascii="Calibri" w:hAnsi="Calibri"/>
                <w:b w:val="0"/>
                <w:i w:val="0"/>
                <w:color w:val="212121"/>
                <w:sz w:val="19"/>
              </w:rPr>
              <w:t>Inadequate calcium and vitamin D — common in India — compound the osteoporosis of chronic inflammation and immobility, increasing fracture risk in an already fragile spine.</w:t>
            </w:r>
          </w:p>
          <w:p>
            <w:pPr>
              <w:spacing w:after="40" w:before="60" w:line="259" w:lineRule="auto"/>
            </w:pPr>
            <w:r>
              <w:rPr>
                <w:rFonts w:ascii="Calibri" w:hAnsi="Calibri"/>
                <w:b w:val="0"/>
                <w:i w:val="0"/>
                <w:color w:val="212121"/>
                <w:sz w:val="19"/>
              </w:rPr>
              <w:t>Vitamin D deficiency is highly prevalent across India and worsens inflammatory and disuse bone loss.</w:t>
            </w:r>
          </w:p>
          <w:p>
            <w:pPr>
              <w:spacing w:before="60" w:after="40"/>
            </w:pPr>
            <w:r>
              <w:rPr>
                <w:rFonts w:ascii="Calibri" w:hAnsi="Calibri"/>
                <w:b w:val="0"/>
                <w:i w:val="0"/>
                <w:color w:val="5A5A5A"/>
                <w:sz w:val="18"/>
              </w:rPr>
              <w:t>#vitamind  #calcium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Pro-inflammatory / high-calorie diet</w:t>
            </w:r>
          </w:p>
        </w:tc>
        <w:tc>
          <w:tcPr>
            <w:tcW w:type="dxa" w:w="2160"/>
            <w:vAlign w:val="top"/>
          </w:tcPr>
          <w:p>
            <w:pPr>
              <w:spacing w:after="40" w:before="0" w:line="259" w:lineRule="auto"/>
            </w:pPr>
            <w:r>
              <w:rPr>
                <w:rFonts w:ascii="Calibri" w:hAnsi="Calibri"/>
                <w:b w:val="0"/>
                <w:i w:val="0"/>
                <w:color w:val="212121"/>
                <w:sz w:val="19"/>
              </w:rPr>
              <w:t>Overweight / obese patients</w:t>
            </w:r>
          </w:p>
        </w:tc>
        <w:tc>
          <w:tcPr>
            <w:tcW w:type="dxa" w:w="4276"/>
            <w:vAlign w:val="top"/>
          </w:tcPr>
          <w:p>
            <w:pPr>
              <w:spacing w:after="60" w:line="259" w:lineRule="auto"/>
            </w:pPr>
            <w:r>
              <w:rPr>
                <w:rFonts w:ascii="Calibri" w:hAnsi="Calibri"/>
                <w:b w:val="0"/>
                <w:i w:val="0"/>
                <w:color w:val="212121"/>
                <w:sz w:val="19"/>
              </w:rPr>
              <w:t>Obesity and pro-inflammatory dietary patterns are linked to higher disease activity, poorer treatment (biologic) response, and greater cardiovascular and metabolic comorbidity in axSpA.</w:t>
            </w:r>
          </w:p>
          <w:p>
            <w:pPr>
              <w:spacing w:after="40" w:before="60" w:line="259" w:lineRule="auto"/>
            </w:pPr>
            <w:r>
              <w:rPr>
                <w:rFonts w:ascii="Calibri" w:hAnsi="Calibri"/>
                <w:b w:val="0"/>
                <w:i w:val="0"/>
                <w:color w:val="212121"/>
                <w:sz w:val="19"/>
              </w:rPr>
              <w:t>Higher BMI is associated with greater AS disease activity and reduced response to biologic therapy.</w:t>
            </w:r>
          </w:p>
          <w:p>
            <w:pPr>
              <w:spacing w:before="60" w:after="40"/>
            </w:pPr>
            <w:r>
              <w:rPr>
                <w:rFonts w:ascii="Calibri" w:hAnsi="Calibri"/>
                <w:b w:val="0"/>
                <w:i w:val="0"/>
                <w:color w:val="5A5A5A"/>
                <w:sz w:val="18"/>
              </w:rPr>
              <w:t>#obesity  #inflammation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SpA</w:t>
            </w:r>
          </w:p>
        </w:tc>
        <w:tc>
          <w:tcPr>
            <w:tcW w:type="dxa" w:w="4276"/>
            <w:vAlign w:val="top"/>
          </w:tcPr>
          <w:p>
            <w:pPr>
              <w:spacing w:after="60" w:line="259" w:lineRule="auto"/>
            </w:pPr>
            <w:r>
              <w:rPr>
                <w:rFonts w:ascii="Calibri" w:hAnsi="Calibri"/>
                <w:b w:val="0"/>
                <w:i w:val="0"/>
                <w:color w:val="212121"/>
                <w:sz w:val="19"/>
              </w:rPr>
              <w:t>AS clusters strongly in families. HLA-B27–positive first-degree relatives of AS patients have a substantially higher risk than the general population, and family history is itself a recognised ASAS SpA feature.</w:t>
            </w:r>
          </w:p>
          <w:p>
            <w:pPr>
              <w:spacing w:after="40" w:before="60" w:line="259" w:lineRule="auto"/>
            </w:pPr>
            <w:r>
              <w:rPr>
                <w:rFonts w:ascii="Calibri" w:hAnsi="Calibri"/>
                <w:b w:val="0"/>
                <w:i w:val="0"/>
                <w:color w:val="212121"/>
                <w:sz w:val="19"/>
              </w:rPr>
              <w:t>83–94% of Indian AS patients are HLA-B27 positive versus only ~8–10% of the general population.</w:t>
            </w:r>
          </w:p>
          <w:p>
            <w:pPr>
              <w:spacing w:after="40" w:line="252" w:lineRule="auto"/>
            </w:pPr>
            <w:hyperlink r:id="rId9">
              <w:r>
                <w:rPr>
                  <w:rFonts w:ascii="Calibri" w:hAnsi="Calibri" w:cs="Calibri"/>
                  <w:sz w:val="18"/>
                  <w:color w:val="1155CC"/>
                  <w:u w:val="single"/>
                </w:rPr>
                <w:t xml:space="preserve">arthritis-india.com — ankylosing spondylitis</w:t>
              </w:r>
            </w:hyperlink>
          </w:p>
          <w:p>
            <w:pPr>
              <w:spacing w:before="60" w:after="40"/>
            </w:pPr>
            <w:r>
              <w:rPr>
                <w:rFonts w:ascii="Calibri" w:hAnsi="Calibri"/>
                <w:b w:val="0"/>
                <w:i w:val="0"/>
                <w:color w:val="5A5A5A"/>
                <w:sz w:val="18"/>
              </w:rPr>
              <w:t>#familyhistory  #heritable  #hla_b27</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HLA-B27 carriage</w:t>
            </w:r>
          </w:p>
        </w:tc>
        <w:tc>
          <w:tcPr>
            <w:tcW w:type="dxa" w:w="2160"/>
            <w:vAlign w:val="top"/>
          </w:tcPr>
          <w:p>
            <w:pPr>
              <w:spacing w:after="40" w:before="0" w:line="259" w:lineRule="auto"/>
            </w:pPr>
            <w:r>
              <w:rPr>
                <w:rFonts w:ascii="Calibri" w:hAnsi="Calibri"/>
                <w:b w:val="0"/>
                <w:i w:val="0"/>
                <w:color w:val="212121"/>
                <w:sz w:val="19"/>
              </w:rPr>
              <w:t>HLA-B27-positive individuals</w:t>
            </w:r>
          </w:p>
        </w:tc>
        <w:tc>
          <w:tcPr>
            <w:tcW w:type="dxa" w:w="4276"/>
            <w:vAlign w:val="top"/>
          </w:tcPr>
          <w:p>
            <w:pPr>
              <w:spacing w:after="60" w:line="259" w:lineRule="auto"/>
            </w:pPr>
            <w:r>
              <w:rPr>
                <w:rFonts w:ascii="Calibri" w:hAnsi="Calibri"/>
                <w:b w:val="0"/>
                <w:i w:val="0"/>
                <w:color w:val="212121"/>
                <w:sz w:val="19"/>
              </w:rPr>
              <w:t>HLA-B27 is the single strongest risk factor. Although most carriers never develop disease, it underlies the great majority of AS and shapes extra-articular risk such as acute anterior uveitis.</w:t>
            </w:r>
          </w:p>
          <w:p>
            <w:pPr>
              <w:spacing w:after="40" w:before="60" w:line="259" w:lineRule="auto"/>
            </w:pPr>
            <w:r>
              <w:rPr>
                <w:rFonts w:ascii="Calibri" w:hAnsi="Calibri"/>
                <w:b w:val="0"/>
                <w:i w:val="0"/>
                <w:color w:val="212121"/>
                <w:sz w:val="19"/>
              </w:rPr>
              <w:t>About 90–95% of AS patients test HLA-B27 positive, versus roughly 4% of the North Indian general population.</w:t>
            </w:r>
          </w:p>
          <w:p>
            <w:pPr>
              <w:spacing w:after="40" w:line="252" w:lineRule="auto"/>
            </w:pPr>
            <w:hyperlink r:id="rId11">
              <w:r>
                <w:rPr>
                  <w:rFonts w:ascii="Calibri" w:hAnsi="Calibri" w:cs="Calibri"/>
                  <w:sz w:val="18"/>
                  <w:color w:val="1155CC"/>
                  <w:u w:val="single"/>
                </w:rPr>
                <w:t xml:space="preserve">ijmsweb.com — HLA-B27 in North India</w:t>
              </w:r>
            </w:hyperlink>
          </w:p>
          <w:p>
            <w:pPr>
              <w:spacing w:before="60" w:after="40"/>
            </w:pPr>
            <w:r>
              <w:rPr>
                <w:rFonts w:ascii="Calibri" w:hAnsi="Calibri"/>
                <w:b w:val="0"/>
                <w:i w:val="0"/>
                <w:color w:val="5A5A5A"/>
                <w:sz w:val="18"/>
              </w:rPr>
              <w:t>#hla_b27  #genetic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Acute anterior uveitis</w:t>
            </w:r>
          </w:p>
        </w:tc>
        <w:tc>
          <w:tcPr>
            <w:tcW w:type="dxa" w:w="2160"/>
            <w:vAlign w:val="top"/>
          </w:tcPr>
          <w:p>
            <w:pPr>
              <w:spacing w:after="40" w:before="0" w:line="259" w:lineRule="auto"/>
            </w:pPr>
            <w:r>
              <w:rPr>
                <w:rFonts w:ascii="Calibri" w:hAnsi="Calibri"/>
                <w:b w:val="0"/>
                <w:i w:val="0"/>
                <w:color w:val="212121"/>
                <w:sz w:val="19"/>
              </w:rPr>
              <w:t>AS with recurrent uveitis</w:t>
            </w:r>
          </w:p>
        </w:tc>
        <w:tc>
          <w:tcPr>
            <w:tcW w:type="dxa" w:w="4276"/>
            <w:vAlign w:val="top"/>
          </w:tcPr>
          <w:p>
            <w:pPr>
              <w:spacing w:after="60" w:line="259" w:lineRule="auto"/>
            </w:pPr>
            <w:r>
              <w:rPr>
                <w:rFonts w:ascii="Calibri" w:hAnsi="Calibri"/>
                <w:b w:val="0"/>
                <w:i w:val="0"/>
                <w:color w:val="212121"/>
                <w:sz w:val="19"/>
              </w:rPr>
              <w:t>Acute anterior uveitis is the commonest extra-articular manifestation of AS. HLA-B27 (particularly B*27:05) predisposes, and recurrent attacks threaten vision if not treated promptly.</w:t>
            </w:r>
          </w:p>
          <w:p>
            <w:pPr>
              <w:spacing w:after="40" w:before="60" w:line="259" w:lineRule="auto"/>
            </w:pPr>
            <w:r>
              <w:rPr>
                <w:rFonts w:ascii="Calibri" w:hAnsi="Calibri"/>
                <w:b w:val="0"/>
                <w:i w:val="0"/>
                <w:color w:val="212121"/>
                <w:sz w:val="19"/>
              </w:rPr>
              <w:t>In Tamil AS patients, uveitis was most strongly associated with the HLA-B*27:05 subtype.</w:t>
            </w:r>
          </w:p>
          <w:p>
            <w:pPr>
              <w:spacing w:after="40" w:line="252" w:lineRule="auto"/>
            </w:pPr>
            <w:hyperlink r:id="rId12">
              <w:r>
                <w:rPr>
                  <w:rFonts w:ascii="Calibri" w:hAnsi="Calibri" w:cs="Calibri"/>
                  <w:sz w:val="18"/>
                  <w:color w:val="1155CC"/>
                  <w:u w:val="single"/>
                </w:rPr>
                <w:t xml:space="preserve">pubmed.ncbi.nlm.nih.gov/33773810</w:t>
              </w:r>
            </w:hyperlink>
          </w:p>
          <w:p>
            <w:pPr>
              <w:spacing w:before="60" w:after="40"/>
            </w:pPr>
            <w:r>
              <w:rPr>
                <w:rFonts w:ascii="Calibri" w:hAnsi="Calibri"/>
                <w:b w:val="0"/>
                <w:i w:val="0"/>
                <w:color w:val="5A5A5A"/>
                <w:sz w:val="18"/>
              </w:rPr>
              <w:t>#uveitis  #eye  #b2705</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AS with Crohn's / ulcerative colitis</w:t>
            </w:r>
          </w:p>
        </w:tc>
        <w:tc>
          <w:tcPr>
            <w:tcW w:type="dxa" w:w="4276"/>
            <w:vAlign w:val="top"/>
          </w:tcPr>
          <w:p>
            <w:pPr>
              <w:spacing w:after="60" w:line="259" w:lineRule="auto"/>
            </w:pPr>
            <w:r>
              <w:rPr>
                <w:rFonts w:ascii="Calibri" w:hAnsi="Calibri"/>
                <w:b w:val="0"/>
                <w:i w:val="0"/>
                <w:color w:val="212121"/>
                <w:sz w:val="19"/>
              </w:rPr>
              <w:t>AS and IBD share HLA-B27-linked, IL-23/IL-17–driven gut–joint inflammation. Subclinical gut inflammation is common and a subset develop overt Crohn's disease or ulcerative colitis, which also alters drug choice.</w:t>
            </w:r>
          </w:p>
          <w:p>
            <w:pPr>
              <w:spacing w:after="40" w:before="60" w:line="259" w:lineRule="auto"/>
            </w:pPr>
            <w:r>
              <w:rPr>
                <w:rFonts w:ascii="Calibri" w:hAnsi="Calibri"/>
                <w:b w:val="0"/>
                <w:i w:val="0"/>
                <w:color w:val="212121"/>
                <w:sz w:val="19"/>
              </w:rPr>
              <w:t>A minority of AS patients develop clinical IBD, but subclinical gut inflammation is detectable in a large proportion.</w:t>
            </w:r>
          </w:p>
          <w:p>
            <w:pPr>
              <w:spacing w:before="60" w:after="40"/>
            </w:pPr>
            <w:r>
              <w:rPr>
                <w:rFonts w:ascii="Calibri" w:hAnsi="Calibri"/>
                <w:b w:val="0"/>
                <w:i w:val="0"/>
                <w:color w:val="5A5A5A"/>
                <w:sz w:val="18"/>
              </w:rPr>
              <w:t>#ibd  #gutjoint  #crohns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 &amp; vertebral fracture</w:t>
            </w:r>
          </w:p>
        </w:tc>
        <w:tc>
          <w:tcPr>
            <w:tcW w:type="dxa" w:w="2160"/>
            <w:vAlign w:val="top"/>
          </w:tcPr>
          <w:p>
            <w:pPr>
              <w:spacing w:after="40" w:before="0" w:line="259" w:lineRule="auto"/>
            </w:pPr>
            <w:r>
              <w:rPr>
                <w:rFonts w:ascii="Calibri" w:hAnsi="Calibri"/>
                <w:b w:val="0"/>
                <w:i w:val="0"/>
                <w:color w:val="212121"/>
                <w:sz w:val="19"/>
              </w:rPr>
              <w:t>Long-standing AS</w:t>
            </w:r>
          </w:p>
        </w:tc>
        <w:tc>
          <w:tcPr>
            <w:tcW w:type="dxa" w:w="4276"/>
            <w:vAlign w:val="top"/>
          </w:tcPr>
          <w:p>
            <w:pPr>
              <w:spacing w:after="60" w:line="259" w:lineRule="auto"/>
            </w:pPr>
            <w:r>
              <w:rPr>
                <w:rFonts w:ascii="Calibri" w:hAnsi="Calibri"/>
                <w:b w:val="0"/>
                <w:i w:val="0"/>
                <w:color w:val="212121"/>
                <w:sz w:val="19"/>
              </w:rPr>
              <w:t>Chronic inflammation, immobility and vitamin D deficiency reduce bone density even as the spine paradoxically fuses, so a rigid but brittle spine fractures easily — sometimes causing spinal-cord injury.</w:t>
            </w:r>
          </w:p>
          <w:p>
            <w:pPr>
              <w:spacing w:after="40" w:before="60" w:line="259" w:lineRule="auto"/>
            </w:pPr>
            <w:r>
              <w:rPr>
                <w:rFonts w:ascii="Calibri" w:hAnsi="Calibri"/>
                <w:b w:val="0"/>
                <w:i w:val="0"/>
                <w:color w:val="212121"/>
                <w:sz w:val="19"/>
              </w:rPr>
              <w:t>Osteoporosis and vertebral fractures are frequent in established AS despite the radiographic appearance of ‘new bone’.</w:t>
            </w:r>
          </w:p>
          <w:p>
            <w:pPr>
              <w:spacing w:before="60" w:after="40"/>
            </w:pPr>
            <w:r>
              <w:rPr>
                <w:rFonts w:ascii="Calibri" w:hAnsi="Calibri"/>
                <w:b w:val="0"/>
                <w:i w:val="0"/>
                <w:color w:val="5A5A5A"/>
                <w:sz w:val="18"/>
              </w:rPr>
              <w:t>#osteoporosis  #vertebralfracture  #fragility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exercise and physiotherapy are the cornerstone non-drug treatment: they reduce pain and stiffness and preserve spinal mobility. Rest and immobility, by contrast, worsen inflammatory back pain and accelerate deconditioning and deformity.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Anti-inflammatory dietary patterns, weight control and adequate calcium/vitamin D support bone health and lower comorbidity; obesity is linked to higher disease activity and poorer biologic response. Evidence for specific low-starch diets remains weak.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Night pain and early-morning stiffness fragment sleep, and poor sleep amplifies pain, fatigue and low mood — a bidirectional loop with disease activity.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associated with earlier onset, higher disease activity, worse function, faster radiographic spinal progression and reduced treatment response — the most important modifiable adverse lifestyle factor in axSpA.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alcohol lowers bone density (worsening AS osteoporosis) and increases the toxicity of NSAIDs (GI bleeding) and methotrexate/leflunomide (liver injury) used in treatment.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more common in AS than the general population and correlate bidirectionally with disease activity, pain and disability.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health and renal safety of NSAID therapy, but there is no direct evidence linking water intake to disease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effect on AS disease activity; excessive caffeine may impair sleep and, in large amounts, adversely affect bone, indirectly relevant to osteoporosis-prone patients.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and oral/skin hygiene matter mainly for infection prevention in patients on immunosuppressive biologic or DMARD therapy; no direct role in the primary disease process.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Preceding genitourinary or gastrointestinal infection can trigger reactive (SpA-spectrum) arthritis; mechanical entheseal stress and prolonged immobility can provoke flares in predisposed individuals.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flexed posture in a stiffening spine promotes fixed kyphotic deformity; deliberate spinal-extension exercises, ergonomic positioning and firm flat sleeping surfaces are protective and central to management.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BASDAI (disease activity, 0–10)</w:t>
            </w:r>
          </w:p>
        </w:tc>
        <w:tc>
          <w:tcPr>
            <w:tcW w:type="dxa" w:w="1655"/>
            <w:vAlign w:val="top"/>
          </w:tcPr>
          <w:p>
            <w:pPr>
              <w:spacing w:after="40" w:before="0" w:line="259" w:lineRule="auto"/>
            </w:pPr>
            <w:r>
              <w:rPr>
                <w:rFonts w:ascii="Calibri" w:hAnsi="Calibri"/>
                <w:b w:val="0"/>
                <w:i w:val="0"/>
                <w:color w:val="212121"/>
                <w:sz w:val="19"/>
              </w:rPr>
              <w:t>All AS patients</w:t>
            </w:r>
          </w:p>
        </w:tc>
        <w:tc>
          <w:tcPr>
            <w:tcW w:type="dxa" w:w="1512"/>
            <w:vAlign w:val="top"/>
          </w:tcPr>
          <w:p>
            <w:pPr>
              <w:spacing w:after="40" w:before="0" w:line="259" w:lineRule="auto"/>
            </w:pPr>
            <w:r>
              <w:rPr>
                <w:rFonts w:ascii="Calibri" w:hAnsi="Calibri"/>
                <w:b w:val="0"/>
                <w:i w:val="0"/>
                <w:color w:val="212121"/>
                <w:sz w:val="19"/>
              </w:rPr>
              <w:t>&lt; 4 (low activity)</w:t>
            </w:r>
          </w:p>
        </w:tc>
        <w:tc>
          <w:tcPr>
            <w:tcW w:type="dxa" w:w="1512"/>
            <w:vAlign w:val="top"/>
          </w:tcPr>
          <w:p>
            <w:pPr>
              <w:spacing w:after="40" w:before="0" w:line="259" w:lineRule="auto"/>
            </w:pPr>
            <w:r>
              <w:rPr>
                <w:rFonts w:ascii="Calibri" w:hAnsi="Calibri"/>
                <w:b w:val="0"/>
                <w:i w:val="0"/>
                <w:color w:val="212121"/>
                <w:sz w:val="19"/>
              </w:rPr>
              <w:t>≥ 4 (active disease)</w:t>
            </w:r>
          </w:p>
        </w:tc>
        <w:tc>
          <w:tcPr>
            <w:tcW w:type="dxa" w:w="1468"/>
            <w:vAlign w:val="top"/>
          </w:tcPr>
          <w:p>
            <w:pPr>
              <w:spacing w:after="40" w:before="0" w:line="259" w:lineRule="auto"/>
            </w:pPr>
            <w:r>
              <w:rPr>
                <w:rFonts w:ascii="Calibri" w:hAnsi="Calibri"/>
                <w:b w:val="0"/>
                <w:i w:val="0"/>
                <w:color w:val="212121"/>
                <w:sz w:val="19"/>
              </w:rPr>
              <w:t>Guides escalation of therapy and physiotherapy intensity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Modified Schober's test (lumbar flexion)</w:t>
            </w:r>
          </w:p>
        </w:tc>
        <w:tc>
          <w:tcPr>
            <w:tcW w:type="dxa" w:w="1655"/>
            <w:vAlign w:val="top"/>
          </w:tcPr>
          <w:p>
            <w:pPr>
              <w:spacing w:after="40" w:before="0" w:line="259" w:lineRule="auto"/>
            </w:pPr>
            <w:r>
              <w:rPr>
                <w:rFonts w:ascii="Calibri" w:hAnsi="Calibri"/>
                <w:b w:val="0"/>
                <w:i w:val="0"/>
                <w:color w:val="212121"/>
                <w:sz w:val="19"/>
              </w:rPr>
              <w:t>Axial disease</w:t>
            </w:r>
          </w:p>
        </w:tc>
        <w:tc>
          <w:tcPr>
            <w:tcW w:type="dxa" w:w="1512"/>
            <w:vAlign w:val="top"/>
          </w:tcPr>
          <w:p>
            <w:pPr>
              <w:spacing w:after="40" w:before="0" w:line="259" w:lineRule="auto"/>
            </w:pPr>
            <w:r>
              <w:rPr>
                <w:rFonts w:ascii="Calibri" w:hAnsi="Calibri"/>
                <w:b w:val="0"/>
                <w:i w:val="0"/>
                <w:color w:val="212121"/>
                <w:sz w:val="19"/>
              </w:rPr>
              <w:t>Increase ≥ 5 cm on flexion</w:t>
            </w:r>
          </w:p>
        </w:tc>
        <w:tc>
          <w:tcPr>
            <w:tcW w:type="dxa" w:w="1512"/>
            <w:vAlign w:val="top"/>
          </w:tcPr>
          <w:p>
            <w:pPr>
              <w:spacing w:after="40" w:before="0" w:line="259" w:lineRule="auto"/>
            </w:pPr>
            <w:r>
              <w:rPr>
                <w:rFonts w:ascii="Calibri" w:hAnsi="Calibri"/>
                <w:b w:val="0"/>
                <w:i w:val="0"/>
                <w:color w:val="212121"/>
                <w:sz w:val="19"/>
              </w:rPr>
              <w:t>Increase &lt; 5 cm</w:t>
            </w:r>
          </w:p>
        </w:tc>
        <w:tc>
          <w:tcPr>
            <w:tcW w:type="dxa" w:w="1468"/>
            <w:vAlign w:val="top"/>
          </w:tcPr>
          <w:p>
            <w:pPr>
              <w:spacing w:after="40" w:before="0" w:line="259" w:lineRule="auto"/>
            </w:pPr>
            <w:r>
              <w:rPr>
                <w:rFonts w:ascii="Calibri" w:hAnsi="Calibri"/>
                <w:b w:val="0"/>
                <w:i w:val="0"/>
                <w:color w:val="212121"/>
                <w:sz w:val="19"/>
              </w:rPr>
              <w:t>Objective measure of restricted lumbar mobility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Sedentary patients</w:t>
            </w:r>
          </w:p>
        </w:tc>
        <w:tc>
          <w:tcPr>
            <w:tcW w:type="dxa" w:w="1512"/>
            <w:vAlign w:val="top"/>
          </w:tcPr>
          <w:p>
            <w:pPr>
              <w:spacing w:after="40" w:before="0" w:line="259" w:lineRule="auto"/>
            </w:pPr>
            <w:r>
              <w:rPr>
                <w:rFonts w:ascii="Calibri" w:hAnsi="Calibri"/>
                <w:b w:val="0"/>
                <w:i w:val="0"/>
                <w:color w:val="212121"/>
                <w:sz w:val="19"/>
              </w:rPr>
              <w:t>≥ 150 min/week + daily mobility work</w:t>
            </w:r>
          </w:p>
        </w:tc>
        <w:tc>
          <w:tcPr>
            <w:tcW w:type="dxa" w:w="1512"/>
            <w:vAlign w:val="top"/>
          </w:tcPr>
          <w:p>
            <w:pPr>
              <w:spacing w:after="40" w:before="0" w:line="259" w:lineRule="auto"/>
            </w:pPr>
            <w:r>
              <w:rPr>
                <w:rFonts w:ascii="Calibri" w:hAnsi="Calibri"/>
                <w:b w:val="0"/>
                <w:i w:val="0"/>
                <w:color w:val="212121"/>
                <w:sz w:val="19"/>
              </w:rPr>
              <w:t>&lt; 150 min/week / prolonged sitting</w:t>
            </w:r>
          </w:p>
        </w:tc>
        <w:tc>
          <w:tcPr>
            <w:tcW w:type="dxa" w:w="1468"/>
            <w:vAlign w:val="top"/>
          </w:tcPr>
          <w:p>
            <w:pPr>
              <w:spacing w:after="40" w:before="0" w:line="259" w:lineRule="auto"/>
            </w:pPr>
            <w:r>
              <w:rPr>
                <w:rFonts w:ascii="Calibri" w:hAnsi="Calibri"/>
                <w:b w:val="0"/>
                <w:i w:val="0"/>
                <w:color w:val="212121"/>
                <w:sz w:val="19"/>
              </w:rPr>
              <w:t>Inactivity worsens stiffness and deconditioning</w:t>
            </w:r>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Occiput-to-wall distance</w:t>
            </w:r>
          </w:p>
        </w:tc>
        <w:tc>
          <w:tcPr>
            <w:tcW w:type="dxa" w:w="1655"/>
            <w:vAlign w:val="top"/>
          </w:tcPr>
          <w:p>
            <w:pPr>
              <w:spacing w:after="40" w:before="0" w:line="259" w:lineRule="auto"/>
            </w:pPr>
            <w:r>
              <w:rPr>
                <w:rFonts w:ascii="Calibri" w:hAnsi="Calibri"/>
                <w:b w:val="0"/>
                <w:i w:val="0"/>
                <w:color w:val="212121"/>
                <w:sz w:val="19"/>
              </w:rPr>
              <w:t>Established / advanced AS</w:t>
            </w:r>
          </w:p>
        </w:tc>
        <w:tc>
          <w:tcPr>
            <w:tcW w:type="dxa" w:w="1512"/>
            <w:vAlign w:val="top"/>
          </w:tcPr>
          <w:p>
            <w:pPr>
              <w:spacing w:after="40" w:before="0" w:line="259" w:lineRule="auto"/>
            </w:pPr>
            <w:r>
              <w:rPr>
                <w:rFonts w:ascii="Calibri" w:hAnsi="Calibri"/>
                <w:b w:val="0"/>
                <w:i w:val="0"/>
                <w:color w:val="212121"/>
                <w:sz w:val="19"/>
              </w:rPr>
              <w:t>0 cm</w:t>
            </w:r>
          </w:p>
        </w:tc>
        <w:tc>
          <w:tcPr>
            <w:tcW w:type="dxa" w:w="1512"/>
            <w:vAlign w:val="top"/>
          </w:tcPr>
          <w:p>
            <w:pPr>
              <w:spacing w:after="40" w:before="0" w:line="259" w:lineRule="auto"/>
            </w:pPr>
            <w:r>
              <w:rPr>
                <w:rFonts w:ascii="Calibri" w:hAnsi="Calibri"/>
                <w:b w:val="0"/>
                <w:i w:val="0"/>
                <w:color w:val="212121"/>
                <w:sz w:val="19"/>
              </w:rPr>
              <w:t>&gt; 0 cm</w:t>
            </w:r>
          </w:p>
        </w:tc>
        <w:tc>
          <w:tcPr>
            <w:tcW w:type="dxa" w:w="1468"/>
            <w:vAlign w:val="top"/>
          </w:tcPr>
          <w:p>
            <w:pPr>
              <w:spacing w:after="40" w:before="0" w:line="259" w:lineRule="auto"/>
            </w:pPr>
            <w:r>
              <w:rPr>
                <w:rFonts w:ascii="Calibri" w:hAnsi="Calibri"/>
                <w:b w:val="0"/>
                <w:i w:val="0"/>
                <w:color w:val="212121"/>
                <w:sz w:val="19"/>
              </w:rPr>
              <w:t>Detects and tracks cervicothoracic kyphotic deformity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Chest expansion</w:t>
            </w:r>
          </w:p>
        </w:tc>
        <w:tc>
          <w:tcPr>
            <w:tcW w:type="dxa" w:w="1655"/>
            <w:vAlign w:val="top"/>
          </w:tcPr>
          <w:p>
            <w:pPr>
              <w:spacing w:after="40" w:before="0" w:line="259" w:lineRule="auto"/>
            </w:pPr>
            <w:r>
              <w:rPr>
                <w:rFonts w:ascii="Calibri" w:hAnsi="Calibri"/>
                <w:b w:val="0"/>
                <w:i w:val="0"/>
                <w:color w:val="212121"/>
                <w:sz w:val="19"/>
              </w:rPr>
              <w:t>Thoracic involvement</w:t>
            </w:r>
          </w:p>
        </w:tc>
        <w:tc>
          <w:tcPr>
            <w:tcW w:type="dxa" w:w="1512"/>
            <w:vAlign w:val="top"/>
          </w:tcPr>
          <w:p>
            <w:pPr>
              <w:spacing w:after="40" w:before="0" w:line="259" w:lineRule="auto"/>
            </w:pPr>
            <w:r>
              <w:rPr>
                <w:rFonts w:ascii="Calibri" w:hAnsi="Calibri"/>
                <w:b w:val="0"/>
                <w:i w:val="0"/>
                <w:color w:val="212121"/>
                <w:sz w:val="19"/>
              </w:rPr>
              <w:t>&gt; 5 cm</w:t>
            </w:r>
          </w:p>
        </w:tc>
        <w:tc>
          <w:tcPr>
            <w:tcW w:type="dxa" w:w="1512"/>
            <w:vAlign w:val="top"/>
          </w:tcPr>
          <w:p>
            <w:pPr>
              <w:spacing w:after="40" w:before="0" w:line="259" w:lineRule="auto"/>
            </w:pPr>
            <w:r>
              <w:rPr>
                <w:rFonts w:ascii="Calibri" w:hAnsi="Calibri"/>
                <w:b w:val="0"/>
                <w:i w:val="0"/>
                <w:color w:val="212121"/>
                <w:sz w:val="19"/>
              </w:rPr>
              <w:t>&lt; 2.5 cm</w:t>
            </w:r>
          </w:p>
        </w:tc>
        <w:tc>
          <w:tcPr>
            <w:tcW w:type="dxa" w:w="1468"/>
            <w:vAlign w:val="top"/>
          </w:tcPr>
          <w:p>
            <w:pPr>
              <w:spacing w:after="40" w:before="0" w:line="259" w:lineRule="auto"/>
            </w:pPr>
            <w:r>
              <w:rPr>
                <w:rFonts w:ascii="Calibri" w:hAnsi="Calibri"/>
                <w:b w:val="0"/>
                <w:i w:val="0"/>
                <w:color w:val="212121"/>
                <w:sz w:val="19"/>
              </w:rPr>
              <w:t>Reduced expansion indicates costovertebral involvement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young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accelerates radiographic progression and worsens outcomes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Patients on NSAIDs/DMARDs</w:t>
            </w:r>
          </w:p>
        </w:tc>
        <w:tc>
          <w:tcPr>
            <w:tcW w:type="dxa" w:w="1512"/>
            <w:vAlign w:val="top"/>
          </w:tcPr>
          <w:p>
            <w:pPr>
              <w:spacing w:after="40" w:before="0" w:line="259" w:lineRule="auto"/>
            </w:pPr>
            <w:r>
              <w:rPr>
                <w:rFonts w:ascii="Calibri" w:hAnsi="Calibri"/>
                <w:b w:val="0"/>
                <w:i w:val="0"/>
                <w:color w:val="212121"/>
                <w:sz w:val="19"/>
              </w:rPr>
              <w:t>≤ low-risk limits; alcohol-free days</w:t>
            </w:r>
          </w:p>
        </w:tc>
        <w:tc>
          <w:tcPr>
            <w:tcW w:type="dxa" w:w="1512"/>
            <w:vAlign w:val="top"/>
          </w:tcPr>
          <w:p>
            <w:pPr>
              <w:spacing w:after="40" w:before="0" w:line="259" w:lineRule="auto"/>
            </w:pPr>
            <w:r>
              <w:rPr>
                <w:rFonts w:ascii="Calibri" w:hAnsi="Calibri"/>
                <w:b w:val="0"/>
                <w:i w:val="0"/>
                <w:color w:val="212121"/>
                <w:sz w:val="19"/>
              </w:rPr>
              <w:t>Regular heavy intake</w:t>
            </w:r>
          </w:p>
        </w:tc>
        <w:tc>
          <w:tcPr>
            <w:tcW w:type="dxa" w:w="1468"/>
            <w:vAlign w:val="top"/>
          </w:tcPr>
          <w:p>
            <w:pPr>
              <w:spacing w:after="40" w:before="0" w:line="259" w:lineRule="auto"/>
            </w:pPr>
            <w:r>
              <w:rPr>
                <w:rFonts w:ascii="Calibri" w:hAnsi="Calibri"/>
                <w:b w:val="0"/>
                <w:i w:val="0"/>
                <w:color w:val="212121"/>
                <w:sz w:val="19"/>
              </w:rPr>
              <w:t>Aggravates osteoporosis and drug hepatotoxicity/GI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night pain</w:t>
            </w:r>
          </w:p>
        </w:tc>
        <w:tc>
          <w:tcPr>
            <w:tcW w:type="dxa" w:w="1655"/>
            <w:vAlign w:val="top"/>
          </w:tcPr>
          <w:p>
            <w:pPr>
              <w:spacing w:after="40" w:before="0" w:line="259" w:lineRule="auto"/>
            </w:pPr>
            <w:r>
              <w:rPr>
                <w:rFonts w:ascii="Calibri" w:hAnsi="Calibri"/>
                <w:b w:val="0"/>
                <w:i w:val="0"/>
                <w:color w:val="212121"/>
                <w:sz w:val="19"/>
              </w:rPr>
              <w:t>Patients with night pain</w:t>
            </w:r>
          </w:p>
        </w:tc>
        <w:tc>
          <w:tcPr>
            <w:tcW w:type="dxa" w:w="1512"/>
            <w:vAlign w:val="top"/>
          </w:tcPr>
          <w:p>
            <w:pPr>
              <w:spacing w:after="40" w:before="0" w:line="259" w:lineRule="auto"/>
            </w:pPr>
            <w:r>
              <w:rPr>
                <w:rFonts w:ascii="Calibri" w:hAnsi="Calibri"/>
                <w:b w:val="0"/>
                <w:i w:val="0"/>
                <w:color w:val="212121"/>
                <w:sz w:val="19"/>
              </w:rPr>
              <w:t>7–9 h, uninterrupted</w:t>
            </w:r>
          </w:p>
        </w:tc>
        <w:tc>
          <w:tcPr>
            <w:tcW w:type="dxa" w:w="1512"/>
            <w:vAlign w:val="top"/>
          </w:tcPr>
          <w:p>
            <w:pPr>
              <w:spacing w:after="40" w:before="0" w:line="259" w:lineRule="auto"/>
            </w:pPr>
            <w:r>
              <w:rPr>
                <w:rFonts w:ascii="Calibri" w:hAnsi="Calibri"/>
                <w:b w:val="0"/>
                <w:i w:val="0"/>
                <w:color w:val="212121"/>
                <w:sz w:val="19"/>
              </w:rPr>
              <w:t>Frequent early-morning awakening from pain</w:t>
            </w:r>
          </w:p>
        </w:tc>
        <w:tc>
          <w:tcPr>
            <w:tcW w:type="dxa" w:w="1468"/>
            <w:vAlign w:val="top"/>
          </w:tcPr>
          <w:p>
            <w:pPr>
              <w:spacing w:after="40" w:before="0" w:line="259" w:lineRule="auto"/>
            </w:pPr>
            <w:r>
              <w:rPr>
                <w:rFonts w:ascii="Calibri" w:hAnsi="Calibri"/>
                <w:b w:val="0"/>
                <w:i w:val="0"/>
                <w:color w:val="212121"/>
                <w:sz w:val="19"/>
              </w:rPr>
              <w:t>Night pain relieved by movement is a hallmark of inflammatory disease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Overweight/obese patients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40" w:before="0" w:line="259" w:lineRule="auto"/>
            </w:pPr>
            <w:r>
              <w:rPr>
                <w:rFonts w:ascii="Calibri" w:hAnsi="Calibri"/>
                <w:b w:val="0"/>
                <w:i w:val="0"/>
                <w:color w:val="212121"/>
                <w:sz w:val="19"/>
              </w:rPr>
              <w:t>Higher BMI linked to greater disease activity and poorer biologic response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C-reactive protein (CRP)</w:t>
            </w:r>
          </w:p>
        </w:tc>
        <w:tc>
          <w:tcPr>
            <w:tcW w:type="dxa" w:w="1655"/>
            <w:vAlign w:val="top"/>
          </w:tcPr>
          <w:p>
            <w:pPr>
              <w:spacing w:after="40" w:before="0" w:line="259" w:lineRule="auto"/>
            </w:pPr>
            <w:r>
              <w:rPr>
                <w:rFonts w:ascii="Calibri" w:hAnsi="Calibri"/>
                <w:b w:val="0"/>
                <w:i w:val="0"/>
                <w:color w:val="212121"/>
                <w:sz w:val="19"/>
              </w:rPr>
              <w:t>Active axSpA</w:t>
            </w:r>
          </w:p>
        </w:tc>
        <w:tc>
          <w:tcPr>
            <w:tcW w:type="dxa" w:w="1512"/>
            <w:vAlign w:val="top"/>
          </w:tcPr>
          <w:p>
            <w:pPr>
              <w:spacing w:after="40" w:before="0" w:line="259" w:lineRule="auto"/>
            </w:pPr>
            <w:r>
              <w:rPr>
                <w:rFonts w:ascii="Calibri" w:hAnsi="Calibri"/>
                <w:b w:val="0"/>
                <w:i w:val="0"/>
                <w:color w:val="212121"/>
                <w:sz w:val="19"/>
              </w:rPr>
              <w:t>&lt; 5 mg/L</w:t>
            </w:r>
          </w:p>
        </w:tc>
        <w:tc>
          <w:tcPr>
            <w:tcW w:type="dxa" w:w="1512"/>
            <w:vAlign w:val="top"/>
          </w:tcPr>
          <w:p>
            <w:pPr>
              <w:spacing w:after="40" w:before="0" w:line="259" w:lineRule="auto"/>
            </w:pPr>
            <w:r>
              <w:rPr>
                <w:rFonts w:ascii="Calibri" w:hAnsi="Calibri"/>
                <w:b w:val="0"/>
                <w:i w:val="0"/>
                <w:color w:val="212121"/>
                <w:sz w:val="19"/>
              </w:rPr>
              <w:t>≥ 5 mg/L</w:t>
            </w:r>
          </w:p>
        </w:tc>
        <w:tc>
          <w:tcPr>
            <w:tcW w:type="dxa" w:w="1468"/>
            <w:vAlign w:val="top"/>
          </w:tcPr>
          <w:p>
            <w:pPr>
              <w:spacing w:after="40" w:before="0" w:line="259" w:lineRule="auto"/>
            </w:pPr>
            <w:r>
              <w:rPr>
                <w:rFonts w:ascii="Calibri" w:hAnsi="Calibri"/>
                <w:b w:val="0"/>
                <w:i w:val="0"/>
                <w:color w:val="212121"/>
                <w:sz w:val="19"/>
              </w:rPr>
              <w:t>Marker of active inflammation; predicts radiographic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HLA-B27 status</w:t>
            </w:r>
          </w:p>
        </w:tc>
        <w:tc>
          <w:tcPr>
            <w:tcW w:type="dxa" w:w="1655"/>
            <w:vAlign w:val="top"/>
          </w:tcPr>
          <w:p>
            <w:pPr>
              <w:spacing w:after="40" w:before="0" w:line="259" w:lineRule="auto"/>
            </w:pPr>
            <w:r>
              <w:rPr>
                <w:rFonts w:ascii="Calibri" w:hAnsi="Calibri"/>
                <w:b w:val="0"/>
                <w:i w:val="0"/>
                <w:color w:val="212121"/>
                <w:sz w:val="19"/>
              </w:rPr>
              <w:t>At-risk / diagnostic work-up</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w:t>
            </w:r>
          </w:p>
        </w:tc>
        <w:tc>
          <w:tcPr>
            <w:tcW w:type="dxa" w:w="1468"/>
            <w:vAlign w:val="top"/>
          </w:tcPr>
          <w:p>
            <w:pPr>
              <w:spacing w:after="60" w:line="259" w:lineRule="auto"/>
            </w:pPr>
            <w:r>
              <w:rPr>
                <w:rFonts w:ascii="Calibri" w:hAnsi="Calibri"/>
                <w:b w:val="0"/>
                <w:i w:val="0"/>
                <w:color w:val="212121"/>
                <w:sz w:val="19"/>
              </w:rPr>
              <w:t>Positive in the great majority of Indian AS patients; supports but does not confirm diagnosis</w:t>
            </w:r>
          </w:p>
          <w:p>
            <w:pPr>
              <w:spacing w:after="40" w:line="252" w:lineRule="auto"/>
            </w:pPr>
            <w:hyperlink r:id="rId11">
              <w:r>
                <w:rPr>
                  <w:rFonts w:ascii="Calibri" w:hAnsi="Calibri" w:cs="Calibri"/>
                  <w:sz w:val="18"/>
                  <w:color w:val="1155CC"/>
                  <w:u w:val="single"/>
                </w:rPr>
                <w:t xml:space="preserve">https://ijmsweb.com/prevalence-of-hla-b27-in-the-north-indian-population-a-single-center-study/</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HLA-B27 typing</w:t>
            </w:r>
          </w:p>
        </w:tc>
        <w:tc>
          <w:tcPr>
            <w:tcW w:type="dxa" w:w="892"/>
            <w:vAlign w:val="top"/>
          </w:tcPr>
          <w:p>
            <w:pPr>
              <w:spacing w:after="40" w:before="0" w:line="259" w:lineRule="auto"/>
            </w:pPr>
            <w:r>
              <w:rPr>
                <w:rFonts w:ascii="Calibri" w:hAnsi="Calibri"/>
                <w:b w:val="0"/>
                <w:i w:val="0"/>
                <w:color w:val="212121"/>
                <w:sz w:val="16"/>
              </w:rPr>
              <w:t>HLA-B27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Positive in the great majority of Indian AS patients; strongly supports SpA in the right clinical context but is not diagnostic alone (most carriers never develop disease).</w:t>
            </w:r>
          </w:p>
        </w:tc>
        <w:tc>
          <w:tcPr>
            <w:tcW w:type="dxa" w:w="1036"/>
            <w:vAlign w:val="top"/>
          </w:tcPr>
          <w:p>
            <w:pPr>
              <w:spacing w:after="40" w:before="0" w:line="259" w:lineRule="auto"/>
            </w:pPr>
            <w:r>
              <w:rPr>
                <w:rFonts w:ascii="Calibri" w:hAnsi="Calibri"/>
                <w:b w:val="0"/>
                <w:i w:val="0"/>
                <w:color w:val="212121"/>
                <w:sz w:val="16"/>
              </w:rPr>
              <w:t>Young adults with inflammatory back pain, family history of SpA, recurrent uveitis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high</w:t>
            </w:r>
          </w:p>
        </w:tc>
        <w:tc>
          <w:tcPr>
            <w:tcW w:type="dxa" w:w="720"/>
            <w:vAlign w:val="top"/>
          </w:tcPr>
          <w:p>
            <w:pPr>
              <w:spacing w:after="40" w:before="0" w:line="259" w:lineRule="auto"/>
            </w:pPr>
            <w:r>
              <w:rPr>
                <w:rFonts w:ascii="Calibri" w:hAnsi="Calibri"/>
                <w:b w:val="0"/>
                <w:i w:val="0"/>
                <w:color w:val="212121"/>
                <w:sz w:val="16"/>
              </w:rPr>
              <w:t>Interpret with clinical and imaging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 5 mg/L</w:t>
            </w:r>
          </w:p>
        </w:tc>
        <w:tc>
          <w:tcPr>
            <w:tcW w:type="dxa" w:w="1036"/>
            <w:vAlign w:val="top"/>
          </w:tcPr>
          <w:p>
            <w:pPr>
              <w:spacing w:after="40" w:before="0" w:line="259" w:lineRule="auto"/>
            </w:pPr>
            <w:r>
              <w:rPr>
                <w:rFonts w:ascii="Calibri" w:hAnsi="Calibri"/>
                <w:b w:val="0"/>
                <w:i w:val="0"/>
                <w:color w:val="212121"/>
                <w:sz w:val="16"/>
              </w:rPr>
              <w:t>Reflects active inflammation; guides treatment escalation and predicts radiographic progression.</w:t>
            </w:r>
          </w:p>
        </w:tc>
        <w:tc>
          <w:tcPr>
            <w:tcW w:type="dxa" w:w="1036"/>
            <w:vAlign w:val="top"/>
          </w:tcPr>
          <w:p>
            <w:pPr>
              <w:spacing w:after="40" w:before="0" w:line="259" w:lineRule="auto"/>
            </w:pPr>
            <w:r>
              <w:rPr>
                <w:rFonts w:ascii="Calibri" w:hAnsi="Calibri"/>
                <w:b w:val="0"/>
                <w:i w:val="0"/>
                <w:color w:val="212121"/>
                <w:sz w:val="16"/>
              </w:rPr>
              <w:t>Active axSpA, treatment monitoring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May be normal despite clinically active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Erythrocyte sedimentation rate (ESR)</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M &lt; 15, F &lt; 20 mm/hr (age-adjusted)</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marker of systemic inflammation; complements CRP.</w:t>
            </w:r>
          </w:p>
        </w:tc>
        <w:tc>
          <w:tcPr>
            <w:tcW w:type="dxa" w:w="1036"/>
            <w:vAlign w:val="top"/>
          </w:tcPr>
          <w:p>
            <w:pPr>
              <w:spacing w:after="40" w:before="0" w:line="259" w:lineRule="auto"/>
            </w:pPr>
            <w:r>
              <w:rPr>
                <w:rFonts w:ascii="Calibri" w:hAnsi="Calibri"/>
                <w:b w:val="0"/>
                <w:i w:val="0"/>
                <w:color w:val="212121"/>
                <w:sz w:val="16"/>
              </w:rPr>
              <w:t>Active disease, monitoring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Influenced by anaemia, age and sex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Pelvic radiograph (sacroiliac joints)</w:t>
            </w:r>
          </w:p>
        </w:tc>
        <w:tc>
          <w:tcPr>
            <w:tcW w:type="dxa" w:w="892"/>
            <w:vAlign w:val="top"/>
          </w:tcPr>
          <w:p>
            <w:pPr>
              <w:spacing w:after="40" w:before="0" w:line="259" w:lineRule="auto"/>
            </w:pPr>
            <w:r>
              <w:rPr>
                <w:rFonts w:ascii="Calibri" w:hAnsi="Calibri"/>
                <w:b w:val="0"/>
                <w:i w:val="0"/>
                <w:color w:val="212121"/>
                <w:sz w:val="16"/>
              </w:rPr>
              <w:t>Sacroiliitis grading (modified New York)</w:t>
            </w:r>
          </w:p>
        </w:tc>
        <w:tc>
          <w:tcPr>
            <w:tcW w:type="dxa" w:w="950"/>
            <w:vAlign w:val="top"/>
          </w:tcPr>
          <w:p>
            <w:pPr>
              <w:spacing w:after="40" w:before="0" w:line="259" w:lineRule="auto"/>
            </w:pPr>
            <w:r>
              <w:rPr>
                <w:rFonts w:ascii="Calibri" w:hAnsi="Calibri"/>
                <w:b w:val="0"/>
                <w:i w:val="0"/>
                <w:color w:val="212121"/>
                <w:sz w:val="16"/>
              </w:rPr>
              <w:t>Grade 0 (normal)</w:t>
            </w:r>
          </w:p>
        </w:tc>
        <w:tc>
          <w:tcPr>
            <w:tcW w:type="dxa" w:w="950"/>
            <w:vAlign w:val="top"/>
          </w:tcPr>
          <w:p>
            <w:pPr>
              <w:spacing w:after="40" w:before="0" w:line="259" w:lineRule="auto"/>
            </w:pPr>
            <w:r>
              <w:rPr>
                <w:rFonts w:ascii="Calibri" w:hAnsi="Calibri"/>
                <w:b w:val="0"/>
                <w:i w:val="0"/>
                <w:color w:val="212121"/>
                <w:sz w:val="16"/>
              </w:rPr>
              <w:t>Bilateral grade ≥ 2 or unilateral grade 3–4</w:t>
            </w:r>
          </w:p>
        </w:tc>
        <w:tc>
          <w:tcPr>
            <w:tcW w:type="dxa" w:w="1036"/>
            <w:vAlign w:val="top"/>
          </w:tcPr>
          <w:p>
            <w:pPr>
              <w:spacing w:after="40" w:before="0" w:line="259" w:lineRule="auto"/>
            </w:pPr>
            <w:r>
              <w:rPr>
                <w:rFonts w:ascii="Calibri" w:hAnsi="Calibri"/>
                <w:b w:val="0"/>
                <w:i w:val="0"/>
                <w:color w:val="212121"/>
                <w:sz w:val="16"/>
              </w:rPr>
              <w:t>Defines radiographic axSpA (classical AS); demonstrates structural sacroiliac damage.</w:t>
            </w:r>
          </w:p>
        </w:tc>
        <w:tc>
          <w:tcPr>
            <w:tcW w:type="dxa" w:w="1036"/>
            <w:vAlign w:val="top"/>
          </w:tcPr>
          <w:p>
            <w:pPr>
              <w:spacing w:after="40" w:before="0" w:line="259" w:lineRule="auto"/>
            </w:pPr>
            <w:r>
              <w:rPr>
                <w:rFonts w:ascii="Calibri" w:hAnsi="Calibri"/>
                <w:b w:val="0"/>
                <w:i w:val="0"/>
                <w:color w:val="212121"/>
                <w:sz w:val="16"/>
              </w:rPr>
              <w:t>Chronic back pain, suspected established AS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 (structural)</w:t>
            </w:r>
          </w:p>
        </w:tc>
        <w:tc>
          <w:tcPr>
            <w:tcW w:type="dxa" w:w="720"/>
            <w:vAlign w:val="top"/>
          </w:tcPr>
          <w:p>
            <w:pPr>
              <w:spacing w:after="40" w:before="0" w:line="259" w:lineRule="auto"/>
            </w:pPr>
            <w:r>
              <w:rPr>
                <w:rFonts w:ascii="Calibri" w:hAnsi="Calibri"/>
                <w:b w:val="0"/>
                <w:i w:val="0"/>
                <w:color w:val="212121"/>
                <w:sz w:val="16"/>
              </w:rPr>
              <w:t>Radiographic changes may take years to appear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sacroiliac joints</w:t>
            </w:r>
          </w:p>
        </w:tc>
        <w:tc>
          <w:tcPr>
            <w:tcW w:type="dxa" w:w="892"/>
            <w:vAlign w:val="top"/>
          </w:tcPr>
          <w:p>
            <w:pPr>
              <w:spacing w:after="40" w:before="0" w:line="259" w:lineRule="auto"/>
            </w:pPr>
            <w:r>
              <w:rPr>
                <w:rFonts w:ascii="Calibri" w:hAnsi="Calibri"/>
                <w:b w:val="0"/>
                <w:i w:val="0"/>
                <w:color w:val="212121"/>
                <w:sz w:val="16"/>
              </w:rPr>
              <w:t>Active sacroiliitis (bone marrow oedema)</w:t>
            </w:r>
          </w:p>
        </w:tc>
        <w:tc>
          <w:tcPr>
            <w:tcW w:type="dxa" w:w="950"/>
            <w:vAlign w:val="top"/>
          </w:tcPr>
          <w:p>
            <w:pPr>
              <w:spacing w:after="40" w:before="0" w:line="259" w:lineRule="auto"/>
            </w:pPr>
            <w:r>
              <w:rPr>
                <w:rFonts w:ascii="Calibri" w:hAnsi="Calibri"/>
                <w:b w:val="0"/>
                <w:i w:val="0"/>
                <w:color w:val="212121"/>
                <w:sz w:val="16"/>
              </w:rPr>
              <w:t>No subchondral osteitis</w:t>
            </w:r>
          </w:p>
        </w:tc>
        <w:tc>
          <w:tcPr>
            <w:tcW w:type="dxa" w:w="950"/>
            <w:vAlign w:val="top"/>
          </w:tcPr>
          <w:p>
            <w:pPr>
              <w:spacing w:after="40" w:before="0" w:line="259" w:lineRule="auto"/>
            </w:pPr>
            <w:r>
              <w:rPr>
                <w:rFonts w:ascii="Calibri" w:hAnsi="Calibri"/>
                <w:b w:val="0"/>
                <w:i w:val="0"/>
                <w:color w:val="212121"/>
                <w:sz w:val="16"/>
              </w:rPr>
              <w:t>Bone marrow oedema on ≥ 2 slices or ≥ 2 lesions</w:t>
            </w:r>
          </w:p>
        </w:tc>
        <w:tc>
          <w:tcPr>
            <w:tcW w:type="dxa" w:w="1036"/>
            <w:vAlign w:val="top"/>
          </w:tcPr>
          <w:p>
            <w:pPr>
              <w:spacing w:after="40" w:before="0" w:line="259" w:lineRule="auto"/>
            </w:pPr>
            <w:r>
              <w:rPr>
                <w:rFonts w:ascii="Calibri" w:hAnsi="Calibri"/>
                <w:b w:val="0"/>
                <w:i w:val="0"/>
                <w:color w:val="212121"/>
                <w:sz w:val="16"/>
              </w:rPr>
              <w:t>Detects early active inflammation before X-ray damage; enables diagnosis of non-radiographic axSpA.</w:t>
            </w:r>
          </w:p>
        </w:tc>
        <w:tc>
          <w:tcPr>
            <w:tcW w:type="dxa" w:w="1036"/>
            <w:vAlign w:val="top"/>
          </w:tcPr>
          <w:p>
            <w:pPr>
              <w:spacing w:after="40" w:before="0" w:line="259" w:lineRule="auto"/>
            </w:pPr>
            <w:r>
              <w:rPr>
                <w:rFonts w:ascii="Calibri" w:hAnsi="Calibri"/>
                <w:b w:val="0"/>
                <w:i w:val="0"/>
                <w:color w:val="212121"/>
                <w:sz w:val="16"/>
              </w:rPr>
              <w:t>Early disease, X-ray-negative back pain, young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 (early)</w:t>
            </w:r>
          </w:p>
        </w:tc>
        <w:tc>
          <w:tcPr>
            <w:tcW w:type="dxa" w:w="720"/>
            <w:vAlign w:val="top"/>
          </w:tcPr>
          <w:p>
            <w:pPr>
              <w:spacing w:after="40" w:before="0" w:line="259" w:lineRule="auto"/>
            </w:pPr>
            <w:r>
              <w:rPr>
                <w:rFonts w:ascii="Calibri" w:hAnsi="Calibri"/>
                <w:b w:val="0"/>
                <w:i w:val="0"/>
                <w:color w:val="212121"/>
                <w:sz w:val="16"/>
              </w:rPr>
              <w:t>Per ASAS/OMERACT definition of active sacroiliitis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Anaemia of chronic disease / thrombocytosis</w:t>
            </w:r>
          </w:p>
        </w:tc>
        <w:tc>
          <w:tcPr>
            <w:tcW w:type="dxa" w:w="950"/>
            <w:vAlign w:val="top"/>
          </w:tcPr>
          <w:p>
            <w:pPr>
              <w:spacing w:after="40" w:before="0" w:line="259" w:lineRule="auto"/>
            </w:pPr>
            <w:r>
              <w:rPr>
                <w:rFonts w:ascii="Calibri" w:hAnsi="Calibri"/>
                <w:b w:val="0"/>
                <w:i w:val="0"/>
                <w:color w:val="212121"/>
                <w:sz w:val="16"/>
              </w:rPr>
              <w:t>Normal Hb and platelets</w:t>
            </w:r>
          </w:p>
        </w:tc>
        <w:tc>
          <w:tcPr>
            <w:tcW w:type="dxa" w:w="950"/>
            <w:vAlign w:val="top"/>
          </w:tcPr>
          <w:p>
            <w:pPr>
              <w:spacing w:after="40" w:before="0" w:line="259" w:lineRule="auto"/>
            </w:pPr>
            <w:r>
              <w:rPr>
                <w:rFonts w:ascii="Calibri" w:hAnsi="Calibri"/>
                <w:b w:val="0"/>
                <w:i w:val="0"/>
                <w:color w:val="212121"/>
                <w:sz w:val="16"/>
              </w:rPr>
              <w:t>Low Hb, raised platelets</w:t>
            </w:r>
          </w:p>
        </w:tc>
        <w:tc>
          <w:tcPr>
            <w:tcW w:type="dxa" w:w="1036"/>
            <w:vAlign w:val="top"/>
          </w:tcPr>
          <w:p>
            <w:pPr>
              <w:spacing w:after="40" w:before="0" w:line="259" w:lineRule="auto"/>
            </w:pPr>
            <w:r>
              <w:rPr>
                <w:rFonts w:ascii="Calibri" w:hAnsi="Calibri"/>
                <w:b w:val="0"/>
                <w:i w:val="0"/>
                <w:color w:val="212121"/>
                <w:sz w:val="16"/>
              </w:rPr>
              <w:t>Reflects burden of chronic systemic inflammation.</w:t>
            </w:r>
          </w:p>
        </w:tc>
        <w:tc>
          <w:tcPr>
            <w:tcW w:type="dxa" w:w="1036"/>
            <w:vAlign w:val="top"/>
          </w:tcPr>
          <w:p>
            <w:pPr>
              <w:spacing w:after="40" w:before="0" w:line="259" w:lineRule="auto"/>
            </w:pPr>
            <w:r>
              <w:rPr>
                <w:rFonts w:ascii="Calibri" w:hAnsi="Calibri"/>
                <w:b w:val="0"/>
                <w:i w:val="0"/>
                <w:color w:val="212121"/>
                <w:sz w:val="16"/>
              </w:rPr>
              <w:t>Active or long-standing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useful as a baseline before DMARD/biologic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DEXA bone mineral density</w:t>
            </w:r>
          </w:p>
        </w:tc>
        <w:tc>
          <w:tcPr>
            <w:tcW w:type="dxa" w:w="892"/>
            <w:vAlign w:val="top"/>
          </w:tcPr>
          <w:p>
            <w:pPr>
              <w:spacing w:after="40" w:before="0" w:line="259" w:lineRule="auto"/>
            </w:pPr>
            <w:r>
              <w:rPr>
                <w:rFonts w:ascii="Calibri" w:hAnsi="Calibri"/>
                <w:b w:val="0"/>
                <w:i w:val="0"/>
                <w:color w:val="212121"/>
                <w:sz w:val="16"/>
              </w:rPr>
              <w:t>T-score</w:t>
            </w:r>
          </w:p>
        </w:tc>
        <w:tc>
          <w:tcPr>
            <w:tcW w:type="dxa" w:w="950"/>
            <w:vAlign w:val="top"/>
          </w:tcPr>
          <w:p>
            <w:pPr>
              <w:spacing w:after="40" w:before="0" w:line="259" w:lineRule="auto"/>
            </w:pPr>
            <w:r>
              <w:rPr>
                <w:rFonts w:ascii="Calibri" w:hAnsi="Calibri"/>
                <w:b w:val="0"/>
                <w:i w:val="0"/>
                <w:color w:val="212121"/>
                <w:sz w:val="16"/>
              </w:rPr>
              <w:t>≥ -1.0</w:t>
            </w:r>
          </w:p>
        </w:tc>
        <w:tc>
          <w:tcPr>
            <w:tcW w:type="dxa" w:w="950"/>
            <w:vAlign w:val="top"/>
          </w:tcPr>
          <w:p>
            <w:pPr>
              <w:spacing w:after="40" w:before="0" w:line="259" w:lineRule="auto"/>
            </w:pPr>
            <w:r>
              <w:rPr>
                <w:rFonts w:ascii="Calibri" w:hAnsi="Calibri"/>
                <w:b w:val="0"/>
                <w:i w:val="0"/>
                <w:color w:val="212121"/>
                <w:sz w:val="16"/>
              </w:rPr>
              <w:t>≤ -2.5 (osteoporosis)</w:t>
            </w:r>
          </w:p>
        </w:tc>
        <w:tc>
          <w:tcPr>
            <w:tcW w:type="dxa" w:w="1036"/>
            <w:vAlign w:val="top"/>
          </w:tcPr>
          <w:p>
            <w:pPr>
              <w:spacing w:after="40" w:before="0" w:line="259" w:lineRule="auto"/>
            </w:pPr>
            <w:r>
              <w:rPr>
                <w:rFonts w:ascii="Calibri" w:hAnsi="Calibri"/>
                <w:b w:val="0"/>
                <w:i w:val="0"/>
                <w:color w:val="212121"/>
                <w:sz w:val="16"/>
              </w:rPr>
              <w:t>Screens for AS-associated osteoporosis and future fracture risk.</w:t>
            </w:r>
          </w:p>
        </w:tc>
        <w:tc>
          <w:tcPr>
            <w:tcW w:type="dxa" w:w="1036"/>
            <w:vAlign w:val="top"/>
          </w:tcPr>
          <w:p>
            <w:pPr>
              <w:spacing w:after="40" w:before="0" w:line="259" w:lineRule="auto"/>
            </w:pPr>
            <w:r>
              <w:rPr>
                <w:rFonts w:ascii="Calibri" w:hAnsi="Calibri"/>
                <w:b w:val="0"/>
                <w:i w:val="0"/>
                <w:color w:val="212121"/>
                <w:sz w:val="16"/>
              </w:rPr>
              <w:t>Long-standing AS, post-menopausal patients, immobile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Complication screening</w:t>
            </w:r>
          </w:p>
        </w:tc>
        <w:tc>
          <w:tcPr>
            <w:tcW w:type="dxa" w:w="720"/>
            <w:vAlign w:val="top"/>
          </w:tcPr>
          <w:p>
            <w:pPr>
              <w:spacing w:after="40" w:before="0" w:line="259" w:lineRule="auto"/>
            </w:pPr>
            <w:r>
              <w:rPr>
                <w:rFonts w:ascii="Calibri" w:hAnsi="Calibri"/>
                <w:b w:val="0"/>
                <w:i w:val="0"/>
                <w:color w:val="212121"/>
                <w:sz w:val="16"/>
              </w:rPr>
              <w:t>Spinal DEXA can be falsely high with syndesmophytes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Rheumatoid factor &amp; ANA</w:t>
            </w:r>
          </w:p>
        </w:tc>
        <w:tc>
          <w:tcPr>
            <w:tcW w:type="dxa" w:w="892"/>
            <w:vAlign w:val="top"/>
          </w:tcPr>
          <w:p>
            <w:pPr>
              <w:spacing w:after="40" w:before="0" w:line="259" w:lineRule="auto"/>
            </w:pPr>
            <w:r>
              <w:rPr>
                <w:rFonts w:ascii="Calibri" w:hAnsi="Calibri"/>
                <w:b w:val="0"/>
                <w:i w:val="0"/>
                <w:color w:val="212121"/>
                <w:sz w:val="16"/>
              </w:rPr>
              <w:t>Autoantibodies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w:t>
            </w:r>
          </w:p>
        </w:tc>
        <w:tc>
          <w:tcPr>
            <w:tcW w:type="dxa" w:w="1036"/>
            <w:vAlign w:val="top"/>
          </w:tcPr>
          <w:p>
            <w:pPr>
              <w:spacing w:after="40" w:before="0" w:line="259" w:lineRule="auto"/>
            </w:pPr>
            <w:r>
              <w:rPr>
                <w:rFonts w:ascii="Calibri" w:hAnsi="Calibri"/>
                <w:b w:val="0"/>
                <w:i w:val="0"/>
                <w:color w:val="212121"/>
                <w:sz w:val="16"/>
              </w:rPr>
              <w:t>Typically negative (seronegative arthritis); helps exclude rheumatoid arthritis.</w:t>
            </w:r>
          </w:p>
        </w:tc>
        <w:tc>
          <w:tcPr>
            <w:tcW w:type="dxa" w:w="1036"/>
            <w:vAlign w:val="top"/>
          </w:tcPr>
          <w:p>
            <w:pPr>
              <w:spacing w:after="40" w:before="0" w:line="259" w:lineRule="auto"/>
            </w:pPr>
            <w:r>
              <w:rPr>
                <w:rFonts w:ascii="Calibri" w:hAnsi="Calibri"/>
                <w:b w:val="0"/>
                <w:i w:val="0"/>
                <w:color w:val="212121"/>
                <w:sz w:val="16"/>
              </w:rPr>
              <w:t>Differential diagnosis of inflammatory arthritis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Positive result should prompt reconsideration of diagnosis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Inflammatory back pain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4 of: onset &lt; 40, insidious, improves with exercise, no improvement with rest, night pain</w:t>
            </w:r>
          </w:p>
        </w:tc>
        <w:tc>
          <w:tcPr>
            <w:tcW w:type="dxa" w:w="1036"/>
            <w:vAlign w:val="top"/>
          </w:tcPr>
          <w:p>
            <w:pPr>
              <w:spacing w:after="40" w:before="0" w:line="259" w:lineRule="auto"/>
            </w:pPr>
            <w:r>
              <w:rPr>
                <w:rFonts w:ascii="Calibri" w:hAnsi="Calibri"/>
                <w:b w:val="0"/>
                <w:i w:val="0"/>
                <w:color w:val="212121"/>
                <w:sz w:val="16"/>
              </w:rPr>
              <w:t>Distinguishes inflammatory from mechanical back pain and is the core entry feature for ASAS criteria.</w:t>
            </w:r>
          </w:p>
        </w:tc>
        <w:tc>
          <w:tcPr>
            <w:tcW w:type="dxa" w:w="1036"/>
            <w:vAlign w:val="top"/>
          </w:tcPr>
          <w:p>
            <w:pPr>
              <w:spacing w:after="40" w:before="0" w:line="259" w:lineRule="auto"/>
            </w:pPr>
            <w:r>
              <w:rPr>
                <w:rFonts w:ascii="Calibri" w:hAnsi="Calibri"/>
                <w:b w:val="0"/>
                <w:i w:val="0"/>
                <w:color w:val="212121"/>
                <w:sz w:val="16"/>
              </w:rPr>
              <w:t>Young adults with chronic back pain (&gt; 3 months)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Back pain beginning after 45 makes axSpA unlikely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Personal &amp; family SpA history</w:t>
            </w:r>
          </w:p>
        </w:tc>
        <w:tc>
          <w:tcPr>
            <w:tcW w:type="dxa" w:w="979"/>
            <w:vAlign w:val="top"/>
          </w:tcPr>
          <w:p>
            <w:pPr>
              <w:spacing w:after="40" w:before="0" w:line="259" w:lineRule="auto"/>
            </w:pPr>
            <w:r>
              <w:rPr>
                <w:rFonts w:ascii="Calibri" w:hAnsi="Calibri"/>
                <w:b w:val="0"/>
                <w:i w:val="0"/>
                <w:color w:val="212121"/>
                <w:sz w:val="16"/>
              </w:rPr>
              <w:t>HLA-B27 relatives, prior uveitis, psoriasis, IBD, dactylitis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SpA features that raise pre-test probability and satisfy ASAS clinical-arm criteria.</w:t>
            </w:r>
          </w:p>
        </w:tc>
        <w:tc>
          <w:tcPr>
            <w:tcW w:type="dxa" w:w="1036"/>
            <w:vAlign w:val="top"/>
          </w:tcPr>
          <w:p>
            <w:pPr>
              <w:spacing w:after="40" w:before="0" w:line="259" w:lineRule="auto"/>
            </w:pPr>
            <w:r>
              <w:rPr>
                <w:rFonts w:ascii="Calibri" w:hAnsi="Calibri"/>
                <w:b w:val="0"/>
                <w:i w:val="0"/>
                <w:color w:val="212121"/>
                <w:sz w:val="16"/>
              </w:rPr>
              <w:t>First-degree relatives of SpA patients, patients with red-eye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Ask specifically about eye, skin and gut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Modified Schober's test</w:t>
            </w:r>
          </w:p>
        </w:tc>
        <w:tc>
          <w:tcPr>
            <w:tcW w:type="dxa" w:w="979"/>
            <w:vAlign w:val="top"/>
          </w:tcPr>
          <w:p>
            <w:pPr>
              <w:spacing w:after="40" w:before="0" w:line="259" w:lineRule="auto"/>
            </w:pPr>
            <w:r>
              <w:rPr>
                <w:rFonts w:ascii="Calibri" w:hAnsi="Calibri"/>
                <w:b w:val="0"/>
                <w:i w:val="0"/>
                <w:color w:val="212121"/>
                <w:sz w:val="16"/>
              </w:rPr>
              <w:t>Lumbar flexion</w:t>
            </w:r>
          </w:p>
        </w:tc>
        <w:tc>
          <w:tcPr>
            <w:tcW w:type="dxa" w:w="950"/>
            <w:vAlign w:val="top"/>
          </w:tcPr>
          <w:p>
            <w:pPr>
              <w:spacing w:after="40" w:before="0" w:line="259" w:lineRule="auto"/>
            </w:pPr>
            <w:r>
              <w:rPr>
                <w:rFonts w:ascii="Calibri" w:hAnsi="Calibri"/>
                <w:b w:val="0"/>
                <w:i w:val="0"/>
                <w:color w:val="212121"/>
                <w:sz w:val="16"/>
              </w:rPr>
              <w:t>Increase ≥ 5 cm</w:t>
            </w:r>
          </w:p>
        </w:tc>
        <w:tc>
          <w:tcPr>
            <w:tcW w:type="dxa" w:w="950"/>
            <w:vAlign w:val="top"/>
          </w:tcPr>
          <w:p>
            <w:pPr>
              <w:spacing w:after="40" w:before="0" w:line="259" w:lineRule="auto"/>
            </w:pPr>
            <w:r>
              <w:rPr>
                <w:rFonts w:ascii="Calibri" w:hAnsi="Calibri"/>
                <w:b w:val="0"/>
                <w:i w:val="0"/>
                <w:color w:val="212121"/>
                <w:sz w:val="16"/>
              </w:rPr>
              <w:t>Increase &lt; 5 cm</w:t>
            </w:r>
          </w:p>
        </w:tc>
        <w:tc>
          <w:tcPr>
            <w:tcW w:type="dxa" w:w="1036"/>
            <w:vAlign w:val="top"/>
          </w:tcPr>
          <w:p>
            <w:pPr>
              <w:spacing w:after="40" w:before="0" w:line="259" w:lineRule="auto"/>
            </w:pPr>
            <w:r>
              <w:rPr>
                <w:rFonts w:ascii="Calibri" w:hAnsi="Calibri"/>
                <w:b w:val="0"/>
                <w:i w:val="0"/>
                <w:color w:val="212121"/>
                <w:sz w:val="16"/>
              </w:rPr>
              <w:t>Objective measure of restricted lumbar spine mobility.</w:t>
            </w:r>
          </w:p>
        </w:tc>
        <w:tc>
          <w:tcPr>
            <w:tcW w:type="dxa" w:w="1036"/>
            <w:vAlign w:val="top"/>
          </w:tcPr>
          <w:p>
            <w:pPr>
              <w:spacing w:after="40" w:before="0" w:line="259" w:lineRule="auto"/>
            </w:pPr>
            <w:r>
              <w:rPr>
                <w:rFonts w:ascii="Calibri" w:hAnsi="Calibri"/>
                <w:b w:val="0"/>
                <w:i w:val="0"/>
                <w:color w:val="212121"/>
                <w:sz w:val="16"/>
              </w:rPr>
              <w:t>Patients with axial stiffness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Track serially to gauge progression and treatment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Chest expansion</w:t>
            </w:r>
          </w:p>
        </w:tc>
        <w:tc>
          <w:tcPr>
            <w:tcW w:type="dxa" w:w="979"/>
            <w:vAlign w:val="top"/>
          </w:tcPr>
          <w:p>
            <w:pPr>
              <w:spacing w:after="40" w:before="0" w:line="259" w:lineRule="auto"/>
            </w:pPr>
            <w:r>
              <w:rPr>
                <w:rFonts w:ascii="Calibri" w:hAnsi="Calibri"/>
                <w:b w:val="0"/>
                <w:i w:val="0"/>
                <w:color w:val="212121"/>
                <w:sz w:val="16"/>
              </w:rPr>
              <w:t>Costovertebral mobility</w:t>
            </w:r>
          </w:p>
        </w:tc>
        <w:tc>
          <w:tcPr>
            <w:tcW w:type="dxa" w:w="950"/>
            <w:vAlign w:val="top"/>
          </w:tcPr>
          <w:p>
            <w:pPr>
              <w:spacing w:after="40" w:before="0" w:line="259" w:lineRule="auto"/>
            </w:pPr>
            <w:r>
              <w:rPr>
                <w:rFonts w:ascii="Calibri" w:hAnsi="Calibri"/>
                <w:b w:val="0"/>
                <w:i w:val="0"/>
                <w:color w:val="212121"/>
                <w:sz w:val="16"/>
              </w:rPr>
              <w:t>&gt; 5 cm</w:t>
            </w:r>
          </w:p>
        </w:tc>
        <w:tc>
          <w:tcPr>
            <w:tcW w:type="dxa" w:w="950"/>
            <w:vAlign w:val="top"/>
          </w:tcPr>
          <w:p>
            <w:pPr>
              <w:spacing w:after="40" w:before="0" w:line="259" w:lineRule="auto"/>
            </w:pPr>
            <w:r>
              <w:rPr>
                <w:rFonts w:ascii="Calibri" w:hAnsi="Calibri"/>
                <w:b w:val="0"/>
                <w:i w:val="0"/>
                <w:color w:val="212121"/>
                <w:sz w:val="16"/>
              </w:rPr>
              <w:t>&lt; 2.5 cm</w:t>
            </w:r>
          </w:p>
        </w:tc>
        <w:tc>
          <w:tcPr>
            <w:tcW w:type="dxa" w:w="1036"/>
            <w:vAlign w:val="top"/>
          </w:tcPr>
          <w:p>
            <w:pPr>
              <w:spacing w:after="40" w:before="0" w:line="259" w:lineRule="auto"/>
            </w:pPr>
            <w:r>
              <w:rPr>
                <w:rFonts w:ascii="Calibri" w:hAnsi="Calibri"/>
                <w:b w:val="0"/>
                <w:i w:val="0"/>
                <w:color w:val="212121"/>
                <w:sz w:val="16"/>
              </w:rPr>
              <w:t>Reduced expansion indicates thoracic/costovertebral involvement.</w:t>
            </w:r>
          </w:p>
        </w:tc>
        <w:tc>
          <w:tcPr>
            <w:tcW w:type="dxa" w:w="1036"/>
            <w:vAlign w:val="top"/>
          </w:tcPr>
          <w:p>
            <w:pPr>
              <w:spacing w:after="40" w:before="0" w:line="259" w:lineRule="auto"/>
            </w:pPr>
            <w:r>
              <w:rPr>
                <w:rFonts w:ascii="Calibri" w:hAnsi="Calibri"/>
                <w:b w:val="0"/>
                <w:i w:val="0"/>
                <w:color w:val="212121"/>
                <w:sz w:val="16"/>
              </w:rPr>
              <w:t>Patients with chest-wall pain or breathlessness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Measured at the 4th intercostal space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Occiput/tragus-to-wall distance</w:t>
            </w:r>
          </w:p>
        </w:tc>
        <w:tc>
          <w:tcPr>
            <w:tcW w:type="dxa" w:w="979"/>
            <w:vAlign w:val="top"/>
          </w:tcPr>
          <w:p>
            <w:pPr>
              <w:spacing w:after="40" w:before="0" w:line="259" w:lineRule="auto"/>
            </w:pPr>
            <w:r>
              <w:rPr>
                <w:rFonts w:ascii="Calibri" w:hAnsi="Calibri"/>
                <w:b w:val="0"/>
                <w:i w:val="0"/>
                <w:color w:val="212121"/>
                <w:sz w:val="16"/>
              </w:rPr>
              <w:t>Cervicothoracic posture</w:t>
            </w:r>
          </w:p>
        </w:tc>
        <w:tc>
          <w:tcPr>
            <w:tcW w:type="dxa" w:w="950"/>
            <w:vAlign w:val="top"/>
          </w:tcPr>
          <w:p>
            <w:pPr>
              <w:spacing w:after="40" w:before="0" w:line="259" w:lineRule="auto"/>
            </w:pPr>
            <w:r>
              <w:rPr>
                <w:rFonts w:ascii="Calibri" w:hAnsi="Calibri"/>
                <w:b w:val="0"/>
                <w:i w:val="0"/>
                <w:color w:val="212121"/>
                <w:sz w:val="16"/>
              </w:rPr>
              <w:t>0 cm</w:t>
            </w:r>
          </w:p>
        </w:tc>
        <w:tc>
          <w:tcPr>
            <w:tcW w:type="dxa" w:w="950"/>
            <w:vAlign w:val="top"/>
          </w:tcPr>
          <w:p>
            <w:pPr>
              <w:spacing w:after="40" w:before="0" w:line="259" w:lineRule="auto"/>
            </w:pPr>
            <w:r>
              <w:rPr>
                <w:rFonts w:ascii="Calibri" w:hAnsi="Calibri"/>
                <w:b w:val="0"/>
                <w:i w:val="0"/>
                <w:color w:val="212121"/>
                <w:sz w:val="16"/>
              </w:rPr>
              <w:t>&gt; 0 cm</w:t>
            </w:r>
          </w:p>
        </w:tc>
        <w:tc>
          <w:tcPr>
            <w:tcW w:type="dxa" w:w="1036"/>
            <w:vAlign w:val="top"/>
          </w:tcPr>
          <w:p>
            <w:pPr>
              <w:spacing w:after="40" w:before="0" w:line="259" w:lineRule="auto"/>
            </w:pPr>
            <w:r>
              <w:rPr>
                <w:rFonts w:ascii="Calibri" w:hAnsi="Calibri"/>
                <w:b w:val="0"/>
                <w:i w:val="0"/>
                <w:color w:val="212121"/>
                <w:sz w:val="16"/>
              </w:rPr>
              <w:t>Detects and quantifies fixed kyphotic deformity.</w:t>
            </w:r>
          </w:p>
        </w:tc>
        <w:tc>
          <w:tcPr>
            <w:tcW w:type="dxa" w:w="1036"/>
            <w:vAlign w:val="top"/>
          </w:tcPr>
          <w:p>
            <w:pPr>
              <w:spacing w:after="40" w:before="0" w:line="259" w:lineRule="auto"/>
            </w:pPr>
            <w:r>
              <w:rPr>
                <w:rFonts w:ascii="Calibri" w:hAnsi="Calibri"/>
                <w:b w:val="0"/>
                <w:i w:val="0"/>
                <w:color w:val="212121"/>
                <w:sz w:val="16"/>
              </w:rPr>
              <w:t>Established / advanced AS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Monitoring / prognostic</w:t>
            </w:r>
          </w:p>
        </w:tc>
        <w:tc>
          <w:tcPr>
            <w:tcW w:type="dxa" w:w="720"/>
            <w:vAlign w:val="top"/>
          </w:tcPr>
          <w:p>
            <w:pPr>
              <w:spacing w:after="40" w:before="0" w:line="259" w:lineRule="auto"/>
            </w:pPr>
            <w:r>
              <w:rPr>
                <w:rFonts w:ascii="Calibri" w:hAnsi="Calibri"/>
                <w:b w:val="0"/>
                <w:i w:val="0"/>
                <w:color w:val="212121"/>
                <w:sz w:val="16"/>
              </w:rPr>
              <w:t>Increasing distance signals worsening deformity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Enthesitis assessment (MASES)</w:t>
            </w:r>
          </w:p>
        </w:tc>
        <w:tc>
          <w:tcPr>
            <w:tcW w:type="dxa" w:w="979"/>
            <w:vAlign w:val="top"/>
          </w:tcPr>
          <w:p>
            <w:pPr>
              <w:spacing w:after="40" w:before="0" w:line="259" w:lineRule="auto"/>
            </w:pPr>
            <w:r>
              <w:rPr>
                <w:rFonts w:ascii="Calibri" w:hAnsi="Calibri"/>
                <w:b w:val="0"/>
                <w:i w:val="0"/>
                <w:color w:val="212121"/>
                <w:sz w:val="16"/>
              </w:rPr>
              <w:t>Tender entheses (heel, iliac crest, etc.)</w:t>
            </w:r>
          </w:p>
        </w:tc>
        <w:tc>
          <w:tcPr>
            <w:tcW w:type="dxa" w:w="950"/>
            <w:vAlign w:val="top"/>
          </w:tcPr>
          <w:p>
            <w:pPr>
              <w:spacing w:after="40" w:before="0" w:line="259" w:lineRule="auto"/>
            </w:pPr>
            <w:r>
              <w:rPr>
                <w:rFonts w:ascii="Calibri" w:hAnsi="Calibri"/>
                <w:b w:val="0"/>
                <w:i w:val="0"/>
                <w:color w:val="212121"/>
                <w:sz w:val="16"/>
              </w:rPr>
              <w:t>No tenderness</w:t>
            </w:r>
          </w:p>
        </w:tc>
        <w:tc>
          <w:tcPr>
            <w:tcW w:type="dxa" w:w="950"/>
            <w:vAlign w:val="top"/>
          </w:tcPr>
          <w:p>
            <w:pPr>
              <w:spacing w:after="40" w:before="0" w:line="259" w:lineRule="auto"/>
            </w:pPr>
            <w:r>
              <w:rPr>
                <w:rFonts w:ascii="Calibri" w:hAnsi="Calibri"/>
                <w:b w:val="0"/>
                <w:i w:val="0"/>
                <w:color w:val="212121"/>
                <w:sz w:val="16"/>
              </w:rPr>
              <w:t>≥ 1 tender enthesis</w:t>
            </w:r>
          </w:p>
        </w:tc>
        <w:tc>
          <w:tcPr>
            <w:tcW w:type="dxa" w:w="1036"/>
            <w:vAlign w:val="top"/>
          </w:tcPr>
          <w:p>
            <w:pPr>
              <w:spacing w:after="40" w:before="0" w:line="259" w:lineRule="auto"/>
            </w:pPr>
            <w:r>
              <w:rPr>
                <w:rFonts w:ascii="Calibri" w:hAnsi="Calibri"/>
                <w:b w:val="0"/>
                <w:i w:val="0"/>
                <w:color w:val="212121"/>
                <w:sz w:val="16"/>
              </w:rPr>
              <w:t>Documents enthesitis burden, a defining lesion of spondyloarthritis.</w:t>
            </w:r>
          </w:p>
        </w:tc>
        <w:tc>
          <w:tcPr>
            <w:tcW w:type="dxa" w:w="1036"/>
            <w:vAlign w:val="top"/>
          </w:tcPr>
          <w:p>
            <w:pPr>
              <w:spacing w:after="40" w:before="0" w:line="259" w:lineRule="auto"/>
            </w:pPr>
            <w:r>
              <w:rPr>
                <w:rFonts w:ascii="Calibri" w:hAnsi="Calibri"/>
                <w:b w:val="0"/>
                <w:i w:val="0"/>
                <w:color w:val="212121"/>
                <w:sz w:val="16"/>
              </w:rPr>
              <w:t>Patients with heel or insertional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Achilles and plantar fascia most often involved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Sacroiliac provocation (FABER/Patrick)</w:t>
            </w:r>
          </w:p>
        </w:tc>
        <w:tc>
          <w:tcPr>
            <w:tcW w:type="dxa" w:w="979"/>
            <w:vAlign w:val="top"/>
          </w:tcPr>
          <w:p>
            <w:pPr>
              <w:spacing w:after="40" w:before="0" w:line="259" w:lineRule="auto"/>
            </w:pPr>
            <w:r>
              <w:rPr>
                <w:rFonts w:ascii="Calibri" w:hAnsi="Calibri"/>
                <w:b w:val="0"/>
                <w:i w:val="0"/>
                <w:color w:val="212121"/>
                <w:sz w:val="16"/>
              </w:rPr>
              <w:t>SI joint pain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(reproduces buttock pain)</w:t>
            </w:r>
          </w:p>
        </w:tc>
        <w:tc>
          <w:tcPr>
            <w:tcW w:type="dxa" w:w="1036"/>
            <w:vAlign w:val="top"/>
          </w:tcPr>
          <w:p>
            <w:pPr>
              <w:spacing w:after="40" w:before="0" w:line="259" w:lineRule="auto"/>
            </w:pPr>
            <w:r>
              <w:rPr>
                <w:rFonts w:ascii="Calibri" w:hAnsi="Calibri"/>
                <w:b w:val="0"/>
                <w:i w:val="0"/>
                <w:color w:val="212121"/>
                <w:sz w:val="16"/>
              </w:rPr>
              <w:t>Suggests active sacroiliitis at the bedside.</w:t>
            </w:r>
          </w:p>
        </w:tc>
        <w:tc>
          <w:tcPr>
            <w:tcW w:type="dxa" w:w="1036"/>
            <w:vAlign w:val="top"/>
          </w:tcPr>
          <w:p>
            <w:pPr>
              <w:spacing w:after="40" w:before="0" w:line="259" w:lineRule="auto"/>
            </w:pPr>
            <w:r>
              <w:rPr>
                <w:rFonts w:ascii="Calibri" w:hAnsi="Calibri"/>
                <w:b w:val="0"/>
                <w:i w:val="0"/>
                <w:color w:val="212121"/>
                <w:sz w:val="16"/>
              </w:rPr>
              <w:t>Patients with alternating buttock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Combine several SI stress tests to improve reliability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low back &amp; buttock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Insidious inflammatory back pain lasting &gt; 3 months, characteristically beginning before age 45.</w:t>
            </w:r>
          </w:p>
        </w:tc>
      </w:tr>
      <w:tr>
        <w:trPr>
          <w:cantSplit/>
        </w:trPr>
        <w:tc>
          <w:tcPr>
            <w:tcW w:type="dxa" w:w="2304"/>
            <w:vAlign w:val="top"/>
          </w:tcPr>
          <w:p>
            <w:pPr>
              <w:spacing w:after="40" w:before="0" w:line="259" w:lineRule="auto"/>
            </w:pPr>
            <w:r>
              <w:rPr>
                <w:rFonts w:ascii="Calibri" w:hAnsi="Calibri"/>
                <w:b/>
                <w:i w:val="0"/>
                <w:color w:val="212121"/>
                <w:sz w:val="19"/>
              </w:rPr>
              <w:t>Early-morning stiffness &gt; 30 minutes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Prolonged spinal stiffness on waking that eases with movement through the day.</w:t>
            </w:r>
          </w:p>
        </w:tc>
      </w:tr>
      <w:tr>
        <w:trPr>
          <w:cantSplit/>
        </w:trPr>
        <w:tc>
          <w:tcPr>
            <w:tcW w:type="dxa" w:w="2304"/>
            <w:vAlign w:val="top"/>
          </w:tcPr>
          <w:p>
            <w:pPr>
              <w:spacing w:after="40" w:before="0" w:line="259" w:lineRule="auto"/>
            </w:pPr>
            <w:r>
              <w:rPr>
                <w:rFonts w:ascii="Calibri" w:hAnsi="Calibri"/>
                <w:b/>
                <w:i w:val="0"/>
                <w:color w:val="212121"/>
                <w:sz w:val="19"/>
              </w:rPr>
              <w:t>Alternating buttock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sacroiliac joint inflammation, shifting from one side to the other.</w:t>
            </w:r>
          </w:p>
        </w:tc>
      </w:tr>
      <w:tr>
        <w:trPr>
          <w:cantSplit/>
        </w:trPr>
        <w:tc>
          <w:tcPr>
            <w:tcW w:type="dxa" w:w="2304"/>
            <w:vAlign w:val="top"/>
          </w:tcPr>
          <w:p>
            <w:pPr>
              <w:spacing w:after="40" w:before="0" w:line="259" w:lineRule="auto"/>
            </w:pPr>
            <w:r>
              <w:rPr>
                <w:rFonts w:ascii="Calibri" w:hAnsi="Calibri"/>
                <w:b/>
                <w:i w:val="0"/>
                <w:color w:val="212121"/>
                <w:sz w:val="19"/>
              </w:rPr>
              <w:t>Pain improving with exercise, not rest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distinguishing inflammatory from mechanical back pain.</w:t>
            </w:r>
          </w:p>
        </w:tc>
      </w:tr>
      <w:tr>
        <w:trPr>
          <w:cantSplit/>
        </w:trPr>
        <w:tc>
          <w:tcPr>
            <w:tcW w:type="dxa" w:w="2304"/>
            <w:vAlign w:val="top"/>
          </w:tcPr>
          <w:p>
            <w:pPr>
              <w:spacing w:after="40" w:before="0" w:line="259" w:lineRule="auto"/>
            </w:pPr>
            <w:r>
              <w:rPr>
                <w:rFonts w:ascii="Calibri" w:hAnsi="Calibri"/>
                <w:b/>
                <w:i w:val="0"/>
                <w:color w:val="212121"/>
                <w:sz w:val="19"/>
              </w:rPr>
              <w:t>Night pain (second half of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Awakening in the early hours with pain that forces the patient to get up and move.</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systemic feature of active inflammation and disturbed sleep.</w:t>
            </w:r>
          </w:p>
        </w:tc>
      </w:tr>
      <w:tr>
        <w:trPr>
          <w:cantSplit/>
        </w:trPr>
        <w:tc>
          <w:tcPr>
            <w:tcW w:type="dxa" w:w="2304"/>
            <w:vAlign w:val="top"/>
          </w:tcPr>
          <w:p>
            <w:pPr>
              <w:spacing w:after="40" w:before="0" w:line="259" w:lineRule="auto"/>
            </w:pPr>
            <w:r>
              <w:rPr>
                <w:rFonts w:ascii="Calibri" w:hAnsi="Calibri"/>
                <w:b/>
                <w:i w:val="0"/>
                <w:color w:val="212121"/>
                <w:sz w:val="19"/>
              </w:rPr>
              <w:t>Heel / insertional pain (enthesitis)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Achilles or plantar-fascia insertional pain from enthesitis.</w:t>
            </w:r>
          </w:p>
        </w:tc>
      </w:tr>
      <w:tr>
        <w:trPr>
          <w:cantSplit/>
        </w:trPr>
        <w:tc>
          <w:tcPr>
            <w:tcW w:type="dxa" w:w="2304"/>
            <w:vAlign w:val="top"/>
          </w:tcPr>
          <w:p>
            <w:pPr>
              <w:spacing w:after="40" w:before="0" w:line="259" w:lineRule="auto"/>
            </w:pPr>
            <w:r>
              <w:rPr>
                <w:rFonts w:ascii="Calibri" w:hAnsi="Calibri"/>
                <w:b/>
                <w:i w:val="0"/>
                <w:color w:val="212121"/>
                <w:sz w:val="19"/>
              </w:rPr>
              <w:t>Reduced spinal mobility /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difficulty bending, turning and looking up as the spine stiffens.</w:t>
            </w:r>
          </w:p>
        </w:tc>
      </w:tr>
      <w:tr>
        <w:trPr>
          <w:cantSplit/>
        </w:trPr>
        <w:tc>
          <w:tcPr>
            <w:tcW w:type="dxa" w:w="2304"/>
            <w:vAlign w:val="top"/>
          </w:tcPr>
          <w:p>
            <w:pPr>
              <w:spacing w:after="40" w:before="0" w:line="259" w:lineRule="auto"/>
            </w:pPr>
            <w:r>
              <w:rPr>
                <w:rFonts w:ascii="Calibri" w:hAnsi="Calibri"/>
                <w:b/>
                <w:i w:val="0"/>
                <w:color w:val="212121"/>
                <w:sz w:val="19"/>
              </w:rPr>
              <w:t>Peripheral joint pain &amp;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Asymmetric large-joint (hip, knee, shoulder) arthritis; hip involvement carries a worse prognosis.</w:t>
            </w:r>
          </w:p>
        </w:tc>
      </w:tr>
      <w:tr>
        <w:trPr>
          <w:cantSplit/>
        </w:trPr>
        <w:tc>
          <w:tcPr>
            <w:tcW w:type="dxa" w:w="2304"/>
            <w:vAlign w:val="top"/>
          </w:tcPr>
          <w:p>
            <w:pPr>
              <w:spacing w:after="40" w:before="0" w:line="259" w:lineRule="auto"/>
            </w:pPr>
            <w:r>
              <w:rPr>
                <w:rFonts w:ascii="Calibri" w:hAnsi="Calibri"/>
                <w:b/>
                <w:i w:val="0"/>
                <w:color w:val="212121"/>
                <w:sz w:val="19"/>
              </w:rPr>
              <w:t>Dactylitis (‘sausage’ digit)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Diffuse swelling of an entire finger or toe.</w:t>
            </w:r>
          </w:p>
        </w:tc>
      </w:tr>
      <w:tr>
        <w:trPr>
          <w:cantSplit/>
        </w:trPr>
        <w:tc>
          <w:tcPr>
            <w:tcW w:type="dxa" w:w="2304"/>
            <w:vAlign w:val="top"/>
          </w:tcPr>
          <w:p>
            <w:pPr>
              <w:spacing w:after="40" w:before="0" w:line="259" w:lineRule="auto"/>
            </w:pPr>
            <w:r>
              <w:rPr>
                <w:rFonts w:ascii="Calibri" w:hAnsi="Calibri"/>
                <w:b/>
                <w:i w:val="0"/>
                <w:color w:val="212121"/>
                <w:sz w:val="19"/>
              </w:rPr>
              <w:t>Eye pain, redness &amp; photophobia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acute anterior uveitis — needs urgent ophthalmology review.</w:t>
            </w:r>
          </w:p>
        </w:tc>
      </w:tr>
      <w:tr>
        <w:trPr>
          <w:cantSplit/>
        </w:trPr>
        <w:tc>
          <w:tcPr>
            <w:tcW w:type="dxa" w:w="2304"/>
            <w:vAlign w:val="top"/>
          </w:tcPr>
          <w:p>
            <w:pPr>
              <w:spacing w:after="40" w:before="0" w:line="259" w:lineRule="auto"/>
            </w:pPr>
            <w:r>
              <w:rPr>
                <w:rFonts w:ascii="Calibri" w:hAnsi="Calibri"/>
                <w:b/>
                <w:i w:val="0"/>
                <w:color w:val="212121"/>
                <w:sz w:val="19"/>
              </w:rPr>
              <w:t>Chest/rib pain &amp; exertional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costovertebral/costosternal enthesitis and reduced chest expansion.</w:t>
            </w:r>
          </w:p>
        </w:tc>
      </w:tr>
      <w:tr>
        <w:trPr>
          <w:cantSplit/>
        </w:trPr>
        <w:tc>
          <w:tcPr>
            <w:tcW w:type="dxa" w:w="2304"/>
            <w:vAlign w:val="top"/>
          </w:tcPr>
          <w:p>
            <w:pPr>
              <w:spacing w:after="40" w:before="0" w:line="259" w:lineRule="auto"/>
            </w:pPr>
            <w:r>
              <w:rPr>
                <w:rFonts w:ascii="Calibri" w:hAnsi="Calibri"/>
                <w:b/>
                <w:i w:val="0"/>
                <w:color w:val="212121"/>
                <w:sz w:val="19"/>
              </w:rPr>
              <w:t>Chronic diarrhoea or rectal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associated inflammatory bowel disease.</w:t>
            </w:r>
          </w:p>
        </w:tc>
      </w:tr>
      <w:tr>
        <w:trPr>
          <w:cantSplit/>
        </w:trPr>
        <w:tc>
          <w:tcPr>
            <w:tcW w:type="dxa" w:w="2304"/>
            <w:vAlign w:val="top"/>
          </w:tcPr>
          <w:p>
            <w:pPr>
              <w:spacing w:after="40" w:before="0" w:line="259" w:lineRule="auto"/>
            </w:pPr>
            <w:r>
              <w:rPr>
                <w:rFonts w:ascii="Calibri" w:hAnsi="Calibri"/>
                <w:b/>
                <w:i w:val="0"/>
                <w:color w:val="212121"/>
                <w:sz w:val="19"/>
              </w:rPr>
              <w:t>Weight loss &amp; low-grade fever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Constitutional features of a high systemic inflammatory burden.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modified Schober's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Lumbar flexion increase &lt; 5 cm indicates restricted spinal mobility.</w:t>
            </w:r>
          </w:p>
        </w:tc>
      </w:tr>
      <w:tr>
        <w:trPr>
          <w:cantSplit/>
        </w:trPr>
        <w:tc>
          <w:tcPr>
            <w:tcW w:type="dxa" w:w="3456"/>
            <w:vAlign w:val="top"/>
          </w:tcPr>
          <w:p>
            <w:pPr>
              <w:spacing w:after="40" w:before="0" w:line="259" w:lineRule="auto"/>
            </w:pPr>
            <w:r>
              <w:rPr>
                <w:rFonts w:ascii="Calibri" w:hAnsi="Calibri"/>
                <w:b/>
                <w:i w:val="0"/>
                <w:color w:val="212121"/>
                <w:sz w:val="19"/>
              </w:rPr>
              <w:t>Reduced chest expansion (&lt; 2.5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Measured at the 4th intercostal space; reflects costovertebral involvement.</w:t>
            </w:r>
          </w:p>
        </w:tc>
      </w:tr>
      <w:tr>
        <w:trPr>
          <w:cantSplit/>
        </w:trPr>
        <w:tc>
          <w:tcPr>
            <w:tcW w:type="dxa" w:w="3456"/>
            <w:vAlign w:val="top"/>
          </w:tcPr>
          <w:p>
            <w:pPr>
              <w:spacing w:after="40" w:before="0" w:line="259" w:lineRule="auto"/>
            </w:pPr>
            <w:r>
              <w:rPr>
                <w:rFonts w:ascii="Calibri" w:hAnsi="Calibri"/>
                <w:b/>
                <w:i w:val="0"/>
                <w:color w:val="212121"/>
                <w:sz w:val="19"/>
              </w:rPr>
              <w:t>Sacroiliac tenderness / positive FABER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direct SI pressure or Patrick's (FABER) manoeuvre.</w:t>
            </w:r>
          </w:p>
        </w:tc>
      </w:tr>
      <w:tr>
        <w:trPr>
          <w:cantSplit/>
        </w:trPr>
        <w:tc>
          <w:tcPr>
            <w:tcW w:type="dxa" w:w="3456"/>
            <w:vAlign w:val="top"/>
          </w:tcPr>
          <w:p>
            <w:pPr>
              <w:spacing w:after="40" w:before="0" w:line="259" w:lineRule="auto"/>
            </w:pPr>
            <w:r>
              <w:rPr>
                <w:rFonts w:ascii="Calibri" w:hAnsi="Calibri"/>
                <w:b/>
                <w:i w:val="0"/>
                <w:color w:val="212121"/>
                <w:sz w:val="19"/>
              </w:rPr>
              <w:t>Loss of lumbar lordosis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Flattening of the normal lumbar curve early in axial disease.</w:t>
            </w:r>
          </w:p>
        </w:tc>
      </w:tr>
      <w:tr>
        <w:trPr>
          <w:cantSplit/>
        </w:trPr>
        <w:tc>
          <w:tcPr>
            <w:tcW w:type="dxa" w:w="3456"/>
            <w:vAlign w:val="top"/>
          </w:tcPr>
          <w:p>
            <w:pPr>
              <w:spacing w:after="40" w:before="0" w:line="259" w:lineRule="auto"/>
            </w:pPr>
            <w:r>
              <w:rPr>
                <w:rFonts w:ascii="Calibri" w:hAnsi="Calibri"/>
                <w:b/>
                <w:i w:val="0"/>
                <w:color w:val="212121"/>
                <w:sz w:val="19"/>
              </w:rPr>
              <w:t>Enthesitis (Achilles/plantar tenderness,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sometimes swollen tendon and ligament insertions.</w:t>
            </w:r>
          </w:p>
        </w:tc>
      </w:tr>
      <w:tr>
        <w:trPr>
          <w:cantSplit/>
        </w:trPr>
        <w:tc>
          <w:tcPr>
            <w:tcW w:type="dxa" w:w="3456"/>
            <w:vAlign w:val="top"/>
          </w:tcPr>
          <w:p>
            <w:pPr>
              <w:spacing w:after="40" w:before="0" w:line="259" w:lineRule="auto"/>
            </w:pPr>
            <w:r>
              <w:rPr>
                <w:rFonts w:ascii="Calibri" w:hAnsi="Calibri"/>
                <w:b/>
                <w:i w:val="0"/>
                <w:color w:val="212121"/>
                <w:sz w:val="19"/>
              </w:rPr>
              <w:t>Increased occiput-to-wall distance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Inability to touch the occiput to the wall (heels against wall) signals cervicothoracic kyphosis.</w:t>
            </w:r>
          </w:p>
        </w:tc>
      </w:tr>
      <w:tr>
        <w:trPr>
          <w:cantSplit/>
        </w:trPr>
        <w:tc>
          <w:tcPr>
            <w:tcW w:type="dxa" w:w="3456"/>
            <w:vAlign w:val="top"/>
          </w:tcPr>
          <w:p>
            <w:pPr>
              <w:spacing w:after="40" w:before="0" w:line="259" w:lineRule="auto"/>
            </w:pPr>
            <w:r>
              <w:rPr>
                <w:rFonts w:ascii="Calibri" w:hAnsi="Calibri"/>
                <w:b/>
                <w:i w:val="0"/>
                <w:color w:val="212121"/>
                <w:sz w:val="19"/>
              </w:rPr>
              <w:t>Thoracic hyperkyphosis (‘question-mark’ posture)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Stooped, forward-flexed posture of advanced, fused disease.</w:t>
            </w:r>
          </w:p>
        </w:tc>
      </w:tr>
      <w:tr>
        <w:trPr>
          <w:cantSplit/>
        </w:trPr>
        <w:tc>
          <w:tcPr>
            <w:tcW w:type="dxa" w:w="3456"/>
            <w:vAlign w:val="top"/>
          </w:tcPr>
          <w:p>
            <w:pPr>
              <w:spacing w:after="40" w:before="0" w:line="259" w:lineRule="auto"/>
            </w:pPr>
            <w:r>
              <w:rPr>
                <w:rFonts w:ascii="Calibri" w:hAnsi="Calibri"/>
                <w:b/>
                <w:i w:val="0"/>
                <w:color w:val="212121"/>
                <w:sz w:val="19"/>
              </w:rPr>
              <w:t>Restricted cervical rotation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neck rotation and lateral flexion as the cervical spine fuses.</w:t>
            </w:r>
          </w:p>
        </w:tc>
      </w:tr>
      <w:tr>
        <w:trPr>
          <w:cantSplit/>
        </w:trPr>
        <w:tc>
          <w:tcPr>
            <w:tcW w:type="dxa" w:w="3456"/>
            <w:vAlign w:val="top"/>
          </w:tcPr>
          <w:p>
            <w:pPr>
              <w:spacing w:after="40" w:before="0" w:line="259" w:lineRule="auto"/>
            </w:pPr>
            <w:r>
              <w:rPr>
                <w:rFonts w:ascii="Calibri" w:hAnsi="Calibri"/>
                <w:b/>
                <w:i w:val="0"/>
                <w:color w:val="212121"/>
                <w:sz w:val="19"/>
              </w:rPr>
              <w:t>Peripheral synovitis (hip/knee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swollen, warm large joint on examination.</w:t>
            </w:r>
          </w:p>
        </w:tc>
      </w:tr>
      <w:tr>
        <w:trPr>
          <w:cantSplit/>
        </w:trPr>
        <w:tc>
          <w:tcPr>
            <w:tcW w:type="dxa" w:w="3456"/>
            <w:vAlign w:val="top"/>
          </w:tcPr>
          <w:p>
            <w:pPr>
              <w:spacing w:after="40" w:before="0" w:line="259" w:lineRule="auto"/>
            </w:pPr>
            <w:r>
              <w:rPr>
                <w:rFonts w:ascii="Calibri" w:hAnsi="Calibri"/>
                <w:b/>
                <w:i w:val="0"/>
                <w:color w:val="212121"/>
                <w:sz w:val="19"/>
              </w:rPr>
              <w:t>Anterior uveitis signs (ciliary flush, small irregular pupil, hypopyon)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painful eye with slit-lamp evidence of anterior chamber inflammation.</w:t>
            </w:r>
          </w:p>
        </w:tc>
      </w:tr>
      <w:tr>
        <w:trPr>
          <w:cantSplit/>
        </w:trPr>
        <w:tc>
          <w:tcPr>
            <w:tcW w:type="dxa" w:w="3456"/>
            <w:vAlign w:val="top"/>
          </w:tcPr>
          <w:p>
            <w:pPr>
              <w:spacing w:after="40" w:before="0" w:line="259" w:lineRule="auto"/>
            </w:pPr>
            <w:r>
              <w:rPr>
                <w:rFonts w:ascii="Calibri" w:hAnsi="Calibri"/>
                <w:b/>
                <w:i w:val="0"/>
                <w:color w:val="212121"/>
                <w:sz w:val="19"/>
              </w:rPr>
              <w:t>Bamboo spine on radiograph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Bridging vertical syndesmophytes with vertebral squaring — late radiographic hallmark.</w:t>
            </w:r>
          </w:p>
        </w:tc>
      </w:tr>
      <w:tr>
        <w:trPr>
          <w:cantSplit/>
        </w:trPr>
        <w:tc>
          <w:tcPr>
            <w:tcW w:type="dxa" w:w="3456"/>
            <w:vAlign w:val="top"/>
          </w:tcPr>
          <w:p>
            <w:pPr>
              <w:spacing w:after="40" w:before="0" w:line="259" w:lineRule="auto"/>
            </w:pPr>
            <w:r>
              <w:rPr>
                <w:rFonts w:ascii="Calibri" w:hAnsi="Calibri"/>
                <w:b/>
                <w:i w:val="0"/>
                <w:color w:val="212121"/>
                <w:sz w:val="19"/>
              </w:rPr>
              <w:t>Early diastolic murmur of aortic regurgitation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aortic-root inflammation in long-standing disease; may accompany conduction defects.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sacroiliitis and spondylitis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Enthesitis (Achilles, plantar fascia, chest wall)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anterior uveitis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arthritis (especially 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systemic inflammation with fatigue</w:t>
            </w:r>
          </w:p>
        </w:tc>
        <w:tc>
          <w:tcPr>
            <w:tcW w:type="dxa" w:w="2980"/>
            <w:vAlign w:val="top"/>
          </w:tcPr>
          <w:p>
            <w:pPr>
              <w:spacing w:after="40" w:before="0" w:line="259" w:lineRule="auto"/>
            </w:pPr>
            <w:r>
              <w:rPr>
                <w:rFonts w:ascii="Calibri" w:hAnsi="Calibri"/>
                <w:b w:val="0"/>
                <w:i w:val="0"/>
                <w:color w:val="212121"/>
                <w:sz w:val="19"/>
              </w:rPr>
              <w:t>Direct consequences of ongoing HLA-B27–linked, IL-23/IL-17–driven entheseal and joint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Syndesmophytes and progressive spinal ankylosis (‘bamboo spine’)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thoracic kyphosis and postural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with increased vertebral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 lung disease and apical pulmonary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involvement: aortitis, aortic regurgitation, conduction abnormalities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Inflammatory bowel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atherosclerotic cardiovascular disease</w:t>
            </w:r>
          </w:p>
        </w:tc>
        <w:tc>
          <w:tcPr>
            <w:tcW w:type="dxa" w:w="2980"/>
            <w:vAlign w:val="top"/>
          </w:tcPr>
          <w:p>
            <w:pPr>
              <w:spacing w:after="40" w:before="0" w:line="259" w:lineRule="auto"/>
            </w:pPr>
            <w:r>
              <w:rPr>
                <w:rFonts w:ascii="Calibri" w:hAnsi="Calibri"/>
                <w:b w:val="0"/>
                <w:i w:val="0"/>
                <w:color w:val="212121"/>
                <w:sz w:val="19"/>
              </w:rPr>
              <w:t>Result from chronic inflammation, structural fusion, immobility and shared systemic pathology over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spinal deformity with severe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spine fracture and spinal-cord injury (even after minor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Cauda equina syndrome (chronic, from dural ectasia)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Visual impairment from recurrent/complicated uveitis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 with renal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disability and reduced quality of life</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uncontrolled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anterior uveitis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extra-articular manifestation; HLA-B27 (especially B*27:05) predisposes, and recurrent attacks can threaten vision.</w:t>
            </w:r>
          </w:p>
          <w:p>
            <w:pPr>
              <w:spacing w:after="40" w:before="0" w:line="259" w:lineRule="auto"/>
            </w:pPr>
            <w:r>
              <w:rPr>
                <w:rFonts w:ascii="Calibri" w:hAnsi="Calibri"/>
                <w:b/>
                <w:i w:val="0"/>
                <w:color w:val="212121"/>
                <w:sz w:val="19"/>
              </w:rPr>
              <w:t>Up to 30–40% over the disease course</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 ulcerative colitis)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gut–joint IL-23/IL-17 biology; subclinical gut inflammation is common and guides drug choice (e.g. avoid certain agents).</w:t>
            </w:r>
          </w:p>
          <w:p>
            <w:pPr>
              <w:spacing w:after="40" w:before="0" w:line="259" w:lineRule="auto"/>
            </w:pPr>
            <w:r>
              <w:rPr>
                <w:rFonts w:ascii="Calibri" w:hAnsi="Calibri"/>
                <w:b/>
                <w:i w:val="0"/>
                <w:color w:val="212121"/>
                <w:sz w:val="19"/>
              </w:rPr>
              <w:t>~5–10% clinical IBD</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the SpA spectrum; co-existing psoriasis marks psoriatic-type disease and influences biologic selection.</w:t>
            </w:r>
          </w:p>
          <w:p>
            <w:pPr>
              <w:spacing w:after="40" w:before="0" w:line="259" w:lineRule="auto"/>
            </w:pPr>
            <w:r>
              <w:rPr>
                <w:rFonts w:ascii="Calibri" w:hAnsi="Calibri"/>
                <w:b/>
                <w:i w:val="0"/>
                <w:color w:val="212121"/>
                <w:sz w:val="19"/>
              </w:rPr>
              <w:t>~10%</w:t>
            </w:r>
          </w:p>
        </w:tc>
      </w:tr>
      <w:tr>
        <w:trPr>
          <w:cantSplit/>
        </w:trPr>
        <w:tc>
          <w:tcPr>
            <w:tcW w:type="dxa" w:w="2232"/>
            <w:vAlign w:val="top"/>
          </w:tcPr>
          <w:p>
            <w:pPr>
              <w:spacing w:after="40" w:before="0" w:line="259" w:lineRule="auto"/>
            </w:pPr>
            <w:r>
              <w:rPr>
                <w:rFonts w:ascii="Calibri" w:hAnsi="Calibri"/>
                <w:b/>
                <w:i w:val="0"/>
                <w:color w:val="212121"/>
                <w:sz w:val="19"/>
              </w:rPr>
              <w:t>Osteoporosis &amp; vertebral fracture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and immobility reduce bone density; a fused, brittle spine fractures easily, sometimes with cord injury.</w:t>
            </w:r>
          </w:p>
        </w:tc>
      </w:tr>
      <w:tr>
        <w:trPr>
          <w:cantSplit/>
        </w:trPr>
        <w:tc>
          <w:tcPr>
            <w:tcW w:type="dxa" w:w="2232"/>
            <w:vAlign w:val="top"/>
          </w:tcPr>
          <w:p>
            <w:pPr>
              <w:spacing w:after="40" w:before="0" w:line="259" w:lineRule="auto"/>
            </w:pPr>
            <w:r>
              <w:rPr>
                <w:rFonts w:ascii="Calibri" w:hAnsi="Calibri"/>
                <w:b/>
                <w:i w:val="0"/>
                <w:color w:val="212121"/>
                <w:sz w:val="19"/>
              </w:rPr>
              <w:t>Cardiovascular disease (aortitis, aortic regurgitation, conduction defects, ischaemic heart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Aortic-root inflammation and accelerated atherosclerosis from chronic systemic inflammation raise cardiovascular risk.</w:t>
            </w:r>
          </w:p>
        </w:tc>
      </w:tr>
      <w:tr>
        <w:trPr>
          <w:cantSplit/>
        </w:trPr>
        <w:tc>
          <w:tcPr>
            <w:tcW w:type="dxa" w:w="2232"/>
            <w:vAlign w:val="top"/>
          </w:tcPr>
          <w:p>
            <w:pPr>
              <w:spacing w:after="40" w:before="0" w:line="259" w:lineRule="auto"/>
            </w:pPr>
            <w:r>
              <w:rPr>
                <w:rFonts w:ascii="Calibri" w:hAnsi="Calibri"/>
                <w:b/>
                <w:i w:val="0"/>
                <w:color w:val="212121"/>
                <w:sz w:val="19"/>
              </w:rPr>
              <w:t>Restrictive lung disease / apical pulmonary fibrosis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Costovertebral fusion limits chest expansion and, rarely, apical fibrobullous change develops.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fatigue and disability drive mood disorder, which bidirectionally worsens perceived disease activity and function.</w:t>
            </w:r>
          </w:p>
        </w:tc>
      </w:tr>
      <w:tr>
        <w:trPr>
          <w:cantSplit/>
        </w:trPr>
        <w:tc>
          <w:tcPr>
            <w:tcW w:type="dxa" w:w="2232"/>
            <w:vAlign w:val="top"/>
          </w:tcPr>
          <w:p>
            <w:pPr>
              <w:spacing w:after="40" w:before="0" w:line="259" w:lineRule="auto"/>
            </w:pPr>
            <w:r>
              <w:rPr>
                <w:rFonts w:ascii="Calibri" w:hAnsi="Calibri"/>
                <w:b/>
                <w:i w:val="0"/>
                <w:color w:val="212121"/>
                <w:sz w:val="19"/>
              </w:rPr>
              <w:t>Fibromyalgia / chronic widespread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and inflates disease-activity scores (e.g. BASDAI), complicating assessment of true inflammation.</w:t>
            </w:r>
          </w:p>
        </w:tc>
      </w:tr>
      <w:tr>
        <w:trPr>
          <w:cantSplit/>
        </w:trPr>
        <w:tc>
          <w:tcPr>
            <w:tcW w:type="dxa" w:w="2232"/>
            <w:vAlign w:val="top"/>
          </w:tcPr>
          <w:p>
            <w:pPr>
              <w:spacing w:after="40" w:before="0" w:line="259" w:lineRule="auto"/>
            </w:pPr>
            <w:r>
              <w:rPr>
                <w:rFonts w:ascii="Calibri" w:hAnsi="Calibri"/>
                <w:b/>
                <w:i w:val="0"/>
                <w:color w:val="212121"/>
                <w:sz w:val="19"/>
              </w:rPr>
              <w:t>Secondary (AA) amyloidosis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uncontrolled inflammation can deposit amyloid, causing proteinuria and renal failure.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AS back pain is inflammatory: it is worst with rest and in the early morning and improves with movement — so staying active, not resting, is part of the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rheumatology assessment early for chronic back pain that begins before age 45, to avoid the typical multi-year diagnostic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promptly report red-flag extra-articular symptoms: a painful red eye (uveitis), chronic diarrhoea or rectal bleeding (IBD), and skin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posture, daily spinal-extension exercises, and safe sleeping positions (firm mattress, thin pillow, short periods lying flat or prone).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monitoring of disease activity (BASDAI), spinal mobility, and bone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medications (NSAIDs, DMARDs, biologics), adherence, and infection precautions while on immunosuppressive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inflammatory 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axSpA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HLA-B27-positive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AS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physiotherapist-guided exercise programme — the cornerstone non-drug treatment of 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spinal-mobility and stretching exercises (extension, rotation, lateral flexion) to preserve range of motion.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deep-breathing and chest-expansion exercises to maintain thoracic mobility and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aerobic exercise — swimming is ideal as it combines mobility, posture and fitness without heavy axial loading.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posture training and back-extensor/core strengthening to counter kyphotic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immobility and high-impact or contact sports that risk spinal injury in a fused spine.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axSpA / 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spinal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early kyphosis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 150 minutes/week of moderate activity plus daily flexibility work to preserve mobility and a healthy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frequent movement breaks and avoid long uninterrupted sitting at desks or during travel.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body weight in the healthy range to reduce disease activity and cardiovascular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Desk-bound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anti-inflammatory diet rich in vegetables, fruit, whole grains/millets, pulses and omega-3 sources (fish, flaxseed).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(dairy, fortified foods, safe sun exposure, supplementation if deficient) to protect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excess sugar and saturated fat, which promote inflammation, obesity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higher BMI is linked to greater disease activity and poorer response to biologic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at risk of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a firm mattress with a thin pillow, and spend short periods lying flat or prone to discourage spinal flexion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night pain and early-morning stiffness (appropriately timed NSAID/therapy and gentle pre-sleep stretches) to improve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to reduce fatigue and pain amplification.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night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early kyphosis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tobacco is linked to earlier onset, higher disease activity, faster spinal fusion and poorer treatment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pharmacotherapy)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further raises the respiratory and cardiovascular risk already elevated in AS.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axSpA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progressive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biologics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lowers bone density and compounds AS-related osteoporosis and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with NSAIDs (gastrointestinal bleeding) and with methotrexate/leflunomide (liver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national low-risk limits and include several alcohol-free days each week.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NSAIDs/DMARDs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at risk of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in chronic pain and bidirectionally worsen disease activity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pain-coping strategies, cognitive behavioural therapy, relaxation and peer/support groups to reduce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disturbance and fatigue as an integral part of holistic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continued social and occupational participation, with workplace ergonomic adjustments.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functional limitation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thritis-india.com/ankylosing-spondylitis.html" TargetMode="External"/><Relationship Id="rId10" Type="http://schemas.openxmlformats.org/officeDocument/2006/relationships/hyperlink" Target="https://journalajbgmb.com/index.php/AJBGMB/article/view/408" TargetMode="External"/><Relationship Id="rId11" Type="http://schemas.openxmlformats.org/officeDocument/2006/relationships/hyperlink" Target="https://ijmsweb.com/prevalence-of-hla-b27-in-the-north-indian-population-a-single-center-study/" TargetMode="External"/><Relationship Id="rId12" Type="http://schemas.openxmlformats.org/officeDocument/2006/relationships/hyperlink" Target="https://pubmed.ncbi.nlm.nih.gov/33773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