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Takayasu Arteritis</w:t>
      </w:r>
    </w:p>
    <w:p>
      <w:pPr>
        <w:spacing w:before="0" w:after="160"/>
      </w:pPr>
      <w:r>
        <w:rPr>
          <w:rFonts w:ascii="Calibri" w:hAnsi="Calibri"/>
          <w:b/>
          <w:i w:val="0"/>
          <w:color w:val="212121"/>
          <w:sz w:val="22"/>
        </w:rPr>
        <w:t xml:space="preserve">AKA </w:t>
      </w:r>
      <w:r>
        <w:rPr>
          <w:rFonts w:ascii="Calibri" w:hAnsi="Calibri"/>
          <w:b w:val="0"/>
          <w:i w:val="0"/>
          <w:color w:val="212121"/>
          <w:sz w:val="22"/>
        </w:rPr>
        <w:t>i.e., Pulseless disease, Aortic arch syndrome, Non-specific aortoarteritis, Occlusive thromboaortopathy, Martorell syndrome, Young female arteritis (TA)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Takayasu arteritis (TA) is a chronic, idiopathic, granulomatous large-vessel vasculitis that involves the aorta, its major branches and the pulmonary arteries. Transmural inflammation causes fibrous thickening of the arterial wall, producing stenosis, occlusion, dilatation or aneurysm, which in turn leads to limb claudication, absent or diminished pulses (“pulseless disease”), vascular bruits and — very commonly in India — renovascular hypertension. It characteristically affects young women under 40 years of age.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Takayasu arteritis is rare in absolute terms — reported prevalence is roughly 1–9 per 100,000 (about 8–40 per million) with an annual incidence near 1–3 per million — but India carries one of the heaviest burdens worldwide, alongside Japan, China, South-East Asia and Mexico. In India it is a leading cause of renovascular hypertension and mid-aortic syndrome in people under 40; Indian cohorts are among the largest reported globally (a single multicentre Indian study described 602 patients), show a less marked female predominance than Japan, and have frequent abdominal-aortic and renal-artery involvement, so that hypertension is the commonest presenting feature.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single confirmatory test. Classification uses the American College of Rheumatology (ACR) 1990 criteria (≥ 3 of the 6 below give ~90.5% sensitivity and ~97.8% specificity), supported by cross-sectional imaging; India-specific tools such as the Sharma modified Ishikawa criteria (developed at PGIMER, Chandigarh) and the Indian Takayasu Clinical Activity Score (ITAS2010) are also widely used: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Age at disease onset ≤ 40 years — development of symptoms or findings attributable to Takayasu arteritis at age 40 or younger;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Claudication of the extremities — development and worsening of fatigue or discomfort in one or more limbs on use, especially the upper limbs;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Decreased brachial artery pulse — diminished pulsation in one or both brachial arteries;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Blood-pressure difference &gt; 10 mmHg — difference of more than 10 mmHg in systolic blood pressure between the two arms;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Bruit over the subclavian arteries or abdominal aorta — audible on auscultation;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Arteriographic abnormality — narrowing or occlusion of the aorta, its primary branches or large proximal-limb arteries, not due to atherosclerosis or fibromuscular dysplasia (usually focal or segmental).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Confirmation and staging now rely on cross-sectional imaging — CT angiography (standard for staging), MR angiography (radiation-free for young women and serial monitoring), Doppler ultrasound (the circumferential “macaroni sign”) and 18F-FDG PET-CT for active vessel-wall inflammation.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Anatomically, Takayasu arteritis is classified by the Numano/Hata (1994 Tokyo) angiographic system according to which segments of the aorta and its branches are involved; clinically it also evolves through an early systemic (“pre-pulseless”) inflammatory phase and a later chronic (“pulseless”) occlusive phase:</w:t>
      </w:r>
    </w:p>
    <w:p>
      <w:pPr>
        <w:spacing w:before="0" w:after="80"/>
      </w:pPr>
      <w:r>
        <w:rPr>
          <w:rFonts w:ascii="Calibri" w:hAnsi="Calibri"/>
          <w:b w:val="0"/>
          <w:i w:val="0"/>
          <w:color w:val="212121"/>
          <w:sz w:val="21"/>
        </w:rPr>
        <w:t>(1) Type I — involves only the branches of the aortic arch (brachiocephalic, carotid and subclavian arteries);</w:t>
      </w:r>
    </w:p>
    <w:p>
      <w:pPr>
        <w:spacing w:before="0" w:after="80"/>
      </w:pPr>
      <w:r>
        <w:rPr>
          <w:rFonts w:ascii="Calibri" w:hAnsi="Calibri"/>
          <w:b w:val="0"/>
          <w:i w:val="0"/>
          <w:color w:val="212121"/>
          <w:sz w:val="21"/>
        </w:rPr>
        <w:t>(2) Type IIa — involves the ascending aorta, aortic arch and its branches;</w:t>
      </w:r>
    </w:p>
    <w:p>
      <w:pPr>
        <w:spacing w:before="0" w:after="80"/>
      </w:pPr>
      <w:r>
        <w:rPr>
          <w:rFonts w:ascii="Calibri" w:hAnsi="Calibri"/>
          <w:b w:val="0"/>
          <w:i w:val="0"/>
          <w:color w:val="212121"/>
          <w:sz w:val="21"/>
        </w:rPr>
        <w:t>(3) Type IIb — the Type IIa territory plus the thoracic descending aorta;</w:t>
      </w:r>
    </w:p>
    <w:p>
      <w:pPr>
        <w:spacing w:before="0" w:after="80"/>
      </w:pPr>
      <w:r>
        <w:rPr>
          <w:rFonts w:ascii="Calibri" w:hAnsi="Calibri"/>
          <w:b w:val="0"/>
          <w:i w:val="0"/>
          <w:color w:val="212121"/>
          <w:sz w:val="21"/>
        </w:rPr>
        <w:t>(4) Type III — involves the thoracic descending aorta, abdominal aorta and/or renal arteries, sparing the arch;</w:t>
      </w:r>
    </w:p>
    <w:p>
      <w:pPr>
        <w:spacing w:before="0" w:after="80"/>
      </w:pPr>
      <w:r>
        <w:rPr>
          <w:rFonts w:ascii="Calibri" w:hAnsi="Calibri"/>
          <w:b w:val="0"/>
          <w:i w:val="0"/>
          <w:color w:val="212121"/>
          <w:sz w:val="21"/>
        </w:rPr>
        <w:t>(5) Type IV — confined to the abdominal aorta and/or renal arteries;</w:t>
      </w:r>
    </w:p>
    <w:p>
      <w:pPr>
        <w:spacing w:before="0" w:after="80"/>
      </w:pPr>
      <w:r>
        <w:rPr>
          <w:rFonts w:ascii="Calibri" w:hAnsi="Calibri"/>
          <w:b w:val="0"/>
          <w:i w:val="0"/>
          <w:color w:val="212121"/>
          <w:sz w:val="21"/>
        </w:rPr>
        <w:t>(6) Type V — a combination of Types IIb and IV, i.e. the most extensive, generalised disease. Type V is the commonest pattern overall, and abdominal-aortic / renal-artery (Type IV–V) involvement is especially frequent in Indian patients, explaining their high rate of renovascular hypertension. Coronary (C+) or pulmonary (P+) artery involvement is added as a suffix.</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Autoimmune, cell-mediated inflammation: CD4+ and CD8+ T cells and γδ T cells drive granuloma formation and release matrix metalloproteinases, producing transmural arterial inflammation, elastic-fibre degradation and fibrosis.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Strong association with HLA-B52 and, in genome-wide studies, with IL12B and FCGR2A/3A polymorphisms; familial clustering is described.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Female sex and hormonal factors: A marked female predominance (up to ~9:1 in Japan, less pronounced in India) and clustering of onset in the reproductive years point to a hormonal contribution.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Asian / Indian ethnicity: A disproportionately high burden in India, Japan, China, South-East Asia and Mexico suggests a gene–environment interaction.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Infection / mycobacterial hypothesis: In TB-endemic India, a long-debated association with Mycobacterium tuberculosis (proposed molecular mimicry via the 65-kDa heat-shock protein) has been reported, though causation is unproven.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Dysregulated cytokines: IL-6, IL-17, TNF-α and pentraxin-3 are up-regulated and correlate with disease activity.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(2nd–4th decade)</w:t>
            </w:r>
          </w:p>
        </w:tc>
        <w:tc>
          <w:tcPr>
            <w:tcW w:type="dxa" w:w="4276"/>
            <w:vAlign w:val="top"/>
          </w:tcPr>
          <w:p>
            <w:pPr>
              <w:spacing w:after="60" w:line="259" w:lineRule="auto"/>
            </w:pPr>
            <w:r>
              <w:rPr>
                <w:rFonts w:ascii="Calibri" w:hAnsi="Calibri"/>
                <w:b w:val="0"/>
                <w:i w:val="0"/>
                <w:color w:val="212121"/>
                <w:sz w:val="19"/>
              </w:rPr>
              <w:t>Takayasu arteritis characteristically begins in adolescence and early adulthood, when granulomatous large-vessel inflammation is most active. Cumulative arterial damage over the reproductive years drives stenosis, occlusion and renovascular hypertension.</w:t>
            </w:r>
          </w:p>
          <w:p>
            <w:pPr>
              <w:spacing w:after="40" w:before="60" w:line="259" w:lineRule="auto"/>
            </w:pPr>
            <w:r>
              <w:rPr>
                <w:rFonts w:ascii="Calibri" w:hAnsi="Calibri"/>
                <w:b w:val="0"/>
                <w:i w:val="0"/>
                <w:color w:val="212121"/>
                <w:sz w:val="19"/>
              </w:rPr>
              <w:t>Symptoms most often begin between about 15 and 30 years of age, with onset typically before 40.</w:t>
            </w:r>
          </w:p>
          <w:p>
            <w:pPr>
              <w:spacing w:after="40" w:line="252" w:lineRule="auto"/>
            </w:pPr>
            <w:hyperlink r:id="rId9">
              <w:r>
                <w:rPr>
                  <w:rFonts w:ascii="Calibri" w:hAnsi="Calibri" w:cs="Calibri"/>
                  <w:sz w:val="18"/>
                  <w:color w:val="1155CC"/>
                  <w:u w:val="single"/>
                </w:rPr>
                <w:t xml:space="preserve">en.wikipedia.org — Takayasu's arteritis</w:t>
              </w:r>
            </w:hyperlink>
          </w:p>
          <w:p>
            <w:pPr>
              <w:spacing w:before="60" w:after="40"/>
            </w:pPr>
            <w:r>
              <w:rPr>
                <w:rFonts w:ascii="Calibri" w:hAnsi="Calibri"/>
                <w:b w:val="0"/>
                <w:i w:val="0"/>
                <w:color w:val="5A5A5A"/>
                <w:sz w:val="18"/>
              </w:rPr>
              <w:t>#largevesselvasculitis  #youngonset  #pulselessdisease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Juvenile-onset TA is comparatively common in India and is a leading cause of secondary hypertension in children; diagnostic delay is frequent because early constitutional symptoms are non-specific.</w:t>
            </w:r>
          </w:p>
          <w:p>
            <w:pPr>
              <w:spacing w:after="40" w:before="60" w:line="259" w:lineRule="auto"/>
            </w:pPr>
            <w:r>
              <w:rPr>
                <w:rFonts w:ascii="Calibri" w:hAnsi="Calibri"/>
                <w:b w:val="0"/>
                <w:i w:val="0"/>
                <w:color w:val="212121"/>
                <w:sz w:val="19"/>
              </w:rPr>
              <w:t>In a South-Indian tertiary cohort of 40 children, median age at onset was 12.5 years and ‘pulseless’ disease was present in 62.5%, with hypertension, headache, malaise and fever the commonest presenting features.</w:t>
            </w:r>
          </w:p>
          <w:p>
            <w:pPr>
              <w:spacing w:after="40" w:line="252" w:lineRule="auto"/>
            </w:pPr>
            <w:hyperlink r:id="rId10">
              <w:r>
                <w:rPr>
                  <w:rFonts w:ascii="Calibri" w:hAnsi="Calibri" w:cs="Calibri"/>
                  <w:sz w:val="18"/>
                  <w:color w:val="1155CC"/>
                  <w:u w:val="single"/>
                </w:rPr>
                <w:t xml:space="preserve">pubmed.ncbi.nlm.nih.gov/24786922</w:t>
              </w:r>
            </w:hyperlink>
          </w:p>
          <w:p>
            <w:pPr>
              <w:spacing w:before="60" w:after="40"/>
            </w:pPr>
            <w:r>
              <w:rPr>
                <w:rFonts w:ascii="Calibri" w:hAnsi="Calibri"/>
                <w:b w:val="0"/>
                <w:i w:val="0"/>
                <w:color w:val="5A5A5A"/>
                <w:sz w:val="18"/>
              </w:rPr>
              <w:t>#juvenileTA  #pediatricvasculitis  #secondaryhypertension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New onset after 40 is uncommon — giant-cell arteritis becomes the dominant large-vessel vasculitis in this group — but patients who developed TA earlier accumulate chronic occlusive and cardiac complications with age.</w:t>
            </w:r>
          </w:p>
          <w:p>
            <w:pPr>
              <w:spacing w:after="40" w:before="60" w:line="259" w:lineRule="auto"/>
            </w:pPr>
            <w:r>
              <w:rPr>
                <w:rFonts w:ascii="Calibri" w:hAnsi="Calibri"/>
                <w:b w:val="0"/>
                <w:i w:val="0"/>
                <w:color w:val="212121"/>
                <w:sz w:val="19"/>
              </w:rPr>
              <w:t>Onset after 40 years is atypical and should prompt consideration of giant-cell arteritis or atherosclerosis.</w:t>
            </w:r>
          </w:p>
          <w:p>
            <w:pPr>
              <w:spacing w:before="60" w:after="40"/>
            </w:pPr>
            <w:r>
              <w:rPr>
                <w:rFonts w:ascii="Calibri" w:hAnsi="Calibri"/>
                <w:b w:val="0"/>
                <w:i w:val="0"/>
                <w:color w:val="5A5A5A"/>
                <w:sz w:val="18"/>
              </w:rPr>
              <w:t>#chronicvasculitis  #agingvasculature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A strong female predominance, likely hormonally influenced, clusters onset in the reproductive years; pregnancy can unmask disease or worsen renovascular hypertension.</w:t>
            </w:r>
          </w:p>
          <w:p>
            <w:pPr>
              <w:spacing w:after="40" w:before="60" w:line="259" w:lineRule="auto"/>
            </w:pPr>
            <w:r>
              <w:rPr>
                <w:rFonts w:ascii="Calibri" w:hAnsi="Calibri"/>
                <w:b w:val="0"/>
                <w:i w:val="0"/>
                <w:color w:val="212121"/>
                <w:sz w:val="19"/>
              </w:rPr>
              <w:t>About 9 out of 10 patients are female in most series.</w:t>
            </w:r>
          </w:p>
          <w:p>
            <w:pPr>
              <w:spacing w:after="40" w:line="252" w:lineRule="auto"/>
            </w:pPr>
            <w:hyperlink r:id="rId11">
              <w:r>
                <w:rPr>
                  <w:rFonts w:ascii="Calibri" w:hAnsi="Calibri" w:cs="Calibri"/>
                  <w:sz w:val="18"/>
                  <w:color w:val="1155CC"/>
                  <w:u w:val="single"/>
                </w:rPr>
                <w:t xml:space="preserve">hopkinsvasculitis.org — Takayasu's arteritis</w:t>
              </w:r>
            </w:hyperlink>
          </w:p>
          <w:p>
            <w:pPr>
              <w:spacing w:before="60" w:after="40"/>
            </w:pPr>
            <w:r>
              <w:rPr>
                <w:rFonts w:ascii="Calibri" w:hAnsi="Calibri"/>
                <w:b w:val="0"/>
                <w:i w:val="0"/>
                <w:color w:val="5A5A5A"/>
                <w:sz w:val="18"/>
              </w:rPr>
              <w:t>#femalepredominance  #reproductiveage  #hormonal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(Indian patients)</w:t>
            </w:r>
          </w:p>
        </w:tc>
        <w:tc>
          <w:tcPr>
            <w:tcW w:type="dxa" w:w="4276"/>
            <w:vAlign w:val="top"/>
          </w:tcPr>
          <w:p>
            <w:pPr>
              <w:spacing w:after="60" w:line="259" w:lineRule="auto"/>
            </w:pPr>
            <w:r>
              <w:rPr>
                <w:rFonts w:ascii="Calibri" w:hAnsi="Calibri"/>
                <w:b w:val="0"/>
                <w:i w:val="0"/>
                <w:color w:val="212121"/>
                <w:sz w:val="19"/>
              </w:rPr>
              <w:t>The female-to-male ratio is markedly less skewed in India than in Japan, so a substantially higher proportion of Indian patients are male; Indian men also tend to have more abdominal-aortic disease.</w:t>
            </w:r>
          </w:p>
          <w:p>
            <w:pPr>
              <w:spacing w:after="40" w:before="60" w:line="259" w:lineRule="auto"/>
            </w:pPr>
            <w:r>
              <w:rPr>
                <w:rFonts w:ascii="Calibri" w:hAnsi="Calibri"/>
                <w:b w:val="0"/>
                <w:i w:val="0"/>
                <w:color w:val="212121"/>
                <w:sz w:val="19"/>
              </w:rPr>
              <w:t>Indian series consistently report a lower female-to-male ratio than the ~9:1 seen in Japan, i.e. relatively more male patients.</w:t>
            </w:r>
          </w:p>
          <w:p>
            <w:pPr>
              <w:spacing w:before="60" w:after="40"/>
            </w:pPr>
            <w:r>
              <w:rPr>
                <w:rFonts w:ascii="Calibri" w:hAnsi="Calibri"/>
                <w:b w:val="0"/>
                <w:i w:val="0"/>
                <w:color w:val="5A5A5A"/>
                <w:sz w:val="18"/>
              </w:rPr>
              <w:t>#indiaepidemiology  #malepatients  #abdominalaorta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TB-endemic communities</w:t>
            </w:r>
          </w:p>
        </w:tc>
        <w:tc>
          <w:tcPr>
            <w:tcW w:type="dxa" w:w="4276"/>
            <w:vAlign w:val="top"/>
          </w:tcPr>
          <w:p>
            <w:pPr>
              <w:spacing w:after="60" w:line="259" w:lineRule="auto"/>
            </w:pPr>
            <w:r>
              <w:rPr>
                <w:rFonts w:ascii="Calibri" w:hAnsi="Calibri"/>
                <w:b w:val="0"/>
                <w:i w:val="0"/>
                <w:color w:val="212121"/>
                <w:sz w:val="19"/>
              </w:rPr>
              <w:t>Limited access to specialist care delays diagnosis until fixed occlusive complications appear; the high background of tuberculosis in these communities is relevant to the debated mycobacterial association and to pre-immunosuppression screening.</w:t>
            </w:r>
          </w:p>
          <w:p>
            <w:pPr>
              <w:spacing w:after="40" w:before="60" w:line="259" w:lineRule="auto"/>
            </w:pPr>
            <w:r>
              <w:rPr>
                <w:rFonts w:ascii="Calibri" w:hAnsi="Calibri"/>
                <w:b w:val="0"/>
                <w:i w:val="0"/>
                <w:color w:val="212121"/>
                <w:sz w:val="19"/>
              </w:rPr>
              <w:t>Diagnostic delay of many months to years is common, so patients often first present with hypertension or absent pulses.</w:t>
            </w:r>
          </w:p>
          <w:p>
            <w:pPr>
              <w:spacing w:before="60" w:after="40"/>
            </w:pPr>
            <w:r>
              <w:rPr>
                <w:rFonts w:ascii="Calibri" w:hAnsi="Calibri"/>
                <w:b w:val="0"/>
                <w:i w:val="0"/>
                <w:color w:val="5A5A5A"/>
                <w:sz w:val="18"/>
              </w:rPr>
              <w:t>#healthaccess  #diagnosticdelay  #tbendemic</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Indian / South Asian</w:t>
            </w:r>
          </w:p>
        </w:tc>
        <w:tc>
          <w:tcPr>
            <w:tcW w:type="dxa" w:w="4276"/>
            <w:vAlign w:val="top"/>
          </w:tcPr>
          <w:p>
            <w:pPr>
              <w:spacing w:after="60" w:line="259" w:lineRule="auto"/>
            </w:pPr>
            <w:r>
              <w:rPr>
                <w:rFonts w:ascii="Calibri" w:hAnsi="Calibri"/>
                <w:b w:val="0"/>
                <w:i w:val="0"/>
                <w:color w:val="212121"/>
                <w:sz w:val="19"/>
              </w:rPr>
              <w:t>India carries one of the highest disease burdens worldwide. Abdominal-aortic and renal-artery involvement is especially frequent, making TA a leading cause of renovascular hypertension and mid-aortic syndrome in young Indians.</w:t>
            </w:r>
          </w:p>
          <w:p>
            <w:pPr>
              <w:spacing w:after="40" w:before="60" w:line="259" w:lineRule="auto"/>
            </w:pPr>
            <w:r>
              <w:rPr>
                <w:rFonts w:ascii="Calibri" w:hAnsi="Calibri"/>
                <w:b w:val="0"/>
                <w:i w:val="0"/>
                <w:color w:val="212121"/>
                <w:sz w:val="19"/>
              </w:rPr>
              <w:t>Indian cohorts are among the largest reported globally; a single Indian multicentre study described the clinical course of 602 patients.</w:t>
            </w:r>
          </w:p>
          <w:p>
            <w:pPr>
              <w:spacing w:after="40" w:line="252" w:lineRule="auto"/>
            </w:pPr>
            <w:hyperlink r:id="rId12">
              <w:r>
                <w:rPr>
                  <w:rFonts w:ascii="Calibri" w:hAnsi="Calibri" w:cs="Calibri"/>
                  <w:sz w:val="18"/>
                  <w:color w:val="1155CC"/>
                  <w:u w:val="single"/>
                </w:rPr>
                <w:t xml:space="preserve">pubmed.ncbi.nlm.nih.gov/33179052</w:t>
              </w:r>
            </w:hyperlink>
          </w:p>
          <w:p>
            <w:pPr>
              <w:spacing w:before="60" w:after="40"/>
            </w:pPr>
            <w:r>
              <w:rPr>
                <w:rFonts w:ascii="Calibri" w:hAnsi="Calibri"/>
                <w:b w:val="0"/>
                <w:i w:val="0"/>
                <w:color w:val="5A5A5A"/>
                <w:sz w:val="18"/>
              </w:rPr>
              <w:t>#indiaburden  #renovascular  #midaorticsyndrome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East Asian (Japanese)</w:t>
            </w:r>
          </w:p>
        </w:tc>
        <w:tc>
          <w:tcPr>
            <w:tcW w:type="dxa" w:w="4276"/>
            <w:vAlign w:val="top"/>
          </w:tcPr>
          <w:p>
            <w:pPr>
              <w:spacing w:after="60" w:line="259" w:lineRule="auto"/>
            </w:pPr>
            <w:r>
              <w:rPr>
                <w:rFonts w:ascii="Calibri" w:hAnsi="Calibri"/>
                <w:b w:val="0"/>
                <w:i w:val="0"/>
                <w:color w:val="212121"/>
                <w:sz w:val="19"/>
              </w:rPr>
              <w:t>In Japan the female predominance is most extreme and disease is typically arch-predominant (aortic arch and its branches), contrasting with the more abdominal pattern common in India.</w:t>
            </w:r>
          </w:p>
          <w:p>
            <w:pPr>
              <w:spacing w:after="40" w:before="60" w:line="259" w:lineRule="auto"/>
            </w:pPr>
            <w:r>
              <w:rPr>
                <w:rFonts w:ascii="Calibri" w:hAnsi="Calibri"/>
                <w:b w:val="0"/>
                <w:i w:val="0"/>
                <w:color w:val="212121"/>
                <w:sz w:val="19"/>
              </w:rPr>
              <w:t>Japanese series report female-to-male ratios up to about 9:1 with predominant aortic-arch involvement.</w:t>
            </w:r>
          </w:p>
          <w:p>
            <w:pPr>
              <w:spacing w:after="40" w:line="252" w:lineRule="auto"/>
            </w:pPr>
            <w:hyperlink r:id="rId13">
              <w:r>
                <w:rPr>
                  <w:rFonts w:ascii="Calibri" w:hAnsi="Calibri" w:cs="Calibri"/>
                  <w:sz w:val="18"/>
                  <w:color w:val="1155CC"/>
                  <w:u w:val="single"/>
                </w:rPr>
                <w:t xml:space="preserve">vasculitisfoundation.org — Takayasu's arteritis</w:t>
              </w:r>
            </w:hyperlink>
          </w:p>
          <w:p>
            <w:pPr>
              <w:spacing w:before="60" w:after="40"/>
            </w:pPr>
            <w:r>
              <w:rPr>
                <w:rFonts w:ascii="Calibri" w:hAnsi="Calibri"/>
                <w:b w:val="0"/>
                <w:i w:val="0"/>
                <w:color w:val="5A5A5A"/>
                <w:sz w:val="18"/>
              </w:rPr>
              <w:t>#japan  #aorticarch  #ethnicvariation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 — high-burden setting</w:t>
            </w:r>
          </w:p>
        </w:tc>
        <w:tc>
          <w:tcPr>
            <w:tcW w:type="dxa" w:w="4276"/>
            <w:vAlign w:val="top"/>
          </w:tcPr>
          <w:p>
            <w:pPr>
              <w:spacing w:after="60" w:line="259" w:lineRule="auto"/>
            </w:pPr>
            <w:r>
              <w:rPr>
                <w:rFonts w:ascii="Calibri" w:hAnsi="Calibri"/>
                <w:b w:val="0"/>
                <w:i w:val="0"/>
                <w:color w:val="212121"/>
                <w:sz w:val="19"/>
              </w:rPr>
              <w:t>Because renal-artery and abdominal-aortic disease dominate, hypertension is the commonest presenting problem and a frequent cause of young-onset, difficult-to-control secondary hypertension across Indian clinics.</w:t>
            </w:r>
          </w:p>
          <w:p>
            <w:pPr>
              <w:spacing w:after="40" w:before="60" w:line="259" w:lineRule="auto"/>
            </w:pPr>
            <w:r>
              <w:rPr>
                <w:rFonts w:ascii="Calibri" w:hAnsi="Calibri"/>
                <w:b w:val="0"/>
                <w:i w:val="0"/>
                <w:color w:val="212121"/>
                <w:sz w:val="19"/>
              </w:rPr>
              <w:t>Hypertension is the single most common presenting manifestation of Takayasu arteritis in Indian cohorts, including children.</w:t>
            </w:r>
          </w:p>
          <w:p>
            <w:pPr>
              <w:spacing w:after="40" w:line="252" w:lineRule="auto"/>
            </w:pPr>
            <w:hyperlink r:id="rId10">
              <w:r>
                <w:rPr>
                  <w:rFonts w:ascii="Calibri" w:hAnsi="Calibri" w:cs="Calibri"/>
                  <w:sz w:val="18"/>
                  <w:color w:val="1155CC"/>
                  <w:u w:val="single"/>
                </w:rPr>
                <w:t xml:space="preserve">pubmed.ncbi.nlm.nih.gov/24786922</w:t>
              </w:r>
            </w:hyperlink>
          </w:p>
          <w:p>
            <w:pPr>
              <w:spacing w:before="60" w:after="40"/>
            </w:pPr>
            <w:r>
              <w:rPr>
                <w:rFonts w:ascii="Calibri" w:hAnsi="Calibri"/>
                <w:b w:val="0"/>
                <w:i w:val="0"/>
                <w:color w:val="5A5A5A"/>
                <w:sz w:val="18"/>
              </w:rPr>
              <w:t>#hypertension  #india  #secondaryHTN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 tobacco users</w:t>
            </w:r>
          </w:p>
        </w:tc>
        <w:tc>
          <w:tcPr>
            <w:tcW w:type="dxa" w:w="4276"/>
            <w:vAlign w:val="top"/>
          </w:tcPr>
          <w:p>
            <w:pPr>
              <w:spacing w:after="60" w:line="259" w:lineRule="auto"/>
            </w:pPr>
            <w:r>
              <w:rPr>
                <w:rFonts w:ascii="Calibri" w:hAnsi="Calibri"/>
                <w:b w:val="0"/>
                <w:i w:val="0"/>
                <w:color w:val="212121"/>
                <w:sz w:val="19"/>
              </w:rPr>
              <w:t>Tobacco is not a proven trigger of TA but causes endothelial dysfunction and accelerates arterial narrowing, thrombosis and restenosis after angioplasty or bypass, worsening ischaemic outcomes in an already-damaged arterial tree.</w:t>
            </w:r>
          </w:p>
          <w:p>
            <w:pPr>
              <w:spacing w:after="40" w:before="60" w:line="259" w:lineRule="auto"/>
            </w:pPr>
            <w:r>
              <w:rPr>
                <w:rFonts w:ascii="Calibri" w:hAnsi="Calibri"/>
                <w:b w:val="0"/>
                <w:i w:val="0"/>
                <w:color w:val="212121"/>
                <w:sz w:val="19"/>
              </w:rPr>
              <w:t>Smoking cessation is strongly advised because it compounds large-vessel occlusive disease and post-revascularisation restenosis.</w:t>
            </w:r>
          </w:p>
          <w:p>
            <w:pPr>
              <w:spacing w:before="60" w:after="40"/>
            </w:pPr>
            <w:r>
              <w:rPr>
                <w:rFonts w:ascii="Calibri" w:hAnsi="Calibri"/>
                <w:b w:val="0"/>
                <w:i w:val="0"/>
                <w:color w:val="5A5A5A"/>
                <w:sz w:val="18"/>
              </w:rPr>
              <w:t>#smoking  #endothelialdysfunction  #restenosis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Deconditioned patients with claudication</w:t>
            </w:r>
          </w:p>
        </w:tc>
        <w:tc>
          <w:tcPr>
            <w:tcW w:type="dxa" w:w="4276"/>
            <w:vAlign w:val="top"/>
          </w:tcPr>
          <w:p>
            <w:pPr>
              <w:spacing w:after="60" w:line="259" w:lineRule="auto"/>
            </w:pPr>
            <w:r>
              <w:rPr>
                <w:rFonts w:ascii="Calibri" w:hAnsi="Calibri"/>
                <w:b w:val="0"/>
                <w:i w:val="0"/>
                <w:color w:val="212121"/>
                <w:sz w:val="19"/>
              </w:rPr>
              <w:t>Physical inactivity does not cause TA, but limb and mesenteric ischaemia limit activity and deconditioning in turn shortens claudication distance; supervised exercise after disease control improves function.</w:t>
            </w:r>
          </w:p>
          <w:p>
            <w:pPr>
              <w:spacing w:after="40" w:before="60" w:line="259" w:lineRule="auto"/>
            </w:pPr>
            <w:r>
              <w:rPr>
                <w:rFonts w:ascii="Calibri" w:hAnsi="Calibri"/>
                <w:b w:val="0"/>
                <w:i w:val="0"/>
                <w:color w:val="212121"/>
                <w:sz w:val="19"/>
              </w:rPr>
              <w:t>Claudication of the extremities is one of the ACR classification criteria and a major limiter of activity.</w:t>
            </w:r>
          </w:p>
          <w:p>
            <w:pPr>
              <w:spacing w:before="60" w:after="40"/>
            </w:pPr>
            <w:r>
              <w:rPr>
                <w:rFonts w:ascii="Calibri" w:hAnsi="Calibri"/>
                <w:b w:val="0"/>
                <w:i w:val="0"/>
                <w:color w:val="5A5A5A"/>
                <w:sz w:val="18"/>
              </w:rPr>
              <w:t>#claudication  #deconditioning  #rehab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Reproductive / hormonal</w:t>
            </w:r>
          </w:p>
        </w:tc>
        <w:tc>
          <w:tcPr>
            <w:tcW w:type="dxa" w:w="2160"/>
            <w:vAlign w:val="top"/>
          </w:tcPr>
          <w:p>
            <w:pPr>
              <w:spacing w:after="40" w:before="0" w:line="259" w:lineRule="auto"/>
            </w:pPr>
            <w:r>
              <w:rPr>
                <w:rFonts w:ascii="Calibri" w:hAnsi="Calibri"/>
                <w:b w:val="0"/>
                <w:i w:val="0"/>
                <w:color w:val="212121"/>
                <w:sz w:val="19"/>
              </w:rPr>
              <w:t>Pregnant &amp; peripartum women</w:t>
            </w:r>
          </w:p>
        </w:tc>
        <w:tc>
          <w:tcPr>
            <w:tcW w:type="dxa" w:w="4276"/>
            <w:vAlign w:val="top"/>
          </w:tcPr>
          <w:p>
            <w:pPr>
              <w:spacing w:after="60" w:line="259" w:lineRule="auto"/>
            </w:pPr>
            <w:r>
              <w:rPr>
                <w:rFonts w:ascii="Calibri" w:hAnsi="Calibri"/>
                <w:b w:val="0"/>
                <w:i w:val="0"/>
                <w:color w:val="212121"/>
                <w:sz w:val="19"/>
              </w:rPr>
              <w:t>As TA predominantly affects young women, pregnancy is common and can unmask disease or worsen renovascular hypertension, raising the risk of pre-eclampsia and fetal growth restriction; management needs multidisciplinary planning during remission.</w:t>
            </w:r>
          </w:p>
          <w:p>
            <w:pPr>
              <w:spacing w:after="40" w:before="60" w:line="259" w:lineRule="auto"/>
            </w:pPr>
            <w:r>
              <w:rPr>
                <w:rFonts w:ascii="Calibri" w:hAnsi="Calibri"/>
                <w:b w:val="0"/>
                <w:i w:val="0"/>
                <w:color w:val="212121"/>
                <w:sz w:val="19"/>
              </w:rPr>
              <w:t>Pregnancy in TA is higher-risk mainly because of superimposed renovascular hypertension and aortic disease.</w:t>
            </w:r>
          </w:p>
          <w:p>
            <w:pPr>
              <w:spacing w:after="40" w:line="252" w:lineRule="auto"/>
            </w:pPr>
            <w:hyperlink r:id="rId14">
              <w:r>
                <w:rPr>
                  <w:rFonts w:ascii="Calibri" w:hAnsi="Calibri" w:cs="Calibri"/>
                  <w:sz w:val="18"/>
                  <w:color w:val="1155CC"/>
                  <w:u w:val="single"/>
                </w:rPr>
                <w:t xml:space="preserve">mayoclinic.org — Takayasu's arteritis</w:t>
              </w:r>
            </w:hyperlink>
          </w:p>
          <w:p>
            <w:pPr>
              <w:spacing w:before="60" w:after="40"/>
            </w:pPr>
            <w:r>
              <w:rPr>
                <w:rFonts w:ascii="Calibri" w:hAnsi="Calibri"/>
                <w:b w:val="0"/>
                <w:i w:val="0"/>
                <w:color w:val="5A5A5A"/>
                <w:sz w:val="18"/>
              </w:rPr>
              <w:t>#pregnancy  #preeclampsia  #youngwomen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High-salt / atherogenic diet</w:t>
            </w:r>
          </w:p>
        </w:tc>
        <w:tc>
          <w:tcPr>
            <w:tcW w:type="dxa" w:w="4276"/>
            <w:vAlign w:val="top"/>
          </w:tcPr>
          <w:p>
            <w:pPr>
              <w:spacing w:after="60" w:line="259" w:lineRule="auto"/>
            </w:pPr>
            <w:r>
              <w:rPr>
                <w:rFonts w:ascii="Calibri" w:hAnsi="Calibri"/>
                <w:b w:val="0"/>
                <w:i w:val="0"/>
                <w:color w:val="212121"/>
                <w:sz w:val="19"/>
              </w:rPr>
              <w:t>Diet does not cause TA, but high sodium intake worsens the renovascular hypertension that dominates Indian disease, and an atherogenic diet accelerates the premature atherosclerosis superimposed on inflamed vessels.</w:t>
            </w:r>
          </w:p>
          <w:p>
            <w:pPr>
              <w:spacing w:after="40" w:before="60" w:line="259" w:lineRule="auto"/>
            </w:pPr>
            <w:r>
              <w:rPr>
                <w:rFonts w:ascii="Calibri" w:hAnsi="Calibri"/>
                <w:b w:val="0"/>
                <w:i w:val="0"/>
                <w:color w:val="212121"/>
                <w:sz w:val="19"/>
              </w:rPr>
              <w:t>Salt restriction and a heart-healthy diet are important adjuncts because of frequent renovascular hypertension and accelerated atherosclerosis.</w:t>
            </w:r>
          </w:p>
          <w:p>
            <w:pPr>
              <w:spacing w:before="60" w:after="40"/>
            </w:pPr>
            <w:r>
              <w:rPr>
                <w:rFonts w:ascii="Calibri" w:hAnsi="Calibri"/>
                <w:b w:val="0"/>
                <w:i w:val="0"/>
                <w:color w:val="5A5A5A"/>
                <w:sz w:val="18"/>
              </w:rPr>
              <w:t>#sodium  #atherosclerosis  #bloodpressure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HLA</w:t>
            </w:r>
          </w:p>
        </w:tc>
        <w:tc>
          <w:tcPr>
            <w:tcW w:type="dxa" w:w="2160"/>
            <w:vAlign w:val="top"/>
          </w:tcPr>
          <w:p>
            <w:pPr>
              <w:spacing w:after="40" w:before="0" w:line="259" w:lineRule="auto"/>
            </w:pPr>
            <w:r>
              <w:rPr>
                <w:rFonts w:ascii="Calibri" w:hAnsi="Calibri"/>
                <w:b w:val="0"/>
                <w:i w:val="0"/>
                <w:color w:val="212121"/>
                <w:sz w:val="19"/>
              </w:rPr>
              <w:t>HLA-B52 carriers, relatives of patients</w:t>
            </w:r>
          </w:p>
        </w:tc>
        <w:tc>
          <w:tcPr>
            <w:tcW w:type="dxa" w:w="4276"/>
            <w:vAlign w:val="top"/>
          </w:tcPr>
          <w:p>
            <w:pPr>
              <w:spacing w:after="60" w:line="259" w:lineRule="auto"/>
            </w:pPr>
            <w:r>
              <w:rPr>
                <w:rFonts w:ascii="Calibri" w:hAnsi="Calibri"/>
                <w:b w:val="0"/>
                <w:i w:val="0"/>
                <w:color w:val="212121"/>
                <w:sz w:val="19"/>
              </w:rPr>
              <w:t>Genetic susceptibility is well established: a strong association with HLA-B52 and, in genome-wide studies, with IL12B and FCGR2A/3A polymorphisms; familial clustering is reported.</w:t>
            </w:r>
          </w:p>
          <w:p>
            <w:pPr>
              <w:spacing w:after="40" w:before="60" w:line="259" w:lineRule="auto"/>
            </w:pPr>
            <w:r>
              <w:rPr>
                <w:rFonts w:ascii="Calibri" w:hAnsi="Calibri"/>
                <w:b w:val="0"/>
                <w:i w:val="0"/>
                <w:color w:val="212121"/>
                <w:sz w:val="19"/>
              </w:rPr>
              <w:t>Takayasu arteritis is associated with HLA-B52 and with IL12B and FCGR2A/3A gene polymorphisms.</w:t>
            </w:r>
          </w:p>
          <w:p>
            <w:pPr>
              <w:spacing w:after="40" w:line="252" w:lineRule="auto"/>
            </w:pPr>
            <w:hyperlink r:id="rId15">
              <w:r>
                <w:rPr>
                  <w:rFonts w:ascii="Calibri" w:hAnsi="Calibri" w:cs="Calibri"/>
                  <w:sz w:val="18"/>
                  <w:color w:val="1155CC"/>
                  <w:u w:val="single"/>
                </w:rPr>
                <w:t xml:space="preserve">orpha.net — Takayasu arteritis</w:t>
              </w:r>
            </w:hyperlink>
          </w:p>
          <w:p>
            <w:pPr>
              <w:spacing w:before="60" w:after="40"/>
            </w:pPr>
            <w:r>
              <w:rPr>
                <w:rFonts w:ascii="Calibri" w:hAnsi="Calibri"/>
                <w:b w:val="0"/>
                <w:i w:val="0"/>
                <w:color w:val="5A5A5A"/>
                <w:sz w:val="18"/>
              </w:rPr>
              <w:t>#HLAB52  #IL12B  #geneticsusceptibility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Patients with past / latent TB</w:t>
            </w:r>
          </w:p>
        </w:tc>
        <w:tc>
          <w:tcPr>
            <w:tcW w:type="dxa" w:w="4276"/>
            <w:vAlign w:val="top"/>
          </w:tcPr>
          <w:p>
            <w:pPr>
              <w:spacing w:after="60" w:line="259" w:lineRule="auto"/>
            </w:pPr>
            <w:r>
              <w:rPr>
                <w:rFonts w:ascii="Calibri" w:hAnsi="Calibri"/>
                <w:b w:val="0"/>
                <w:i w:val="0"/>
                <w:color w:val="212121"/>
                <w:sz w:val="19"/>
              </w:rPr>
              <w:t>In TB-endemic India a long-debated association exists between TA and Mycobacterium tuberculosis, with proposed molecular mimicry via the 65-kDa heat-shock protein. Whatever the causal link, latent TB must be screened for and treated before immunosuppression.</w:t>
            </w:r>
          </w:p>
          <w:p>
            <w:pPr>
              <w:spacing w:after="40" w:before="60" w:line="259" w:lineRule="auto"/>
            </w:pPr>
            <w:r>
              <w:rPr>
                <w:rFonts w:ascii="Calibri" w:hAnsi="Calibri"/>
                <w:b w:val="0"/>
                <w:i w:val="0"/>
                <w:color w:val="212121"/>
                <w:sz w:val="19"/>
              </w:rPr>
              <w:t>A higher frequency of past or latent tuberculosis has been reported in Indian TA patients, although causation remains unproven.</w:t>
            </w:r>
          </w:p>
          <w:p>
            <w:pPr>
              <w:spacing w:before="60" w:after="40"/>
            </w:pPr>
            <w:r>
              <w:rPr>
                <w:rFonts w:ascii="Calibri" w:hAnsi="Calibri"/>
                <w:b w:val="0"/>
                <w:i w:val="0"/>
                <w:color w:val="5A5A5A"/>
                <w:sz w:val="18"/>
              </w:rPr>
              <w:t>#tuberculosis  #HSP65  #molecularmimicry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Inflammatory bowel disease</w:t>
            </w:r>
          </w:p>
        </w:tc>
        <w:tc>
          <w:tcPr>
            <w:tcW w:type="dxa" w:w="2160"/>
            <w:vAlign w:val="top"/>
          </w:tcPr>
          <w:p>
            <w:pPr>
              <w:spacing w:after="40" w:before="0" w:line="259" w:lineRule="auto"/>
            </w:pPr>
            <w:r>
              <w:rPr>
                <w:rFonts w:ascii="Calibri" w:hAnsi="Calibri"/>
                <w:b w:val="0"/>
                <w:i w:val="0"/>
                <w:color w:val="212121"/>
                <w:sz w:val="19"/>
              </w:rPr>
              <w:t>Crohn's disease / ulcerative colitis</w:t>
            </w:r>
          </w:p>
        </w:tc>
        <w:tc>
          <w:tcPr>
            <w:tcW w:type="dxa" w:w="4276"/>
            <w:vAlign w:val="top"/>
          </w:tcPr>
          <w:p>
            <w:pPr>
              <w:spacing w:after="60" w:line="259" w:lineRule="auto"/>
            </w:pPr>
            <w:r>
              <w:rPr>
                <w:rFonts w:ascii="Calibri" w:hAnsi="Calibri"/>
                <w:b w:val="0"/>
                <w:i w:val="0"/>
                <w:color w:val="212121"/>
                <w:sz w:val="19"/>
              </w:rPr>
              <w:t>TA co-occurs with inflammatory bowel disease more often than expected by chance, suggesting a shared granulomatous, immune-mediated mechanism.</w:t>
            </w:r>
          </w:p>
          <w:p>
            <w:pPr>
              <w:spacing w:after="40" w:before="60" w:line="259" w:lineRule="auto"/>
            </w:pPr>
            <w:r>
              <w:rPr>
                <w:rFonts w:ascii="Calibri" w:hAnsi="Calibri"/>
                <w:b w:val="0"/>
                <w:i w:val="0"/>
                <w:color w:val="212121"/>
                <w:sz w:val="19"/>
              </w:rPr>
              <w:t>Takayasu arteritis is a recognised systemic association of inflammatory bowel disease.</w:t>
            </w:r>
          </w:p>
          <w:p>
            <w:pPr>
              <w:spacing w:before="60" w:after="40"/>
            </w:pPr>
            <w:r>
              <w:rPr>
                <w:rFonts w:ascii="Calibri" w:hAnsi="Calibri"/>
                <w:b w:val="0"/>
                <w:i w:val="0"/>
                <w:color w:val="5A5A5A"/>
                <w:sz w:val="18"/>
              </w:rPr>
              <w:t>#IBD  #granulomatous  #autoimmuneoverlap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Spondyloarthritis</w:t>
            </w:r>
          </w:p>
        </w:tc>
        <w:tc>
          <w:tcPr>
            <w:tcW w:type="dxa" w:w="2160"/>
            <w:vAlign w:val="top"/>
          </w:tcPr>
          <w:p>
            <w:pPr>
              <w:spacing w:after="40" w:before="0" w:line="259" w:lineRule="auto"/>
            </w:pPr>
            <w:r>
              <w:rPr>
                <w:rFonts w:ascii="Calibri" w:hAnsi="Calibri"/>
                <w:b w:val="0"/>
                <w:i w:val="0"/>
                <w:color w:val="212121"/>
                <w:sz w:val="19"/>
              </w:rPr>
              <w:t>Ankylosing spondylitis / seronegative SpA</w:t>
            </w:r>
          </w:p>
        </w:tc>
        <w:tc>
          <w:tcPr>
            <w:tcW w:type="dxa" w:w="4276"/>
            <w:vAlign w:val="top"/>
          </w:tcPr>
          <w:p>
            <w:pPr>
              <w:spacing w:after="60" w:line="259" w:lineRule="auto"/>
            </w:pPr>
            <w:r>
              <w:rPr>
                <w:rFonts w:ascii="Calibri" w:hAnsi="Calibri"/>
                <w:b w:val="0"/>
                <w:i w:val="0"/>
                <w:color w:val="212121"/>
                <w:sz w:val="19"/>
              </w:rPr>
              <w:t>Reported associations with seronegative spondyloarthropathies and other autoimmune diseases point to shared HLA-linked immunopathology.</w:t>
            </w:r>
          </w:p>
          <w:p>
            <w:pPr>
              <w:spacing w:after="40" w:before="60" w:line="259" w:lineRule="auto"/>
            </w:pPr>
            <w:r>
              <w:rPr>
                <w:rFonts w:ascii="Calibri" w:hAnsi="Calibri"/>
                <w:b w:val="0"/>
                <w:i w:val="0"/>
                <w:color w:val="212121"/>
                <w:sz w:val="19"/>
              </w:rPr>
              <w:t>Co-occurrence with spondyloarthritis and other autoimmune disorders is described.</w:t>
            </w:r>
          </w:p>
          <w:p>
            <w:pPr>
              <w:spacing w:before="60" w:after="40"/>
            </w:pPr>
            <w:r>
              <w:rPr>
                <w:rFonts w:ascii="Calibri" w:hAnsi="Calibri"/>
                <w:b w:val="0"/>
                <w:i w:val="0"/>
                <w:color w:val="5A5A5A"/>
                <w:sz w:val="18"/>
              </w:rPr>
              <w:t>#spondyloarthritis  #HLA  #autoimmunity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Renovascular hypertension</w:t>
            </w:r>
          </w:p>
        </w:tc>
        <w:tc>
          <w:tcPr>
            <w:tcW w:type="dxa" w:w="2160"/>
            <w:vAlign w:val="top"/>
          </w:tcPr>
          <w:p>
            <w:pPr>
              <w:spacing w:after="40" w:before="0" w:line="259" w:lineRule="auto"/>
            </w:pPr>
            <w:r>
              <w:rPr>
                <w:rFonts w:ascii="Calibri" w:hAnsi="Calibri"/>
                <w:b w:val="0"/>
                <w:i w:val="0"/>
                <w:color w:val="212121"/>
                <w:sz w:val="19"/>
              </w:rPr>
              <w:t>Young patients with secondary hypertension</w:t>
            </w:r>
          </w:p>
        </w:tc>
        <w:tc>
          <w:tcPr>
            <w:tcW w:type="dxa" w:w="4276"/>
            <w:vAlign w:val="top"/>
          </w:tcPr>
          <w:p>
            <w:pPr>
              <w:spacing w:after="60" w:line="259" w:lineRule="auto"/>
            </w:pPr>
            <w:r>
              <w:rPr>
                <w:rFonts w:ascii="Calibri" w:hAnsi="Calibri"/>
                <w:b w:val="0"/>
                <w:i w:val="0"/>
                <w:color w:val="212121"/>
                <w:sz w:val="19"/>
              </w:rPr>
              <w:t>Renal-artery stenosis from TA is a leading cause of secondary / renovascular hypertension in young Indians; the hypertension is frequently severe and difficult to control until the stenosis is addressed.</w:t>
            </w:r>
          </w:p>
          <w:p>
            <w:pPr>
              <w:spacing w:after="40" w:before="60" w:line="259" w:lineRule="auto"/>
            </w:pPr>
            <w:r>
              <w:rPr>
                <w:rFonts w:ascii="Calibri" w:hAnsi="Calibri"/>
                <w:b w:val="0"/>
                <w:i w:val="0"/>
                <w:color w:val="212121"/>
                <w:sz w:val="19"/>
              </w:rPr>
              <w:t>Renal-artery involvement makes TA a major cause of renovascular hypertension in people under 40 in India.</w:t>
            </w:r>
          </w:p>
          <w:p>
            <w:pPr>
              <w:spacing w:after="40" w:line="252" w:lineRule="auto"/>
            </w:pPr>
            <w:hyperlink r:id="rId10">
              <w:r>
                <w:rPr>
                  <w:rFonts w:ascii="Calibri" w:hAnsi="Calibri" w:cs="Calibri"/>
                  <w:sz w:val="18"/>
                  <w:color w:val="1155CC"/>
                  <w:u w:val="single"/>
                </w:rPr>
                <w:t xml:space="preserve">pubmed.ncbi.nlm.nih.gov/24786922</w:t>
              </w:r>
            </w:hyperlink>
          </w:p>
          <w:p>
            <w:pPr>
              <w:spacing w:before="60" w:after="40"/>
            </w:pPr>
            <w:r>
              <w:rPr>
                <w:rFonts w:ascii="Calibri" w:hAnsi="Calibri"/>
                <w:b w:val="0"/>
                <w:i w:val="0"/>
                <w:color w:val="5A5A5A"/>
                <w:sz w:val="18"/>
              </w:rPr>
              <w:t>#renovascular  #youngHTN  #renalartery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does not cause TA; however, arterial stenosis produces limb and mesenteric claudication that limits exertion, and supervised, graded exercise after disease control improves claudication distance and cardiovascular fitness.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dietary factor causes TA. A prudent, low-salt, anti-inflammatory diet supports blood-pressure and lipid control and offsets accelerated atherosclerosis and long-term glucocorticoid metabolic effects.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link; poor sleep and a chronic inflammatory burden worsen fatigue and quality of life during active disease.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not a proven trigger but causes endothelial dysfunction and accelerates arterial narrowing, thrombosis and post-revascularisation restenosis; cessation is strongly advised in this vascular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role; heavy use may interact with immunosuppressants (hepatotoxicity with methotrexate) and aggravate hypertension.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relapsing vasculitis in young women — with pain, claudication and steroid side-effects — is associated with high rates of depression, anxiety and reduced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is general supportive care; dehydration can precipitate orthostatic or cerebral hypoperfusion symptoms in patients with carotid/subclavian stenosis.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causal association; excess intake may aggravate palpitations or hypertension but is otherwise largely irrelevant.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directly causal; in TB-endemic India, infection control matters given the debated mycobacterial association and the infection risk during immunosuppression.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Intercurrent infection (including tuberculosis) and pregnancy or peripartum states can precede onset or trigger flares; vascular surgery may reactivate inflammation.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Resting blood pressure (mmHg)</w:t>
            </w:r>
          </w:p>
        </w:tc>
        <w:tc>
          <w:tcPr>
            <w:tcW w:type="dxa" w:w="1655"/>
            <w:vAlign w:val="top"/>
          </w:tcPr>
          <w:p>
            <w:pPr>
              <w:spacing w:after="40" w:before="0" w:line="259" w:lineRule="auto"/>
            </w:pPr>
            <w:r>
              <w:rPr>
                <w:rFonts w:ascii="Calibri" w:hAnsi="Calibri"/>
                <w:b w:val="0"/>
                <w:i w:val="0"/>
                <w:color w:val="212121"/>
                <w:sz w:val="19"/>
              </w:rPr>
              <w:t>All TA patients (renovascular risk)</w:t>
            </w:r>
          </w:p>
        </w:tc>
        <w:tc>
          <w:tcPr>
            <w:tcW w:type="dxa" w:w="1512"/>
            <w:vAlign w:val="top"/>
          </w:tcPr>
          <w:p>
            <w:pPr>
              <w:spacing w:after="40" w:before="0" w:line="259" w:lineRule="auto"/>
            </w:pPr>
            <w:r>
              <w:rPr>
                <w:rFonts w:ascii="Calibri" w:hAnsi="Calibri"/>
                <w:b w:val="0"/>
                <w:i w:val="0"/>
                <w:color w:val="212121"/>
                <w:sz w:val="19"/>
              </w:rPr>
              <w:t>&lt; 130/80 mmHg</w:t>
            </w:r>
          </w:p>
        </w:tc>
        <w:tc>
          <w:tcPr>
            <w:tcW w:type="dxa" w:w="1512"/>
            <w:vAlign w:val="top"/>
          </w:tcPr>
          <w:p>
            <w:pPr>
              <w:spacing w:after="40" w:before="0" w:line="259" w:lineRule="auto"/>
            </w:pPr>
            <w:r>
              <w:rPr>
                <w:rFonts w:ascii="Calibri" w:hAnsi="Calibri"/>
                <w:b w:val="0"/>
                <w:i w:val="0"/>
                <w:color w:val="212121"/>
                <w:sz w:val="19"/>
              </w:rPr>
              <w:t>≥ 140/90 mmHg or marked inter-arm asymmetry</w:t>
            </w:r>
          </w:p>
        </w:tc>
        <w:tc>
          <w:tcPr>
            <w:tcW w:type="dxa" w:w="1468"/>
            <w:vAlign w:val="top"/>
          </w:tcPr>
          <w:p>
            <w:pPr>
              <w:spacing w:after="60" w:line="259" w:lineRule="auto"/>
            </w:pPr>
            <w:r>
              <w:rPr>
                <w:rFonts w:ascii="Calibri" w:hAnsi="Calibri"/>
                <w:b w:val="0"/>
                <w:i w:val="0"/>
                <w:color w:val="212121"/>
                <w:sz w:val="19"/>
              </w:rPr>
              <w:t>Measure in all four limbs; renovascular hypertension is the dominant problem in Indian TA</w:t>
            </w:r>
          </w:p>
          <w:p>
            <w:pPr>
              <w:spacing w:after="40" w:line="252" w:lineRule="auto"/>
            </w:pPr>
            <w:hyperlink r:id="rId10">
              <w:r>
                <w:rPr>
                  <w:rFonts w:ascii="Calibri" w:hAnsi="Calibri" w:cs="Calibri"/>
                  <w:sz w:val="18"/>
                  <w:color w:val="1155CC"/>
                  <w:u w:val="single"/>
                </w:rPr>
                <w:t xml:space="preserve">https://pubmed.ncbi.nlm.nih.gov/24786922/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Aerobic activity (min/week)</w:t>
            </w:r>
          </w:p>
        </w:tc>
        <w:tc>
          <w:tcPr>
            <w:tcW w:type="dxa" w:w="1655"/>
            <w:vAlign w:val="top"/>
          </w:tcPr>
          <w:p>
            <w:pPr>
              <w:spacing w:after="40" w:before="0" w:line="259" w:lineRule="auto"/>
            </w:pPr>
            <w:r>
              <w:rPr>
                <w:rFonts w:ascii="Calibri" w:hAnsi="Calibri"/>
                <w:b w:val="0"/>
                <w:i w:val="0"/>
                <w:color w:val="212121"/>
                <w:sz w:val="19"/>
              </w:rPr>
              <w:t>Stable / controlled TA</w:t>
            </w:r>
          </w:p>
        </w:tc>
        <w:tc>
          <w:tcPr>
            <w:tcW w:type="dxa" w:w="1512"/>
            <w:vAlign w:val="top"/>
          </w:tcPr>
          <w:p>
            <w:pPr>
              <w:spacing w:after="40" w:before="0" w:line="259" w:lineRule="auto"/>
            </w:pPr>
            <w:r>
              <w:rPr>
                <w:rFonts w:ascii="Calibri" w:hAnsi="Calibri"/>
                <w:b w:val="0"/>
                <w:i w:val="0"/>
                <w:color w:val="212121"/>
                <w:sz w:val="19"/>
              </w:rPr>
              <w:t>≥ 150 min/week moderate</w:t>
            </w:r>
          </w:p>
        </w:tc>
        <w:tc>
          <w:tcPr>
            <w:tcW w:type="dxa" w:w="1512"/>
            <w:vAlign w:val="top"/>
          </w:tcPr>
          <w:p>
            <w:pPr>
              <w:spacing w:after="40" w:before="0" w:line="259" w:lineRule="auto"/>
            </w:pPr>
            <w:r>
              <w:rPr>
                <w:rFonts w:ascii="Calibri" w:hAnsi="Calibri"/>
                <w:b w:val="0"/>
                <w:i w:val="0"/>
                <w:color w:val="212121"/>
                <w:sz w:val="19"/>
              </w:rPr>
              <w:t>&lt; 60 min/week</w:t>
            </w:r>
          </w:p>
        </w:tc>
        <w:tc>
          <w:tcPr>
            <w:tcW w:type="dxa" w:w="1468"/>
            <w:vAlign w:val="top"/>
          </w:tcPr>
          <w:p>
            <w:pPr>
              <w:spacing w:after="40" w:before="0" w:line="259" w:lineRule="auto"/>
            </w:pPr>
            <w:r>
              <w:rPr>
                <w:rFonts w:ascii="Calibri" w:hAnsi="Calibri"/>
                <w:b w:val="0"/>
                <w:i w:val="0"/>
                <w:color w:val="212121"/>
                <w:sz w:val="19"/>
              </w:rPr>
              <w:t>Graded exercise after disease control improves claudication distance; avoid heavy isometric strain with uncontrolled hypertension or aneurysm</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on glucocorticoids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(obese)</w:t>
            </w:r>
          </w:p>
        </w:tc>
        <w:tc>
          <w:tcPr>
            <w:tcW w:type="dxa" w:w="1468"/>
            <w:vAlign w:val="top"/>
          </w:tcPr>
          <w:p>
            <w:pPr>
              <w:spacing w:after="40" w:before="0" w:line="259" w:lineRule="auto"/>
            </w:pPr>
            <w:r>
              <w:rPr>
                <w:rFonts w:ascii="Calibri" w:hAnsi="Calibri"/>
                <w:b w:val="0"/>
                <w:i w:val="0"/>
                <w:color w:val="212121"/>
                <w:sz w:val="19"/>
              </w:rPr>
              <w:t>Long-term steroids promote weight gain and metabolic complications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salt (g/day)</w:t>
            </w:r>
          </w:p>
        </w:tc>
        <w:tc>
          <w:tcPr>
            <w:tcW w:type="dxa" w:w="1655"/>
            <w:vAlign w:val="top"/>
          </w:tcPr>
          <w:p>
            <w:pPr>
              <w:spacing w:after="40" w:before="0" w:line="259" w:lineRule="auto"/>
            </w:pPr>
            <w:r>
              <w:rPr>
                <w:rFonts w:ascii="Calibri" w:hAnsi="Calibri"/>
                <w:b w:val="0"/>
                <w:i w:val="0"/>
                <w:color w:val="212121"/>
                <w:sz w:val="19"/>
              </w:rPr>
              <w:t>TA with hypertension</w:t>
            </w:r>
          </w:p>
        </w:tc>
        <w:tc>
          <w:tcPr>
            <w:tcW w:type="dxa" w:w="1512"/>
            <w:vAlign w:val="top"/>
          </w:tcPr>
          <w:p>
            <w:pPr>
              <w:spacing w:after="40" w:before="0" w:line="259" w:lineRule="auto"/>
            </w:pPr>
            <w:r>
              <w:rPr>
                <w:rFonts w:ascii="Calibri" w:hAnsi="Calibri"/>
                <w:b w:val="0"/>
                <w:i w:val="0"/>
                <w:color w:val="212121"/>
                <w:sz w:val="19"/>
              </w:rPr>
              <w:t>&lt; 5 g salt/day</w:t>
            </w:r>
          </w:p>
        </w:tc>
        <w:tc>
          <w:tcPr>
            <w:tcW w:type="dxa" w:w="1512"/>
            <w:vAlign w:val="top"/>
          </w:tcPr>
          <w:p>
            <w:pPr>
              <w:spacing w:after="40" w:before="0" w:line="259" w:lineRule="auto"/>
            </w:pPr>
            <w:r>
              <w:rPr>
                <w:rFonts w:ascii="Calibri" w:hAnsi="Calibri"/>
                <w:b w:val="0"/>
                <w:i w:val="0"/>
                <w:color w:val="212121"/>
                <w:sz w:val="19"/>
              </w:rPr>
              <w:t>&gt; 5 g/day</w:t>
            </w:r>
          </w:p>
        </w:tc>
        <w:tc>
          <w:tcPr>
            <w:tcW w:type="dxa" w:w="1468"/>
            <w:vAlign w:val="top"/>
          </w:tcPr>
          <w:p>
            <w:pPr>
              <w:spacing w:after="40" w:before="0" w:line="259" w:lineRule="auto"/>
            </w:pPr>
            <w:r>
              <w:rPr>
                <w:rFonts w:ascii="Calibri" w:hAnsi="Calibri"/>
                <w:b w:val="0"/>
                <w:i w:val="0"/>
                <w:color w:val="212121"/>
                <w:sz w:val="19"/>
              </w:rPr>
              <w:t>Sodium restriction supports control of renovascular hypertension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Chronic vasculitis patients</w:t>
            </w:r>
          </w:p>
        </w:tc>
        <w:tc>
          <w:tcPr>
            <w:tcW w:type="dxa" w:w="1512"/>
            <w:vAlign w:val="top"/>
          </w:tcPr>
          <w:p>
            <w:pPr>
              <w:spacing w:after="40" w:before="0" w:line="259" w:lineRule="auto"/>
            </w:pPr>
            <w:r>
              <w:rPr>
                <w:rFonts w:ascii="Calibri" w:hAnsi="Calibri"/>
                <w:b w:val="0"/>
                <w:i w:val="0"/>
                <w:color w:val="212121"/>
                <w:sz w:val="19"/>
              </w:rPr>
              <w:t>7–9 h/night</w:t>
            </w:r>
          </w:p>
        </w:tc>
        <w:tc>
          <w:tcPr>
            <w:tcW w:type="dxa" w:w="1512"/>
            <w:vAlign w:val="top"/>
          </w:tcPr>
          <w:p>
            <w:pPr>
              <w:spacing w:after="40" w:before="0" w:line="259" w:lineRule="auto"/>
            </w:pPr>
            <w:r>
              <w:rPr>
                <w:rFonts w:ascii="Calibri" w:hAnsi="Calibri"/>
                <w:b w:val="0"/>
                <w:i w:val="0"/>
                <w:color w:val="212121"/>
                <w:sz w:val="19"/>
              </w:rPr>
              <w:t>&lt; 6 h/night</w:t>
            </w:r>
          </w:p>
        </w:tc>
        <w:tc>
          <w:tcPr>
            <w:tcW w:type="dxa" w:w="1468"/>
            <w:vAlign w:val="top"/>
          </w:tcPr>
          <w:p>
            <w:pPr>
              <w:spacing w:after="40" w:before="0" w:line="259" w:lineRule="auto"/>
            </w:pPr>
            <w:r>
              <w:rPr>
                <w:rFonts w:ascii="Calibri" w:hAnsi="Calibri"/>
                <w:b w:val="0"/>
                <w:i w:val="0"/>
                <w:color w:val="212121"/>
                <w:sz w:val="19"/>
              </w:rPr>
              <w:t>Poor sleep worsens fatigue and inflammatory symptom burden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All patients; pre/post revascularisation</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Any smoking accelerates arterial occlusion and post-procedure restenosis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Patients on methotrexate/immunosuppressants</w:t>
            </w:r>
          </w:p>
        </w:tc>
        <w:tc>
          <w:tcPr>
            <w:tcW w:type="dxa" w:w="1512"/>
            <w:vAlign w:val="top"/>
          </w:tcPr>
          <w:p>
            <w:pPr>
              <w:spacing w:after="40" w:before="0" w:line="259" w:lineRule="auto"/>
            </w:pPr>
            <w:r>
              <w:rPr>
                <w:rFonts w:ascii="Calibri" w:hAnsi="Calibri"/>
                <w:b w:val="0"/>
                <w:i w:val="0"/>
                <w:color w:val="212121"/>
                <w:sz w:val="19"/>
              </w:rPr>
              <w:t>0–minimal</w:t>
            </w:r>
          </w:p>
        </w:tc>
        <w:tc>
          <w:tcPr>
            <w:tcW w:type="dxa" w:w="1512"/>
            <w:vAlign w:val="top"/>
          </w:tcPr>
          <w:p>
            <w:pPr>
              <w:spacing w:after="40" w:before="0" w:line="259" w:lineRule="auto"/>
            </w:pPr>
            <w:r>
              <w:rPr>
                <w:rFonts w:ascii="Calibri" w:hAnsi="Calibri"/>
                <w:b w:val="0"/>
                <w:i w:val="0"/>
                <w:color w:val="212121"/>
                <w:sz w:val="19"/>
              </w:rPr>
              <w:t>Regular or heavy intake</w:t>
            </w:r>
          </w:p>
        </w:tc>
        <w:tc>
          <w:tcPr>
            <w:tcW w:type="dxa" w:w="1468"/>
            <w:vAlign w:val="top"/>
          </w:tcPr>
          <w:p>
            <w:pPr>
              <w:spacing w:after="40" w:before="0" w:line="259" w:lineRule="auto"/>
            </w:pPr>
            <w:r>
              <w:rPr>
                <w:rFonts w:ascii="Calibri" w:hAnsi="Calibri"/>
                <w:b w:val="0"/>
                <w:i w:val="0"/>
                <w:color w:val="212121"/>
                <w:sz w:val="19"/>
              </w:rPr>
              <w:t>Alcohol raises hepatotoxicity risk with methotrexate and worsens hypertension</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depression score</w:t>
            </w:r>
          </w:p>
        </w:tc>
        <w:tc>
          <w:tcPr>
            <w:tcW w:type="dxa" w:w="1655"/>
            <w:vAlign w:val="top"/>
          </w:tcPr>
          <w:p>
            <w:pPr>
              <w:spacing w:after="40" w:before="0" w:line="259" w:lineRule="auto"/>
            </w:pPr>
            <w:r>
              <w:rPr>
                <w:rFonts w:ascii="Calibri" w:hAnsi="Calibri"/>
                <w:b w:val="0"/>
                <w:i w:val="0"/>
                <w:color w:val="212121"/>
                <w:sz w:val="19"/>
              </w:rPr>
              <w:t>Young women with relapsing disease</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 or higher)</w:t>
            </w:r>
          </w:p>
        </w:tc>
        <w:tc>
          <w:tcPr>
            <w:tcW w:type="dxa" w:w="1468"/>
            <w:vAlign w:val="top"/>
          </w:tcPr>
          <w:p>
            <w:pPr>
              <w:spacing w:after="40" w:before="0" w:line="259" w:lineRule="auto"/>
            </w:pPr>
            <w:r>
              <w:rPr>
                <w:rFonts w:ascii="Calibri" w:hAnsi="Calibri"/>
                <w:b w:val="0"/>
                <w:i w:val="0"/>
                <w:color w:val="212121"/>
                <w:sz w:val="19"/>
              </w:rPr>
              <w:t>Screen for depression and anxiety given chronic disease and steroid effects</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(L/day)</w:t>
            </w:r>
          </w:p>
        </w:tc>
        <w:tc>
          <w:tcPr>
            <w:tcW w:type="dxa" w:w="1655"/>
            <w:vAlign w:val="top"/>
          </w:tcPr>
          <w:p>
            <w:pPr>
              <w:spacing w:after="40" w:before="0" w:line="259" w:lineRule="auto"/>
            </w:pPr>
            <w:r>
              <w:rPr>
                <w:rFonts w:ascii="Calibri" w:hAnsi="Calibri"/>
                <w:b w:val="0"/>
                <w:i w:val="0"/>
                <w:color w:val="212121"/>
                <w:sz w:val="19"/>
              </w:rPr>
              <w:t>Patients with carotid/subclavian stenosis</w:t>
            </w:r>
          </w:p>
        </w:tc>
        <w:tc>
          <w:tcPr>
            <w:tcW w:type="dxa" w:w="1512"/>
            <w:vAlign w:val="top"/>
          </w:tcPr>
          <w:p>
            <w:pPr>
              <w:spacing w:after="40" w:before="0" w:line="259" w:lineRule="auto"/>
            </w:pPr>
            <w:r>
              <w:rPr>
                <w:rFonts w:ascii="Calibri" w:hAnsi="Calibri"/>
                <w:b w:val="0"/>
                <w:i w:val="0"/>
                <w:color w:val="212121"/>
                <w:sz w:val="19"/>
              </w:rPr>
              <w:t>~2–2.5 L/day (unless restricted)</w:t>
            </w:r>
          </w:p>
        </w:tc>
        <w:tc>
          <w:tcPr>
            <w:tcW w:type="dxa" w:w="1512"/>
            <w:vAlign w:val="top"/>
          </w:tcPr>
          <w:p>
            <w:pPr>
              <w:spacing w:after="40" w:before="0" w:line="259" w:lineRule="auto"/>
            </w:pPr>
            <w:r>
              <w:rPr>
                <w:rFonts w:ascii="Calibri" w:hAnsi="Calibri"/>
                <w:b w:val="0"/>
                <w:i w:val="0"/>
                <w:color w:val="212121"/>
                <w:sz w:val="19"/>
              </w:rPr>
              <w:t>Dehydration</w:t>
            </w:r>
          </w:p>
        </w:tc>
        <w:tc>
          <w:tcPr>
            <w:tcW w:type="dxa" w:w="1468"/>
            <w:vAlign w:val="top"/>
          </w:tcPr>
          <w:p>
            <w:pPr>
              <w:spacing w:after="40" w:before="0" w:line="259" w:lineRule="auto"/>
            </w:pPr>
            <w:r>
              <w:rPr>
                <w:rFonts w:ascii="Calibri" w:hAnsi="Calibri"/>
                <w:b w:val="0"/>
                <w:i w:val="0"/>
                <w:color w:val="212121"/>
                <w:sz w:val="19"/>
              </w:rPr>
              <w:t>Hypovolaemia can precipitate orthostatic or cerebral hypoperfusion symptoms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Erythrocyte Sedimentation Rate (ESR)</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&lt; 20 mm/hr</w:t>
            </w:r>
          </w:p>
        </w:tc>
        <w:tc>
          <w:tcPr>
            <w:tcW w:type="dxa" w:w="950"/>
            <w:vAlign w:val="top"/>
          </w:tcPr>
          <w:p>
            <w:pPr>
              <w:spacing w:after="40" w:before="0" w:line="259" w:lineRule="auto"/>
            </w:pPr>
            <w:r>
              <w:rPr>
                <w:rFonts w:ascii="Calibri" w:hAnsi="Calibri"/>
                <w:b w:val="0"/>
                <w:i w:val="0"/>
                <w:color w:val="212121"/>
                <w:sz w:val="16"/>
              </w:rPr>
              <w:t>Elevated (often &gt; 30–50 mm/hr)</w:t>
            </w:r>
          </w:p>
        </w:tc>
        <w:tc>
          <w:tcPr>
            <w:tcW w:type="dxa" w:w="1036"/>
            <w:vAlign w:val="top"/>
          </w:tcPr>
          <w:p>
            <w:pPr>
              <w:spacing w:after="40" w:before="0" w:line="259" w:lineRule="auto"/>
            </w:pPr>
            <w:r>
              <w:rPr>
                <w:rFonts w:ascii="Calibri" w:hAnsi="Calibri"/>
                <w:b w:val="0"/>
                <w:i w:val="0"/>
                <w:color w:val="212121"/>
                <w:sz w:val="16"/>
              </w:rPr>
              <w:t>Reflects active vascular inflammation and supports flare detection</w:t>
            </w:r>
          </w:p>
        </w:tc>
        <w:tc>
          <w:tcPr>
            <w:tcW w:type="dxa" w:w="1036"/>
            <w:vAlign w:val="top"/>
          </w:tcPr>
          <w:p>
            <w:pPr>
              <w:spacing w:after="40" w:before="0" w:line="259" w:lineRule="auto"/>
            </w:pPr>
            <w:r>
              <w:rPr>
                <w:rFonts w:ascii="Calibri" w:hAnsi="Calibri"/>
                <w:b w:val="0"/>
                <w:i w:val="0"/>
                <w:color w:val="212121"/>
                <w:sz w:val="16"/>
              </w:rPr>
              <w:t>Active TA, pre-pulseless phase,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May be normal in up to ~50% of patients despite active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C-reactive protein (CRP / hs-CRP)</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&lt; 5 mg/L</w:t>
            </w:r>
          </w:p>
        </w:tc>
        <w:tc>
          <w:tcPr>
            <w:tcW w:type="dxa" w:w="950"/>
            <w:vAlign w:val="top"/>
          </w:tcPr>
          <w:p>
            <w:pPr>
              <w:spacing w:after="40" w:before="0" w:line="259" w:lineRule="auto"/>
            </w:pPr>
            <w:r>
              <w:rPr>
                <w:rFonts w:ascii="Calibri" w:hAnsi="Calibri"/>
                <w:b w:val="0"/>
                <w:i w:val="0"/>
                <w:color w:val="212121"/>
                <w:sz w:val="16"/>
              </w:rPr>
              <w:t>&gt; 5 mg/L</w:t>
            </w:r>
          </w:p>
        </w:tc>
        <w:tc>
          <w:tcPr>
            <w:tcW w:type="dxa" w:w="1036"/>
            <w:vAlign w:val="top"/>
          </w:tcPr>
          <w:p>
            <w:pPr>
              <w:spacing w:after="40" w:before="0" w:line="259" w:lineRule="auto"/>
            </w:pPr>
            <w:r>
              <w:rPr>
                <w:rFonts w:ascii="Calibri" w:hAnsi="Calibri"/>
                <w:b w:val="0"/>
                <w:i w:val="0"/>
                <w:color w:val="212121"/>
                <w:sz w:val="16"/>
              </w:rPr>
              <w:t>Acute-phase marker of disease activity</w:t>
            </w:r>
          </w:p>
        </w:tc>
        <w:tc>
          <w:tcPr>
            <w:tcW w:type="dxa" w:w="1036"/>
            <w:vAlign w:val="top"/>
          </w:tcPr>
          <w:p>
            <w:pPr>
              <w:spacing w:after="40" w:before="0" w:line="259" w:lineRule="auto"/>
            </w:pPr>
            <w:r>
              <w:rPr>
                <w:rFonts w:ascii="Calibri" w:hAnsi="Calibri"/>
                <w:b w:val="0"/>
                <w:i w:val="0"/>
                <w:color w:val="212121"/>
                <w:sz w:val="16"/>
              </w:rPr>
              <w:t>Active disease, relapse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Used with ESR and the ITAS2010 activity score; can be normal in active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(Hb, WBC, platelets)</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Age/sex-specific</w:t>
            </w:r>
          </w:p>
        </w:tc>
        <w:tc>
          <w:tcPr>
            <w:tcW w:type="dxa" w:w="950"/>
            <w:vAlign w:val="top"/>
          </w:tcPr>
          <w:p>
            <w:pPr>
              <w:spacing w:after="40" w:before="0" w:line="259" w:lineRule="auto"/>
            </w:pPr>
            <w:r>
              <w:rPr>
                <w:rFonts w:ascii="Calibri" w:hAnsi="Calibri"/>
                <w:b w:val="0"/>
                <w:i w:val="0"/>
                <w:color w:val="212121"/>
                <w:sz w:val="16"/>
              </w:rPr>
              <w:t>Anaemia, leukocytosis, thrombocytosis</w:t>
            </w:r>
          </w:p>
        </w:tc>
        <w:tc>
          <w:tcPr>
            <w:tcW w:type="dxa" w:w="1036"/>
            <w:vAlign w:val="top"/>
          </w:tcPr>
          <w:p>
            <w:pPr>
              <w:spacing w:after="40" w:before="0" w:line="259" w:lineRule="auto"/>
            </w:pPr>
            <w:r>
              <w:rPr>
                <w:rFonts w:ascii="Calibri" w:hAnsi="Calibri"/>
                <w:b w:val="0"/>
                <w:i w:val="0"/>
                <w:color w:val="212121"/>
                <w:sz w:val="16"/>
              </w:rPr>
              <w:t>Anaemia of chronic disease and reactive thrombocytosis accompany active inflammation</w:t>
            </w:r>
          </w:p>
        </w:tc>
        <w:tc>
          <w:tcPr>
            <w:tcW w:type="dxa" w:w="1036"/>
            <w:vAlign w:val="top"/>
          </w:tcPr>
          <w:p>
            <w:pPr>
              <w:spacing w:after="40" w:before="0" w:line="259" w:lineRule="auto"/>
            </w:pPr>
            <w:r>
              <w:rPr>
                <w:rFonts w:ascii="Calibri" w:hAnsi="Calibri"/>
                <w:b w:val="0"/>
                <w:i w:val="0"/>
                <w:color w:val="212121"/>
                <w:sz w:val="16"/>
              </w:rPr>
              <w:t>Active TA, constitutional-phase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part of overall activity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CT angiography (CTA)</w:t>
            </w:r>
          </w:p>
        </w:tc>
        <w:tc>
          <w:tcPr>
            <w:tcW w:type="dxa" w:w="892"/>
            <w:vAlign w:val="top"/>
          </w:tcPr>
          <w:p>
            <w:pPr>
              <w:spacing w:after="40" w:before="0" w:line="259" w:lineRule="auto"/>
            </w:pPr>
            <w:r>
              <w:rPr>
                <w:rFonts w:ascii="Calibri" w:hAnsi="Calibri"/>
                <w:b w:val="0"/>
                <w:i w:val="0"/>
                <w:color w:val="212121"/>
                <w:sz w:val="16"/>
              </w:rPr>
              <w:t>Cross-sectional angiography</w:t>
            </w:r>
          </w:p>
        </w:tc>
        <w:tc>
          <w:tcPr>
            <w:tcW w:type="dxa" w:w="950"/>
            <w:vAlign w:val="top"/>
          </w:tcPr>
          <w:p>
            <w:pPr>
              <w:spacing w:after="40" w:before="0" w:line="259" w:lineRule="auto"/>
            </w:pPr>
            <w:r>
              <w:rPr>
                <w:rFonts w:ascii="Calibri" w:hAnsi="Calibri"/>
                <w:b w:val="0"/>
                <w:i w:val="0"/>
                <w:color w:val="212121"/>
                <w:sz w:val="16"/>
              </w:rPr>
              <w:t>Normal vessel wall and lumen</w:t>
            </w:r>
          </w:p>
        </w:tc>
        <w:tc>
          <w:tcPr>
            <w:tcW w:type="dxa" w:w="950"/>
            <w:vAlign w:val="top"/>
          </w:tcPr>
          <w:p>
            <w:pPr>
              <w:spacing w:after="40" w:before="0" w:line="259" w:lineRule="auto"/>
            </w:pPr>
            <w:r>
              <w:rPr>
                <w:rFonts w:ascii="Calibri" w:hAnsi="Calibri"/>
                <w:b w:val="0"/>
                <w:i w:val="0"/>
                <w:color w:val="212121"/>
                <w:sz w:val="16"/>
              </w:rPr>
              <w:t>Wall thickening, stenosis, occlusion, aneurysm</w:t>
            </w:r>
          </w:p>
        </w:tc>
        <w:tc>
          <w:tcPr>
            <w:tcW w:type="dxa" w:w="1036"/>
            <w:vAlign w:val="top"/>
          </w:tcPr>
          <w:p>
            <w:pPr>
              <w:spacing w:after="40" w:before="0" w:line="259" w:lineRule="auto"/>
            </w:pPr>
            <w:r>
              <w:rPr>
                <w:rFonts w:ascii="Calibri" w:hAnsi="Calibri"/>
                <w:b w:val="0"/>
                <w:i w:val="0"/>
                <w:color w:val="212121"/>
                <w:sz w:val="16"/>
              </w:rPr>
              <w:t>Standard for staging disease extent and the Numano/Hata type</w:t>
            </w:r>
          </w:p>
        </w:tc>
        <w:tc>
          <w:tcPr>
            <w:tcW w:type="dxa" w:w="1036"/>
            <w:vAlign w:val="top"/>
          </w:tcPr>
          <w:p>
            <w:pPr>
              <w:spacing w:after="40" w:before="0" w:line="259" w:lineRule="auto"/>
            </w:pPr>
            <w:r>
              <w:rPr>
                <w:rFonts w:ascii="Calibri" w:hAnsi="Calibri"/>
                <w:b w:val="0"/>
                <w:i w:val="0"/>
                <w:color w:val="212121"/>
                <w:sz w:val="16"/>
              </w:rPr>
              <w:t>All suspected/confirmed TA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(staging)</w:t>
            </w:r>
          </w:p>
        </w:tc>
        <w:tc>
          <w:tcPr>
            <w:tcW w:type="dxa" w:w="720"/>
            <w:vAlign w:val="top"/>
          </w:tcPr>
          <w:p>
            <w:pPr>
              <w:spacing w:after="40" w:before="0" w:line="259" w:lineRule="auto"/>
            </w:pPr>
            <w:r>
              <w:rPr>
                <w:rFonts w:ascii="Calibri" w:hAnsi="Calibri"/>
                <w:b w:val="0"/>
                <w:i w:val="0"/>
                <w:color w:val="212121"/>
                <w:sz w:val="16"/>
              </w:rPr>
              <w:t>Involves ionising radiation and iodinated contrast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 angiography (MRA)</w:t>
            </w:r>
          </w:p>
        </w:tc>
        <w:tc>
          <w:tcPr>
            <w:tcW w:type="dxa" w:w="892"/>
            <w:vAlign w:val="top"/>
          </w:tcPr>
          <w:p>
            <w:pPr>
              <w:spacing w:after="40" w:before="0" w:line="259" w:lineRule="auto"/>
            </w:pPr>
            <w:r>
              <w:rPr>
                <w:rFonts w:ascii="Calibri" w:hAnsi="Calibri"/>
                <w:b w:val="0"/>
                <w:i w:val="0"/>
                <w:color w:val="212121"/>
                <w:sz w:val="16"/>
              </w:rPr>
              <w:t>Cross-sectional angiography</w:t>
            </w:r>
          </w:p>
        </w:tc>
        <w:tc>
          <w:tcPr>
            <w:tcW w:type="dxa" w:w="950"/>
            <w:vAlign w:val="top"/>
          </w:tcPr>
          <w:p>
            <w:pPr>
              <w:spacing w:after="40" w:before="0" w:line="259" w:lineRule="auto"/>
            </w:pPr>
            <w:r>
              <w:rPr>
                <w:rFonts w:ascii="Calibri" w:hAnsi="Calibri"/>
                <w:b w:val="0"/>
                <w:i w:val="0"/>
                <w:color w:val="212121"/>
                <w:sz w:val="16"/>
              </w:rPr>
              <w:t>Normal wall and lumen</w:t>
            </w:r>
          </w:p>
        </w:tc>
        <w:tc>
          <w:tcPr>
            <w:tcW w:type="dxa" w:w="950"/>
            <w:vAlign w:val="top"/>
          </w:tcPr>
          <w:p>
            <w:pPr>
              <w:spacing w:after="40" w:before="0" w:line="259" w:lineRule="auto"/>
            </w:pPr>
            <w:r>
              <w:rPr>
                <w:rFonts w:ascii="Calibri" w:hAnsi="Calibri"/>
                <w:b w:val="0"/>
                <w:i w:val="0"/>
                <w:color w:val="212121"/>
                <w:sz w:val="16"/>
              </w:rPr>
              <w:t>Mural oedema/thickening, stenosis</w:t>
            </w:r>
          </w:p>
        </w:tc>
        <w:tc>
          <w:tcPr>
            <w:tcW w:type="dxa" w:w="1036"/>
            <w:vAlign w:val="top"/>
          </w:tcPr>
          <w:p>
            <w:pPr>
              <w:spacing w:after="40" w:before="0" w:line="259" w:lineRule="auto"/>
            </w:pPr>
            <w:r>
              <w:rPr>
                <w:rFonts w:ascii="Calibri" w:hAnsi="Calibri"/>
                <w:b w:val="0"/>
                <w:i w:val="0"/>
                <w:color w:val="212121"/>
                <w:sz w:val="16"/>
              </w:rPr>
              <w:t>Detects wall inflammation and stenosis without ionising radiation</w:t>
            </w:r>
          </w:p>
        </w:tc>
        <w:tc>
          <w:tcPr>
            <w:tcW w:type="dxa" w:w="1036"/>
            <w:vAlign w:val="top"/>
          </w:tcPr>
          <w:p>
            <w:pPr>
              <w:spacing w:after="40" w:before="0" w:line="259" w:lineRule="auto"/>
            </w:pPr>
            <w:r>
              <w:rPr>
                <w:rFonts w:ascii="Calibri" w:hAnsi="Calibri"/>
                <w:b w:val="0"/>
                <w:i w:val="0"/>
                <w:color w:val="212121"/>
                <w:sz w:val="16"/>
              </w:rPr>
              <w:t>Young women, serial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May overestimate stenosis severity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Doppler ultrasound (carotid/vertebral/subclavian)</w:t>
            </w:r>
          </w:p>
        </w:tc>
        <w:tc>
          <w:tcPr>
            <w:tcW w:type="dxa" w:w="892"/>
            <w:vAlign w:val="top"/>
          </w:tcPr>
          <w:p>
            <w:pPr>
              <w:spacing w:after="40" w:before="0" w:line="259" w:lineRule="auto"/>
            </w:pPr>
            <w:r>
              <w:rPr>
                <w:rFonts w:ascii="Calibri" w:hAnsi="Calibri"/>
                <w:b w:val="0"/>
                <w:i w:val="0"/>
                <w:color w:val="212121"/>
                <w:sz w:val="16"/>
              </w:rPr>
              <w:t>Vascular ultrasound</w:t>
            </w:r>
          </w:p>
        </w:tc>
        <w:tc>
          <w:tcPr>
            <w:tcW w:type="dxa" w:w="950"/>
            <w:vAlign w:val="top"/>
          </w:tcPr>
          <w:p>
            <w:pPr>
              <w:spacing w:after="40" w:before="0" w:line="259" w:lineRule="auto"/>
            </w:pPr>
            <w:r>
              <w:rPr>
                <w:rFonts w:ascii="Calibri" w:hAnsi="Calibri"/>
                <w:b w:val="0"/>
                <w:i w:val="0"/>
                <w:color w:val="212121"/>
                <w:sz w:val="16"/>
              </w:rPr>
              <w:t>Normal wall and flow</w:t>
            </w:r>
          </w:p>
        </w:tc>
        <w:tc>
          <w:tcPr>
            <w:tcW w:type="dxa" w:w="950"/>
            <w:vAlign w:val="top"/>
          </w:tcPr>
          <w:p>
            <w:pPr>
              <w:spacing w:after="40" w:before="0" w:line="259" w:lineRule="auto"/>
            </w:pPr>
            <w:r>
              <w:rPr>
                <w:rFonts w:ascii="Calibri" w:hAnsi="Calibri"/>
                <w:b w:val="0"/>
                <w:i w:val="0"/>
                <w:color w:val="212121"/>
                <w:sz w:val="16"/>
              </w:rPr>
              <w:t>Circumferential wall thickening (‘macaroni sign’), stenosis</w:t>
            </w:r>
          </w:p>
        </w:tc>
        <w:tc>
          <w:tcPr>
            <w:tcW w:type="dxa" w:w="1036"/>
            <w:vAlign w:val="top"/>
          </w:tcPr>
          <w:p>
            <w:pPr>
              <w:spacing w:after="40" w:before="0" w:line="259" w:lineRule="auto"/>
            </w:pPr>
            <w:r>
              <w:rPr>
                <w:rFonts w:ascii="Calibri" w:hAnsi="Calibri"/>
                <w:b w:val="0"/>
                <w:i w:val="0"/>
                <w:color w:val="212121"/>
                <w:sz w:val="16"/>
              </w:rPr>
              <w:t>Non-invasive detection of wall thickening and flow disturbance</w:t>
            </w:r>
          </w:p>
        </w:tc>
        <w:tc>
          <w:tcPr>
            <w:tcW w:type="dxa" w:w="1036"/>
            <w:vAlign w:val="top"/>
          </w:tcPr>
          <w:p>
            <w:pPr>
              <w:spacing w:after="40" w:before="0" w:line="259" w:lineRule="auto"/>
            </w:pPr>
            <w:r>
              <w:rPr>
                <w:rFonts w:ascii="Calibri" w:hAnsi="Calibri"/>
                <w:b w:val="0"/>
                <w:i w:val="0"/>
                <w:color w:val="212121"/>
                <w:sz w:val="16"/>
              </w:rPr>
              <w:t>Screening and bedside follow-up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Operator-dependent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18F-FDG PET-CT</w:t>
            </w:r>
          </w:p>
        </w:tc>
        <w:tc>
          <w:tcPr>
            <w:tcW w:type="dxa" w:w="892"/>
            <w:vAlign w:val="top"/>
          </w:tcPr>
          <w:p>
            <w:pPr>
              <w:spacing w:after="40" w:before="0" w:line="259" w:lineRule="auto"/>
            </w:pPr>
            <w:r>
              <w:rPr>
                <w:rFonts w:ascii="Calibri" w:hAnsi="Calibri"/>
                <w:b w:val="0"/>
                <w:i w:val="0"/>
                <w:color w:val="212121"/>
                <w:sz w:val="16"/>
              </w:rPr>
              <w:t>Metabolic imaging</w:t>
            </w:r>
          </w:p>
        </w:tc>
        <w:tc>
          <w:tcPr>
            <w:tcW w:type="dxa" w:w="950"/>
            <w:vAlign w:val="top"/>
          </w:tcPr>
          <w:p>
            <w:pPr>
              <w:spacing w:after="40" w:before="0" w:line="259" w:lineRule="auto"/>
            </w:pPr>
            <w:r>
              <w:rPr>
                <w:rFonts w:ascii="Calibri" w:hAnsi="Calibri"/>
                <w:b w:val="0"/>
                <w:i w:val="0"/>
                <w:color w:val="212121"/>
                <w:sz w:val="16"/>
              </w:rPr>
              <w:t>No abnormal vessel-wall uptake</w:t>
            </w:r>
          </w:p>
        </w:tc>
        <w:tc>
          <w:tcPr>
            <w:tcW w:type="dxa" w:w="950"/>
            <w:vAlign w:val="top"/>
          </w:tcPr>
          <w:p>
            <w:pPr>
              <w:spacing w:after="40" w:before="0" w:line="259" w:lineRule="auto"/>
            </w:pPr>
            <w:r>
              <w:rPr>
                <w:rFonts w:ascii="Calibri" w:hAnsi="Calibri"/>
                <w:b w:val="0"/>
                <w:i w:val="0"/>
                <w:color w:val="212121"/>
                <w:sz w:val="16"/>
              </w:rPr>
              <w:t>Increased mural FDG uptake</w:t>
            </w:r>
          </w:p>
        </w:tc>
        <w:tc>
          <w:tcPr>
            <w:tcW w:type="dxa" w:w="1036"/>
            <w:vAlign w:val="top"/>
          </w:tcPr>
          <w:p>
            <w:pPr>
              <w:spacing w:after="40" w:before="0" w:line="259" w:lineRule="auto"/>
            </w:pPr>
            <w:r>
              <w:rPr>
                <w:rFonts w:ascii="Calibri" w:hAnsi="Calibri"/>
                <w:b w:val="0"/>
                <w:i w:val="0"/>
                <w:color w:val="212121"/>
                <w:sz w:val="16"/>
              </w:rPr>
              <w:t>Highlights metabolically active vessel-wall inflammation, useful in early/active disease</w:t>
            </w:r>
          </w:p>
        </w:tc>
        <w:tc>
          <w:tcPr>
            <w:tcW w:type="dxa" w:w="1036"/>
            <w:vAlign w:val="top"/>
          </w:tcPr>
          <w:p>
            <w:pPr>
              <w:spacing w:after="40" w:before="0" w:line="259" w:lineRule="auto"/>
            </w:pPr>
            <w:r>
              <w:rPr>
                <w:rFonts w:ascii="Calibri" w:hAnsi="Calibri"/>
                <w:b w:val="0"/>
                <w:i w:val="0"/>
                <w:color w:val="212121"/>
                <w:sz w:val="16"/>
              </w:rPr>
              <w:t>Diagnostic uncertainty, activity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Limited availability and cost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Digital subtraction angiography (DSA)</w:t>
            </w:r>
          </w:p>
        </w:tc>
        <w:tc>
          <w:tcPr>
            <w:tcW w:type="dxa" w:w="892"/>
            <w:vAlign w:val="top"/>
          </w:tcPr>
          <w:p>
            <w:pPr>
              <w:spacing w:after="40" w:before="0" w:line="259" w:lineRule="auto"/>
            </w:pPr>
            <w:r>
              <w:rPr>
                <w:rFonts w:ascii="Calibri" w:hAnsi="Calibri"/>
                <w:b w:val="0"/>
                <w:i w:val="0"/>
                <w:color w:val="212121"/>
                <w:sz w:val="16"/>
              </w:rPr>
              <w:t>Catheter angiography</w:t>
            </w:r>
          </w:p>
        </w:tc>
        <w:tc>
          <w:tcPr>
            <w:tcW w:type="dxa" w:w="950"/>
            <w:vAlign w:val="top"/>
          </w:tcPr>
          <w:p>
            <w:pPr>
              <w:spacing w:after="40" w:before="0" w:line="259" w:lineRule="auto"/>
            </w:pPr>
            <w:r>
              <w:rPr>
                <w:rFonts w:ascii="Calibri" w:hAnsi="Calibri"/>
                <w:b w:val="0"/>
                <w:i w:val="0"/>
                <w:color w:val="212121"/>
                <w:sz w:val="16"/>
              </w:rPr>
              <w:t>Normal lumen</w:t>
            </w:r>
          </w:p>
        </w:tc>
        <w:tc>
          <w:tcPr>
            <w:tcW w:type="dxa" w:w="950"/>
            <w:vAlign w:val="top"/>
          </w:tcPr>
          <w:p>
            <w:pPr>
              <w:spacing w:after="40" w:before="0" w:line="259" w:lineRule="auto"/>
            </w:pPr>
            <w:r>
              <w:rPr>
                <w:rFonts w:ascii="Calibri" w:hAnsi="Calibri"/>
                <w:b w:val="0"/>
                <w:i w:val="0"/>
                <w:color w:val="212121"/>
                <w:sz w:val="16"/>
              </w:rPr>
              <w:t>Smooth tapered stenosis, occlusion, skip lesions, aneurysm</w:t>
            </w:r>
          </w:p>
        </w:tc>
        <w:tc>
          <w:tcPr>
            <w:tcW w:type="dxa" w:w="1036"/>
            <w:vAlign w:val="top"/>
          </w:tcPr>
          <w:p>
            <w:pPr>
              <w:spacing w:after="40" w:before="0" w:line="259" w:lineRule="auto"/>
            </w:pPr>
            <w:r>
              <w:rPr>
                <w:rFonts w:ascii="Calibri" w:hAnsi="Calibri"/>
                <w:b w:val="0"/>
                <w:i w:val="0"/>
                <w:color w:val="212121"/>
                <w:sz w:val="16"/>
              </w:rPr>
              <w:t>Reference standard for luminal disease and a platform for endovascular therapy</w:t>
            </w:r>
          </w:p>
        </w:tc>
        <w:tc>
          <w:tcPr>
            <w:tcW w:type="dxa" w:w="1036"/>
            <w:vAlign w:val="top"/>
          </w:tcPr>
          <w:p>
            <w:pPr>
              <w:spacing w:after="40" w:before="0" w:line="259" w:lineRule="auto"/>
            </w:pPr>
            <w:r>
              <w:rPr>
                <w:rFonts w:ascii="Calibri" w:hAnsi="Calibri"/>
                <w:b w:val="0"/>
                <w:i w:val="0"/>
                <w:color w:val="212121"/>
                <w:sz w:val="16"/>
              </w:rPr>
              <w:t>Planning revascularisation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Reference (luminal)</w:t>
            </w:r>
          </w:p>
        </w:tc>
        <w:tc>
          <w:tcPr>
            <w:tcW w:type="dxa" w:w="720"/>
            <w:vAlign w:val="top"/>
          </w:tcPr>
          <w:p>
            <w:pPr>
              <w:spacing w:after="40" w:before="0" w:line="259" w:lineRule="auto"/>
            </w:pPr>
            <w:r>
              <w:rPr>
                <w:rFonts w:ascii="Calibri" w:hAnsi="Calibri"/>
                <w:b w:val="0"/>
                <w:i w:val="0"/>
                <w:color w:val="212121"/>
                <w:sz w:val="16"/>
              </w:rPr>
              <w:t>Invasive; shows lumen, not the wall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Serum creatinine / eGFR</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eGFR ≥ 90; creatinine 0.6–1.2 mg/dL</w:t>
            </w:r>
          </w:p>
        </w:tc>
        <w:tc>
          <w:tcPr>
            <w:tcW w:type="dxa" w:w="950"/>
            <w:vAlign w:val="top"/>
          </w:tcPr>
          <w:p>
            <w:pPr>
              <w:spacing w:after="40" w:before="0" w:line="259" w:lineRule="auto"/>
            </w:pPr>
            <w:r>
              <w:rPr>
                <w:rFonts w:ascii="Calibri" w:hAnsi="Calibri"/>
                <w:b w:val="0"/>
                <w:i w:val="0"/>
                <w:color w:val="212121"/>
                <w:sz w:val="16"/>
              </w:rPr>
              <w:t>Rising creatinine / falling eGFR</w:t>
            </w:r>
          </w:p>
        </w:tc>
        <w:tc>
          <w:tcPr>
            <w:tcW w:type="dxa" w:w="1036"/>
            <w:vAlign w:val="top"/>
          </w:tcPr>
          <w:p>
            <w:pPr>
              <w:spacing w:after="40" w:before="0" w:line="259" w:lineRule="auto"/>
            </w:pPr>
            <w:r>
              <w:rPr>
                <w:rFonts w:ascii="Calibri" w:hAnsi="Calibri"/>
                <w:b w:val="0"/>
                <w:i w:val="0"/>
                <w:color w:val="212121"/>
                <w:sz w:val="16"/>
              </w:rPr>
              <w:t>Screens for renovascular and hypertensive kidney injury</w:t>
            </w:r>
          </w:p>
        </w:tc>
        <w:tc>
          <w:tcPr>
            <w:tcW w:type="dxa" w:w="1036"/>
            <w:vAlign w:val="top"/>
          </w:tcPr>
          <w:p>
            <w:pPr>
              <w:spacing w:after="40" w:before="0" w:line="259" w:lineRule="auto"/>
            </w:pPr>
            <w:r>
              <w:rPr>
                <w:rFonts w:ascii="Calibri" w:hAnsi="Calibri"/>
                <w:b w:val="0"/>
                <w:i w:val="0"/>
                <w:color w:val="212121"/>
                <w:sz w:val="16"/>
              </w:rPr>
              <w:t>Renal-artery involvement, hypertensive TA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Guides the need for renovascular intervention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Infection screen</w:t>
            </w:r>
          </w:p>
        </w:tc>
        <w:tc>
          <w:tcPr>
            <w:tcW w:type="dxa" w:w="1036"/>
            <w:vAlign w:val="top"/>
          </w:tcPr>
          <w:p>
            <w:pPr>
              <w:spacing w:after="40" w:before="0" w:line="259" w:lineRule="auto"/>
            </w:pPr>
            <w:r>
              <w:rPr>
                <w:rFonts w:ascii="Calibri" w:hAnsi="Calibri"/>
                <w:b w:val="0"/>
                <w:i w:val="0"/>
                <w:color w:val="212121"/>
                <w:sz w:val="16"/>
              </w:rPr>
              <w:t>Tuberculin skin test / IGRA</w:t>
            </w:r>
          </w:p>
        </w:tc>
        <w:tc>
          <w:tcPr>
            <w:tcW w:type="dxa" w:w="892"/>
            <w:vAlign w:val="top"/>
          </w:tcPr>
          <w:p>
            <w:pPr>
              <w:spacing w:after="40" w:before="0" w:line="259" w:lineRule="auto"/>
            </w:pPr>
            <w:r>
              <w:rPr>
                <w:rFonts w:ascii="Calibri" w:hAnsi="Calibri"/>
                <w:b w:val="0"/>
                <w:i w:val="0"/>
                <w:color w:val="212121"/>
                <w:sz w:val="16"/>
              </w:rPr>
              <w:t>Latent-TB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Identifies latent tuberculosis before immunosuppression in TB-endemic India</w:t>
            </w:r>
          </w:p>
        </w:tc>
        <w:tc>
          <w:tcPr>
            <w:tcW w:type="dxa" w:w="1036"/>
            <w:vAlign w:val="top"/>
          </w:tcPr>
          <w:p>
            <w:pPr>
              <w:spacing w:after="40" w:before="0" w:line="259" w:lineRule="auto"/>
            </w:pPr>
            <w:r>
              <w:rPr>
                <w:rFonts w:ascii="Calibri" w:hAnsi="Calibri"/>
                <w:b w:val="0"/>
                <w:i w:val="0"/>
                <w:color w:val="212121"/>
                <w:sz w:val="16"/>
              </w:rPr>
              <w:t>Indian patients before steroids/biologics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Essential (India)</w:t>
            </w:r>
          </w:p>
        </w:tc>
        <w:tc>
          <w:tcPr>
            <w:tcW w:type="dxa" w:w="720"/>
            <w:vAlign w:val="top"/>
          </w:tcPr>
          <w:p>
            <w:pPr>
              <w:spacing w:after="40" w:before="0" w:line="259" w:lineRule="auto"/>
            </w:pPr>
            <w:r>
              <w:rPr>
                <w:rFonts w:ascii="Calibri" w:hAnsi="Calibri"/>
                <w:b w:val="0"/>
                <w:i w:val="0"/>
                <w:color w:val="212121"/>
                <w:sz w:val="16"/>
              </w:rPr>
              <w:t>Reflects the debated TB–TA association and treatment safety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Limb claudication, dizziness, headache, visual symptoms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Cardinal ischaemic symptoms of large-vessel narrowing</w:t>
            </w:r>
          </w:p>
        </w:tc>
        <w:tc>
          <w:tcPr>
            <w:tcW w:type="dxa" w:w="1036"/>
            <w:vAlign w:val="top"/>
          </w:tcPr>
          <w:p>
            <w:pPr>
              <w:spacing w:after="40" w:before="0" w:line="259" w:lineRule="auto"/>
            </w:pPr>
            <w:r>
              <w:rPr>
                <w:rFonts w:ascii="Calibri" w:hAnsi="Calibri"/>
                <w:b w:val="0"/>
                <w:i w:val="0"/>
                <w:color w:val="212121"/>
                <w:sz w:val="16"/>
              </w:rPr>
              <w:t>Young adults, young women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Upper-limb claudication is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Peripheral pulses</w:t>
            </w:r>
          </w:p>
        </w:tc>
        <w:tc>
          <w:tcPr>
            <w:tcW w:type="dxa" w:w="979"/>
            <w:vAlign w:val="top"/>
          </w:tcPr>
          <w:p>
            <w:pPr>
              <w:spacing w:after="40" w:before="0" w:line="259" w:lineRule="auto"/>
            </w:pPr>
            <w:r>
              <w:rPr>
                <w:rFonts w:ascii="Calibri" w:hAnsi="Calibri"/>
                <w:b w:val="0"/>
                <w:i w:val="0"/>
                <w:color w:val="212121"/>
                <w:sz w:val="16"/>
              </w:rPr>
              <w:t>Radial, brachial, carotid, femoral pulses</w:t>
            </w:r>
          </w:p>
        </w:tc>
        <w:tc>
          <w:tcPr>
            <w:tcW w:type="dxa" w:w="950"/>
            <w:vAlign w:val="top"/>
          </w:tcPr>
          <w:p>
            <w:pPr>
              <w:spacing w:after="40" w:before="0" w:line="259" w:lineRule="auto"/>
            </w:pPr>
            <w:r>
              <w:rPr>
                <w:rFonts w:ascii="Calibri" w:hAnsi="Calibri"/>
                <w:b w:val="0"/>
                <w:i w:val="0"/>
                <w:color w:val="212121"/>
                <w:sz w:val="16"/>
              </w:rPr>
              <w:t>Symmetric, normal volume</w:t>
            </w:r>
          </w:p>
        </w:tc>
        <w:tc>
          <w:tcPr>
            <w:tcW w:type="dxa" w:w="950"/>
            <w:vAlign w:val="top"/>
          </w:tcPr>
          <w:p>
            <w:pPr>
              <w:spacing w:after="40" w:before="0" w:line="259" w:lineRule="auto"/>
            </w:pPr>
            <w:r>
              <w:rPr>
                <w:rFonts w:ascii="Calibri" w:hAnsi="Calibri"/>
                <w:b w:val="0"/>
                <w:i w:val="0"/>
                <w:color w:val="212121"/>
                <w:sz w:val="16"/>
              </w:rPr>
              <w:t>Absent or diminished (‘pulseless’)</w:t>
            </w:r>
          </w:p>
        </w:tc>
        <w:tc>
          <w:tcPr>
            <w:tcW w:type="dxa" w:w="1036"/>
            <w:vAlign w:val="top"/>
          </w:tcPr>
          <w:p>
            <w:pPr>
              <w:spacing w:after="40" w:before="0" w:line="259" w:lineRule="auto"/>
            </w:pPr>
            <w:r>
              <w:rPr>
                <w:rFonts w:ascii="Calibri" w:hAnsi="Calibri"/>
                <w:b w:val="0"/>
                <w:i w:val="0"/>
                <w:color w:val="212121"/>
                <w:sz w:val="16"/>
              </w:rPr>
              <w:t>Hallmark of subclavian / aortic-branch occlusion</w:t>
            </w:r>
          </w:p>
        </w:tc>
        <w:tc>
          <w:tcPr>
            <w:tcW w:type="dxa" w:w="1036"/>
            <w:vAlign w:val="top"/>
          </w:tcPr>
          <w:p>
            <w:pPr>
              <w:spacing w:after="40" w:before="0" w:line="259" w:lineRule="auto"/>
            </w:pPr>
            <w:r>
              <w:rPr>
                <w:rFonts w:ascii="Calibri" w:hAnsi="Calibri"/>
                <w:b w:val="0"/>
                <w:i w:val="0"/>
                <w:color w:val="212121"/>
                <w:sz w:val="16"/>
              </w:rPr>
              <w:t>All suspected TA</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Key sign</w:t>
            </w:r>
          </w:p>
        </w:tc>
        <w:tc>
          <w:tcPr>
            <w:tcW w:type="dxa" w:w="720"/>
            <w:vAlign w:val="top"/>
          </w:tcPr>
          <w:p>
            <w:pPr>
              <w:spacing w:after="40" w:before="0" w:line="259" w:lineRule="auto"/>
            </w:pPr>
            <w:r>
              <w:rPr>
                <w:rFonts w:ascii="Calibri" w:hAnsi="Calibri"/>
                <w:b w:val="0"/>
                <w:i w:val="0"/>
                <w:color w:val="212121"/>
                <w:sz w:val="16"/>
              </w:rPr>
              <w:t>Gives the disease its name, ‘pulseless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Four-limb blood pressure</w:t>
            </w:r>
          </w:p>
        </w:tc>
        <w:tc>
          <w:tcPr>
            <w:tcW w:type="dxa" w:w="979"/>
            <w:vAlign w:val="top"/>
          </w:tcPr>
          <w:p>
            <w:pPr>
              <w:spacing w:after="40" w:before="0" w:line="259" w:lineRule="auto"/>
            </w:pPr>
            <w:r>
              <w:rPr>
                <w:rFonts w:ascii="Calibri" w:hAnsi="Calibri"/>
                <w:b w:val="0"/>
                <w:i w:val="0"/>
                <w:color w:val="212121"/>
                <w:sz w:val="16"/>
              </w:rPr>
              <w:t>Inter-arm / arm-leg systolic BP difference</w:t>
            </w:r>
          </w:p>
        </w:tc>
        <w:tc>
          <w:tcPr>
            <w:tcW w:type="dxa" w:w="950"/>
            <w:vAlign w:val="top"/>
          </w:tcPr>
          <w:p>
            <w:pPr>
              <w:spacing w:after="40" w:before="0" w:line="259" w:lineRule="auto"/>
            </w:pPr>
            <w:r>
              <w:rPr>
                <w:rFonts w:ascii="Calibri" w:hAnsi="Calibri"/>
                <w:b w:val="0"/>
                <w:i w:val="0"/>
                <w:color w:val="212121"/>
                <w:sz w:val="16"/>
              </w:rPr>
              <w:t>&lt; 10 mmHg difference</w:t>
            </w:r>
          </w:p>
        </w:tc>
        <w:tc>
          <w:tcPr>
            <w:tcW w:type="dxa" w:w="950"/>
            <w:vAlign w:val="top"/>
          </w:tcPr>
          <w:p>
            <w:pPr>
              <w:spacing w:after="40" w:before="0" w:line="259" w:lineRule="auto"/>
            </w:pPr>
            <w:r>
              <w:rPr>
                <w:rFonts w:ascii="Calibri" w:hAnsi="Calibri"/>
                <w:b w:val="0"/>
                <w:i w:val="0"/>
                <w:color w:val="212121"/>
                <w:sz w:val="16"/>
              </w:rPr>
              <w:t>&gt; 10 mmHg difference; unrecordable BP</w:t>
            </w:r>
          </w:p>
        </w:tc>
        <w:tc>
          <w:tcPr>
            <w:tcW w:type="dxa" w:w="1036"/>
            <w:vAlign w:val="top"/>
          </w:tcPr>
          <w:p>
            <w:pPr>
              <w:spacing w:after="40" w:before="0" w:line="259" w:lineRule="auto"/>
            </w:pPr>
            <w:r>
              <w:rPr>
                <w:rFonts w:ascii="Calibri" w:hAnsi="Calibri"/>
                <w:b w:val="0"/>
                <w:i w:val="0"/>
                <w:color w:val="212121"/>
                <w:sz w:val="16"/>
              </w:rPr>
              <w:t>Indicates subclavian/aortic stenosis; an ACR criterion</w:t>
            </w:r>
          </w:p>
        </w:tc>
        <w:tc>
          <w:tcPr>
            <w:tcW w:type="dxa" w:w="1036"/>
            <w:vAlign w:val="top"/>
          </w:tcPr>
          <w:p>
            <w:pPr>
              <w:spacing w:after="40" w:before="0" w:line="259" w:lineRule="auto"/>
            </w:pPr>
            <w:r>
              <w:rPr>
                <w:rFonts w:ascii="Calibri" w:hAnsi="Calibri"/>
                <w:b w:val="0"/>
                <w:i w:val="0"/>
                <w:color w:val="212121"/>
                <w:sz w:val="16"/>
              </w:rPr>
              <w:t>All suspected TA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Key sign</w:t>
            </w:r>
          </w:p>
        </w:tc>
        <w:tc>
          <w:tcPr>
            <w:tcW w:type="dxa" w:w="720"/>
            <w:vAlign w:val="top"/>
          </w:tcPr>
          <w:p>
            <w:pPr>
              <w:spacing w:after="40" w:before="0" w:line="259" w:lineRule="auto"/>
            </w:pPr>
            <w:r>
              <w:rPr>
                <w:rFonts w:ascii="Calibri" w:hAnsi="Calibri"/>
                <w:b w:val="0"/>
                <w:i w:val="0"/>
                <w:color w:val="212121"/>
                <w:sz w:val="16"/>
              </w:rPr>
              <w:t>Arm BP may read falsely low with subclavian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Auscultation for bruits</w:t>
            </w:r>
          </w:p>
        </w:tc>
        <w:tc>
          <w:tcPr>
            <w:tcW w:type="dxa" w:w="979"/>
            <w:vAlign w:val="top"/>
          </w:tcPr>
          <w:p>
            <w:pPr>
              <w:spacing w:after="40" w:before="0" w:line="259" w:lineRule="auto"/>
            </w:pPr>
            <w:r>
              <w:rPr>
                <w:rFonts w:ascii="Calibri" w:hAnsi="Calibri"/>
                <w:b w:val="0"/>
                <w:i w:val="0"/>
                <w:color w:val="212121"/>
                <w:sz w:val="16"/>
              </w:rPr>
              <w:t>Carotid, subclavian, abdominal, renal bruits</w:t>
            </w:r>
          </w:p>
        </w:tc>
        <w:tc>
          <w:tcPr>
            <w:tcW w:type="dxa" w:w="950"/>
            <w:vAlign w:val="top"/>
          </w:tcPr>
          <w:p>
            <w:pPr>
              <w:spacing w:after="40" w:before="0" w:line="259" w:lineRule="auto"/>
            </w:pPr>
            <w:r>
              <w:rPr>
                <w:rFonts w:ascii="Calibri" w:hAnsi="Calibri"/>
                <w:b w:val="0"/>
                <w:i w:val="0"/>
                <w:color w:val="212121"/>
                <w:sz w:val="16"/>
              </w:rPr>
              <w:t>No bruit</w:t>
            </w:r>
          </w:p>
        </w:tc>
        <w:tc>
          <w:tcPr>
            <w:tcW w:type="dxa" w:w="950"/>
            <w:vAlign w:val="top"/>
          </w:tcPr>
          <w:p>
            <w:pPr>
              <w:spacing w:after="40" w:before="0" w:line="259" w:lineRule="auto"/>
            </w:pPr>
            <w:r>
              <w:rPr>
                <w:rFonts w:ascii="Calibri" w:hAnsi="Calibri"/>
                <w:b w:val="0"/>
                <w:i w:val="0"/>
                <w:color w:val="212121"/>
                <w:sz w:val="16"/>
              </w:rPr>
              <w:t>Bruit present</w:t>
            </w:r>
          </w:p>
        </w:tc>
        <w:tc>
          <w:tcPr>
            <w:tcW w:type="dxa" w:w="1036"/>
            <w:vAlign w:val="top"/>
          </w:tcPr>
          <w:p>
            <w:pPr>
              <w:spacing w:after="40" w:before="0" w:line="259" w:lineRule="auto"/>
            </w:pPr>
            <w:r>
              <w:rPr>
                <w:rFonts w:ascii="Calibri" w:hAnsi="Calibri"/>
                <w:b w:val="0"/>
                <w:i w:val="0"/>
                <w:color w:val="212121"/>
                <w:sz w:val="16"/>
              </w:rPr>
              <w:t>Turbulent flow across stenosed large vessels; an ACR criterion</w:t>
            </w:r>
          </w:p>
        </w:tc>
        <w:tc>
          <w:tcPr>
            <w:tcW w:type="dxa" w:w="1036"/>
            <w:vAlign w:val="top"/>
          </w:tcPr>
          <w:p>
            <w:pPr>
              <w:spacing w:after="40" w:before="0" w:line="259" w:lineRule="auto"/>
            </w:pPr>
            <w:r>
              <w:rPr>
                <w:rFonts w:ascii="Calibri" w:hAnsi="Calibri"/>
                <w:b w:val="0"/>
                <w:i w:val="0"/>
                <w:color w:val="212121"/>
                <w:sz w:val="16"/>
              </w:rPr>
              <w:t>All suspected TA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sign</w:t>
            </w:r>
          </w:p>
        </w:tc>
        <w:tc>
          <w:tcPr>
            <w:tcW w:type="dxa" w:w="720"/>
            <w:vAlign w:val="top"/>
          </w:tcPr>
          <w:p>
            <w:pPr>
              <w:spacing w:after="40" w:before="0" w:line="259" w:lineRule="auto"/>
            </w:pPr>
            <w:r>
              <w:rPr>
                <w:rFonts w:ascii="Calibri" w:hAnsi="Calibri"/>
                <w:b w:val="0"/>
                <w:i w:val="0"/>
                <w:color w:val="212121"/>
                <w:sz w:val="16"/>
              </w:rPr>
              <w:t>An abdominal/renal bruit fits India's abdominal-predominant pattern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Cardiac examination</w:t>
            </w:r>
          </w:p>
        </w:tc>
        <w:tc>
          <w:tcPr>
            <w:tcW w:type="dxa" w:w="979"/>
            <w:vAlign w:val="top"/>
          </w:tcPr>
          <w:p>
            <w:pPr>
              <w:spacing w:after="40" w:before="0" w:line="259" w:lineRule="auto"/>
            </w:pPr>
            <w:r>
              <w:rPr>
                <w:rFonts w:ascii="Calibri" w:hAnsi="Calibri"/>
                <w:b w:val="0"/>
                <w:i w:val="0"/>
                <w:color w:val="212121"/>
                <w:sz w:val="16"/>
              </w:rPr>
              <w:t>Aortic regurgitation murmur, heart-failure signs</w:t>
            </w:r>
          </w:p>
        </w:tc>
        <w:tc>
          <w:tcPr>
            <w:tcW w:type="dxa" w:w="950"/>
            <w:vAlign w:val="top"/>
          </w:tcPr>
          <w:p>
            <w:pPr>
              <w:spacing w:after="40" w:before="0" w:line="259" w:lineRule="auto"/>
            </w:pPr>
            <w:r>
              <w:rPr>
                <w:rFonts w:ascii="Calibri" w:hAnsi="Calibri"/>
                <w:b w:val="0"/>
                <w:i w:val="0"/>
                <w:color w:val="212121"/>
                <w:sz w:val="16"/>
              </w:rPr>
              <w:t>Normal heart sounds</w:t>
            </w:r>
          </w:p>
        </w:tc>
        <w:tc>
          <w:tcPr>
            <w:tcW w:type="dxa" w:w="950"/>
            <w:vAlign w:val="top"/>
          </w:tcPr>
          <w:p>
            <w:pPr>
              <w:spacing w:after="40" w:before="0" w:line="259" w:lineRule="auto"/>
            </w:pPr>
            <w:r>
              <w:rPr>
                <w:rFonts w:ascii="Calibri" w:hAnsi="Calibri"/>
                <w:b w:val="0"/>
                <w:i w:val="0"/>
                <w:color w:val="212121"/>
                <w:sz w:val="16"/>
              </w:rPr>
              <w:t>Early diastolic murmur, raised JVP, oedema</w:t>
            </w:r>
          </w:p>
        </w:tc>
        <w:tc>
          <w:tcPr>
            <w:tcW w:type="dxa" w:w="1036"/>
            <w:vAlign w:val="top"/>
          </w:tcPr>
          <w:p>
            <w:pPr>
              <w:spacing w:after="40" w:before="0" w:line="259" w:lineRule="auto"/>
            </w:pPr>
            <w:r>
              <w:rPr>
                <w:rFonts w:ascii="Calibri" w:hAnsi="Calibri"/>
                <w:b w:val="0"/>
                <w:i w:val="0"/>
                <w:color w:val="212121"/>
                <w:sz w:val="16"/>
              </w:rPr>
              <w:t>Aortic-root dilatation causing AR is a major cause of heart failure in TA</w:t>
            </w:r>
          </w:p>
        </w:tc>
        <w:tc>
          <w:tcPr>
            <w:tcW w:type="dxa" w:w="1036"/>
            <w:vAlign w:val="top"/>
          </w:tcPr>
          <w:p>
            <w:pPr>
              <w:spacing w:after="40" w:before="0" w:line="259" w:lineRule="auto"/>
            </w:pPr>
            <w:r>
              <w:rPr>
                <w:rFonts w:ascii="Calibri" w:hAnsi="Calibri"/>
                <w:b w:val="0"/>
                <w:i w:val="0"/>
                <w:color w:val="212121"/>
                <w:sz w:val="16"/>
              </w:rPr>
              <w:t>Ascending-aorta / Type IIa disease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Assess for cardiac decompensation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Fundoscopy</w:t>
            </w:r>
          </w:p>
        </w:tc>
        <w:tc>
          <w:tcPr>
            <w:tcW w:type="dxa" w:w="979"/>
            <w:vAlign w:val="top"/>
          </w:tcPr>
          <w:p>
            <w:pPr>
              <w:spacing w:after="40" w:before="0" w:line="259" w:lineRule="auto"/>
            </w:pPr>
            <w:r>
              <w:rPr>
                <w:rFonts w:ascii="Calibri" w:hAnsi="Calibri"/>
                <w:b w:val="0"/>
                <w:i w:val="0"/>
                <w:color w:val="212121"/>
                <w:sz w:val="16"/>
              </w:rPr>
              <w:t>Takayasu retinopathy</w:t>
            </w:r>
          </w:p>
        </w:tc>
        <w:tc>
          <w:tcPr>
            <w:tcW w:type="dxa" w:w="950"/>
            <w:vAlign w:val="top"/>
          </w:tcPr>
          <w:p>
            <w:pPr>
              <w:spacing w:after="40" w:before="0" w:line="259" w:lineRule="auto"/>
            </w:pPr>
            <w:r>
              <w:rPr>
                <w:rFonts w:ascii="Calibri" w:hAnsi="Calibri"/>
                <w:b w:val="0"/>
                <w:i w:val="0"/>
                <w:color w:val="212121"/>
                <w:sz w:val="16"/>
              </w:rPr>
              <w:t>Normal fundus</w:t>
            </w:r>
          </w:p>
        </w:tc>
        <w:tc>
          <w:tcPr>
            <w:tcW w:type="dxa" w:w="950"/>
            <w:vAlign w:val="top"/>
          </w:tcPr>
          <w:p>
            <w:pPr>
              <w:spacing w:after="40" w:before="0" w:line="259" w:lineRule="auto"/>
            </w:pPr>
            <w:r>
              <w:rPr>
                <w:rFonts w:ascii="Calibri" w:hAnsi="Calibri"/>
                <w:b w:val="0"/>
                <w:i w:val="0"/>
                <w:color w:val="212121"/>
                <w:sz w:val="16"/>
              </w:rPr>
              <w:t>AV anastomoses, microaneurysms, ischaemic changes</w:t>
            </w:r>
          </w:p>
        </w:tc>
        <w:tc>
          <w:tcPr>
            <w:tcW w:type="dxa" w:w="1036"/>
            <w:vAlign w:val="top"/>
          </w:tcPr>
          <w:p>
            <w:pPr>
              <w:spacing w:after="40" w:before="0" w:line="259" w:lineRule="auto"/>
            </w:pPr>
            <w:r>
              <w:rPr>
                <w:rFonts w:ascii="Calibri" w:hAnsi="Calibri"/>
                <w:b w:val="0"/>
                <w:i w:val="0"/>
                <w:color w:val="212121"/>
                <w:sz w:val="16"/>
              </w:rPr>
              <w:t>Chronic ocular hypoperfusion from carotid disease</w:t>
            </w:r>
          </w:p>
        </w:tc>
        <w:tc>
          <w:tcPr>
            <w:tcW w:type="dxa" w:w="1036"/>
            <w:vAlign w:val="top"/>
          </w:tcPr>
          <w:p>
            <w:pPr>
              <w:spacing w:after="40" w:before="0" w:line="259" w:lineRule="auto"/>
            </w:pPr>
            <w:r>
              <w:rPr>
                <w:rFonts w:ascii="Calibri" w:hAnsi="Calibri"/>
                <w:b w:val="0"/>
                <w:i w:val="0"/>
                <w:color w:val="212121"/>
                <w:sz w:val="16"/>
              </w:rPr>
              <w:t>Carotid-territory involvement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Marker of advanced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Constitutional symptoms</w:t>
            </w:r>
          </w:p>
        </w:tc>
        <w:tc>
          <w:tcPr>
            <w:tcW w:type="dxa" w:w="979"/>
            <w:vAlign w:val="top"/>
          </w:tcPr>
          <w:p>
            <w:pPr>
              <w:spacing w:after="40" w:before="0" w:line="259" w:lineRule="auto"/>
            </w:pPr>
            <w:r>
              <w:rPr>
                <w:rFonts w:ascii="Calibri" w:hAnsi="Calibri"/>
                <w:b w:val="0"/>
                <w:i w:val="0"/>
                <w:color w:val="212121"/>
                <w:sz w:val="16"/>
              </w:rPr>
              <w:t>Fever, weight loss, night sweats, malaise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Systemic (‘pre-pulseless’) inflammatory phase</w:t>
            </w:r>
          </w:p>
        </w:tc>
        <w:tc>
          <w:tcPr>
            <w:tcW w:type="dxa" w:w="1036"/>
            <w:vAlign w:val="top"/>
          </w:tcPr>
          <w:p>
            <w:pPr>
              <w:spacing w:after="40" w:before="0" w:line="259" w:lineRule="auto"/>
            </w:pPr>
            <w:r>
              <w:rPr>
                <w:rFonts w:ascii="Calibri" w:hAnsi="Calibri"/>
                <w:b w:val="0"/>
                <w:i w:val="0"/>
                <w:color w:val="212121"/>
                <w:sz w:val="16"/>
              </w:rPr>
              <w:t>Early-phase patients, children</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precedes vascular signs by months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Personal / family history</w:t>
            </w:r>
          </w:p>
        </w:tc>
        <w:tc>
          <w:tcPr>
            <w:tcW w:type="dxa" w:w="979"/>
            <w:vAlign w:val="top"/>
          </w:tcPr>
          <w:p>
            <w:pPr>
              <w:spacing w:after="40" w:before="0" w:line="259" w:lineRule="auto"/>
            </w:pPr>
            <w:r>
              <w:rPr>
                <w:rFonts w:ascii="Calibri" w:hAnsi="Calibri"/>
                <w:b w:val="0"/>
                <w:i w:val="0"/>
                <w:color w:val="212121"/>
                <w:sz w:val="16"/>
              </w:rPr>
              <w:t>Prior tuberculosis, autoimmune disease, HLA-B52, family history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Contextual risk and pre-treatment safety (latent TB)</w:t>
            </w:r>
          </w:p>
        </w:tc>
        <w:tc>
          <w:tcPr>
            <w:tcW w:type="dxa" w:w="1036"/>
            <w:vAlign w:val="top"/>
          </w:tcPr>
          <w:p>
            <w:pPr>
              <w:spacing w:after="40" w:before="0" w:line="259" w:lineRule="auto"/>
            </w:pPr>
            <w:r>
              <w:rPr>
                <w:rFonts w:ascii="Calibri" w:hAnsi="Calibri"/>
                <w:b w:val="0"/>
                <w:i w:val="0"/>
                <w:color w:val="212121"/>
                <w:sz w:val="16"/>
              </w:rPr>
              <w:t>Indian patients, relatives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TB screening before immunosuppression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constitutional feature of the systemic inflammatory phase.</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active vasculitis; part of the pre-pulseless phase.</w:t>
            </w:r>
          </w:p>
        </w:tc>
      </w:tr>
      <w:tr>
        <w:trPr>
          <w:cantSplit/>
        </w:trPr>
        <w:tc>
          <w:tcPr>
            <w:tcW w:type="dxa" w:w="2304"/>
            <w:vAlign w:val="top"/>
          </w:tcPr>
          <w:p>
            <w:pPr>
              <w:spacing w:after="40" w:before="0" w:line="259" w:lineRule="auto"/>
            </w:pPr>
            <w:r>
              <w:rPr>
                <w:rFonts w:ascii="Calibri" w:hAnsi="Calibri"/>
                <w:b/>
                <w:i w:val="0"/>
                <w:color w:val="212121"/>
                <w:sz w:val="19"/>
              </w:rPr>
              <w:t>Arthralgia / myalgia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inflammatory musculoskeletal pain.</w:t>
            </w:r>
          </w:p>
        </w:tc>
      </w:tr>
      <w:tr>
        <w:trPr>
          <w:cantSplit/>
        </w:trPr>
        <w:tc>
          <w:tcPr>
            <w:tcW w:type="dxa" w:w="2304"/>
            <w:vAlign w:val="top"/>
          </w:tcPr>
          <w:p>
            <w:pPr>
              <w:spacing w:after="40" w:before="0" w:line="259" w:lineRule="auto"/>
            </w:pPr>
            <w:r>
              <w:rPr>
                <w:rFonts w:ascii="Calibri" w:hAnsi="Calibri"/>
                <w:b/>
                <w:i w:val="0"/>
                <w:color w:val="212121"/>
                <w:sz w:val="19"/>
              </w:rPr>
              <w:t>Upper-limb claudication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Arm fatigue, pain or weakness on use from subclavian/axillary stenosis; characteristic of TA.</w:t>
            </w:r>
          </w:p>
        </w:tc>
      </w:tr>
      <w:tr>
        <w:trPr>
          <w:cantSplit/>
        </w:trPr>
        <w:tc>
          <w:tcPr>
            <w:tcW w:type="dxa" w:w="2304"/>
            <w:vAlign w:val="top"/>
          </w:tcPr>
          <w:p>
            <w:pPr>
              <w:spacing w:after="40" w:before="0" w:line="259" w:lineRule="auto"/>
            </w:pPr>
            <w:r>
              <w:rPr>
                <w:rFonts w:ascii="Calibri" w:hAnsi="Calibri"/>
                <w:b/>
                <w:i w:val="0"/>
                <w:color w:val="212121"/>
                <w:sz w:val="19"/>
              </w:rPr>
              <w:t>Dizziness / light-headedness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Cerebral or vertebrobasilar hypoperfusion from carotid/subclavian disease.</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common presenting symptom, related to carotid disease and hypertension.</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Constitutional feature of active inflammation.</w:t>
            </w:r>
          </w:p>
        </w:tc>
      </w:tr>
      <w:tr>
        <w:trPr>
          <w:cantSplit/>
        </w:trPr>
        <w:tc>
          <w:tcPr>
            <w:tcW w:type="dxa" w:w="2304"/>
            <w:vAlign w:val="top"/>
          </w:tcPr>
          <w:p>
            <w:pPr>
              <w:spacing w:after="40" w:before="0" w:line="259" w:lineRule="auto"/>
            </w:pPr>
            <w:r>
              <w:rPr>
                <w:rFonts w:ascii="Calibri" w:hAnsi="Calibri"/>
                <w:b/>
                <w:i w:val="0"/>
                <w:color w:val="212121"/>
                <w:sz w:val="19"/>
              </w:rPr>
              <w:t>Visual disturbance (blurring / transient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Retinal or cerebral ischaemia from carotid involvement.</w:t>
            </w:r>
          </w:p>
        </w:tc>
      </w:tr>
      <w:tr>
        <w:trPr>
          <w:cantSplit/>
        </w:trPr>
        <w:tc>
          <w:tcPr>
            <w:tcW w:type="dxa" w:w="2304"/>
            <w:vAlign w:val="top"/>
          </w:tcPr>
          <w:p>
            <w:pPr>
              <w:spacing w:after="40" w:before="0" w:line="259" w:lineRule="auto"/>
            </w:pPr>
            <w:r>
              <w:rPr>
                <w:rFonts w:ascii="Calibri" w:hAnsi="Calibri"/>
                <w:b/>
                <w:i w:val="0"/>
                <w:color w:val="212121"/>
                <w:sz w:val="19"/>
              </w:rPr>
              <w:t>Chest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Coronary ostial disease, aortitis or pulmonary artery involvement.</w:t>
            </w:r>
          </w:p>
        </w:tc>
      </w:tr>
      <w:tr>
        <w:trPr>
          <w:cantSplit/>
        </w:trPr>
        <w:tc>
          <w:tcPr>
            <w:tcW w:type="dxa" w:w="2304"/>
            <w:vAlign w:val="top"/>
          </w:tcPr>
          <w:p>
            <w:pPr>
              <w:spacing w:after="40" w:before="0" w:line="259" w:lineRule="auto"/>
            </w:pPr>
            <w:r>
              <w:rPr>
                <w:rFonts w:ascii="Calibri" w:hAnsi="Calibri"/>
                <w:b/>
                <w:i w:val="0"/>
                <w:color w:val="212121"/>
                <w:sz w:val="19"/>
              </w:rPr>
              <w:t>Breathlessness on exertion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Heart failure (aortic regurgitation) or pulmonary hypertension.</w:t>
            </w:r>
          </w:p>
        </w:tc>
      </w:tr>
      <w:tr>
        <w:trPr>
          <w:cantSplit/>
        </w:trPr>
        <w:tc>
          <w:tcPr>
            <w:tcW w:type="dxa" w:w="2304"/>
            <w:vAlign w:val="top"/>
          </w:tcPr>
          <w:p>
            <w:pPr>
              <w:spacing w:after="40" w:before="0" w:line="259" w:lineRule="auto"/>
            </w:pPr>
            <w:r>
              <w:rPr>
                <w:rFonts w:ascii="Calibri" w:hAnsi="Calibri"/>
                <w:b/>
                <w:i w:val="0"/>
                <w:color w:val="212121"/>
                <w:sz w:val="19"/>
              </w:rPr>
              <w:t>Neck pain / carotidynia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Tenderness over inflamed carotid arteries.</w:t>
            </w:r>
          </w:p>
        </w:tc>
      </w:tr>
      <w:tr>
        <w:trPr>
          <w:cantSplit/>
        </w:trPr>
        <w:tc>
          <w:tcPr>
            <w:tcW w:type="dxa" w:w="2304"/>
            <w:vAlign w:val="top"/>
          </w:tcPr>
          <w:p>
            <w:pPr>
              <w:spacing w:after="40" w:before="0" w:line="259" w:lineRule="auto"/>
            </w:pPr>
            <w:r>
              <w:rPr>
                <w:rFonts w:ascii="Calibri" w:hAnsi="Calibri"/>
                <w:b/>
                <w:i w:val="0"/>
                <w:color w:val="212121"/>
                <w:sz w:val="19"/>
              </w:rPr>
              <w:t>Post-prandial abdominal pain (abdominal angina)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Mesenteric artery stenosis reducing gut perfusion after meals.</w:t>
            </w:r>
          </w:p>
        </w:tc>
      </w:tr>
      <w:tr>
        <w:trPr>
          <w:cantSplit/>
        </w:trPr>
        <w:tc>
          <w:tcPr>
            <w:tcW w:type="dxa" w:w="2304"/>
            <w:vAlign w:val="top"/>
          </w:tcPr>
          <w:p>
            <w:pPr>
              <w:spacing w:after="40" w:before="0" w:line="259" w:lineRule="auto"/>
            </w:pPr>
            <w:r>
              <w:rPr>
                <w:rFonts w:ascii="Calibri" w:hAnsi="Calibri"/>
                <w:b/>
                <w:i w:val="0"/>
                <w:color w:val="212121"/>
                <w:sz w:val="19"/>
              </w:rPr>
              <w:t>Syncope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cerebral hypoperfusion or subclavian steal.</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Absent or diminished peripheral pulses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Radial/brachial/carotid loss — the ‘pulseless’ hallmark of TA.</w:t>
            </w:r>
          </w:p>
        </w:tc>
      </w:tr>
      <w:tr>
        <w:trPr>
          <w:cantSplit/>
        </w:trPr>
        <w:tc>
          <w:tcPr>
            <w:tcW w:type="dxa" w:w="3456"/>
            <w:vAlign w:val="top"/>
          </w:tcPr>
          <w:p>
            <w:pPr>
              <w:spacing w:after="40" w:before="0" w:line="259" w:lineRule="auto"/>
            </w:pPr>
            <w:r>
              <w:rPr>
                <w:rFonts w:ascii="Calibri" w:hAnsi="Calibri"/>
                <w:b/>
                <w:i w:val="0"/>
                <w:color w:val="212121"/>
                <w:sz w:val="19"/>
              </w:rPr>
              <w:t>Inter-arm blood-pressure difference &gt; 10 mmHg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Subclavian/innominate stenosis; an ACR classification criterion.</w:t>
            </w:r>
          </w:p>
        </w:tc>
      </w:tr>
      <w:tr>
        <w:trPr>
          <w:cantSplit/>
        </w:trPr>
        <w:tc>
          <w:tcPr>
            <w:tcW w:type="dxa" w:w="3456"/>
            <w:vAlign w:val="top"/>
          </w:tcPr>
          <w:p>
            <w:pPr>
              <w:spacing w:after="40" w:before="0" w:line="259" w:lineRule="auto"/>
            </w:pPr>
            <w:r>
              <w:rPr>
                <w:rFonts w:ascii="Calibri" w:hAnsi="Calibri"/>
                <w:b/>
                <w:i w:val="0"/>
                <w:color w:val="212121"/>
                <w:sz w:val="19"/>
              </w:rPr>
              <w:t>Vascular bruits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Heard over carotid, subclavian, abdominal or renal arteries.</w:t>
            </w:r>
          </w:p>
        </w:tc>
      </w:tr>
      <w:tr>
        <w:trPr>
          <w:cantSplit/>
        </w:trPr>
        <w:tc>
          <w:tcPr>
            <w:tcW w:type="dxa" w:w="3456"/>
            <w:vAlign w:val="top"/>
          </w:tcPr>
          <w:p>
            <w:pPr>
              <w:spacing w:after="40" w:before="0" w:line="259" w:lineRule="auto"/>
            </w:pPr>
            <w:r>
              <w:rPr>
                <w:rFonts w:ascii="Calibri" w:hAnsi="Calibri"/>
                <w:b/>
                <w:i w:val="0"/>
                <w:color w:val="212121"/>
                <w:sz w:val="19"/>
              </w:rPr>
              <w:t>Hypertension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Usually renovascular; the dominant sign in Indian patients.</w:t>
            </w:r>
          </w:p>
        </w:tc>
      </w:tr>
      <w:tr>
        <w:trPr>
          <w:cantSplit/>
        </w:trPr>
        <w:tc>
          <w:tcPr>
            <w:tcW w:type="dxa" w:w="3456"/>
            <w:vAlign w:val="top"/>
          </w:tcPr>
          <w:p>
            <w:pPr>
              <w:spacing w:after="40" w:before="0" w:line="259" w:lineRule="auto"/>
            </w:pPr>
            <w:r>
              <w:rPr>
                <w:rFonts w:ascii="Calibri" w:hAnsi="Calibri"/>
                <w:b/>
                <w:i w:val="0"/>
                <w:color w:val="212121"/>
                <w:sz w:val="19"/>
              </w:rPr>
              <w:t>Carotidynia (carotid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tenderness over inflamed carotid arteries.</w:t>
            </w:r>
          </w:p>
        </w:tc>
      </w:tr>
      <w:tr>
        <w:trPr>
          <w:cantSplit/>
        </w:trPr>
        <w:tc>
          <w:tcPr>
            <w:tcW w:type="dxa" w:w="3456"/>
            <w:vAlign w:val="top"/>
          </w:tcPr>
          <w:p>
            <w:pPr>
              <w:spacing w:after="40" w:before="0" w:line="259" w:lineRule="auto"/>
            </w:pPr>
            <w:r>
              <w:rPr>
                <w:rFonts w:ascii="Calibri" w:hAnsi="Calibri"/>
                <w:b/>
                <w:i w:val="0"/>
                <w:color w:val="212121"/>
                <w:sz w:val="19"/>
              </w:rPr>
              <w:t>Aortic regurgitation murmur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Early diastolic murmur from aortic-root dilatation.</w:t>
            </w:r>
          </w:p>
        </w:tc>
      </w:tr>
      <w:tr>
        <w:trPr>
          <w:cantSplit/>
        </w:trPr>
        <w:tc>
          <w:tcPr>
            <w:tcW w:type="dxa" w:w="3456"/>
            <w:vAlign w:val="top"/>
          </w:tcPr>
          <w:p>
            <w:pPr>
              <w:spacing w:after="40" w:before="0" w:line="259" w:lineRule="auto"/>
            </w:pPr>
            <w:r>
              <w:rPr>
                <w:rFonts w:ascii="Calibri" w:hAnsi="Calibri"/>
                <w:b/>
                <w:i w:val="0"/>
                <w:color w:val="212121"/>
                <w:sz w:val="19"/>
              </w:rPr>
              <w:t>Unequal or unrecordable blood pressure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Multi-vessel subclavian/aortic disease.</w:t>
            </w:r>
          </w:p>
        </w:tc>
      </w:tr>
      <w:tr>
        <w:trPr>
          <w:cantSplit/>
        </w:trPr>
        <w:tc>
          <w:tcPr>
            <w:tcW w:type="dxa" w:w="3456"/>
            <w:vAlign w:val="top"/>
          </w:tcPr>
          <w:p>
            <w:pPr>
              <w:spacing w:after="40" w:before="0" w:line="259" w:lineRule="auto"/>
            </w:pPr>
            <w:r>
              <w:rPr>
                <w:rFonts w:ascii="Calibri" w:hAnsi="Calibri"/>
                <w:b/>
                <w:i w:val="0"/>
                <w:color w:val="212121"/>
                <w:sz w:val="19"/>
              </w:rPr>
              <w:t>Cool, pale extremities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Chronic limb ischaemia from arterial occlusion.</w:t>
            </w:r>
          </w:p>
        </w:tc>
      </w:tr>
      <w:tr>
        <w:trPr>
          <w:cantSplit/>
        </w:trPr>
        <w:tc>
          <w:tcPr>
            <w:tcW w:type="dxa" w:w="3456"/>
            <w:vAlign w:val="top"/>
          </w:tcPr>
          <w:p>
            <w:pPr>
              <w:spacing w:after="40" w:before="0" w:line="259" w:lineRule="auto"/>
            </w:pPr>
            <w:r>
              <w:rPr>
                <w:rFonts w:ascii="Calibri" w:hAnsi="Calibri"/>
                <w:b/>
                <w:i w:val="0"/>
                <w:color w:val="212121"/>
                <w:sz w:val="19"/>
              </w:rPr>
              <w:t>Takayasu retinopathy on fundoscopy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Retinal ischaemia and AV anastomoses in carotid disease.</w:t>
            </w:r>
          </w:p>
        </w:tc>
      </w:tr>
      <w:tr>
        <w:trPr>
          <w:cantSplit/>
        </w:trPr>
        <w:tc>
          <w:tcPr>
            <w:tcW w:type="dxa" w:w="3456"/>
            <w:vAlign w:val="top"/>
          </w:tcPr>
          <w:p>
            <w:pPr>
              <w:spacing w:after="40" w:before="0" w:line="259" w:lineRule="auto"/>
            </w:pPr>
            <w:r>
              <w:rPr>
                <w:rFonts w:ascii="Calibri" w:hAnsi="Calibri"/>
                <w:b/>
                <w:i w:val="0"/>
                <w:color w:val="212121"/>
                <w:sz w:val="19"/>
              </w:rPr>
              <w:t>Signs of congestive heart failure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advanced aortic regurgitation, cardiomyopathy or pulmonary hypertension.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Arterial stenosis and occlusion of the aorta and its major branches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Aneurysm and arterial dilatation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Renovascular (renal-artery) stenosis with secondary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Upper- and lower-limb claudication and critical limb ischaemia</w:t>
            </w:r>
          </w:p>
        </w:tc>
        <w:tc>
          <w:tcPr>
            <w:tcW w:type="dxa" w:w="2980"/>
            <w:vAlign w:val="top"/>
          </w:tcPr>
          <w:p>
            <w:pPr>
              <w:spacing w:after="40" w:before="0" w:line="259" w:lineRule="auto"/>
            </w:pPr>
            <w:r>
              <w:rPr>
                <w:rFonts w:ascii="Calibri" w:hAnsi="Calibri"/>
                <w:b w:val="0"/>
                <w:i w:val="0"/>
                <w:color w:val="212121"/>
                <w:sz w:val="19"/>
              </w:rPr>
              <w:t>Direct consequences of transmural large-vessel inflammation, fibrosis and elastic-fibre degradation.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Stroke and transient ischaemic attacks (carotid/vertebral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Aortic regurgitation and congestive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Ischaemic heart disease / myocardial infarction (coronary ostial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artery involvement and 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Takayasu retinopathy and visual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Mesenteric ischaemia / abdominal angina</w:t>
            </w:r>
          </w:p>
        </w:tc>
        <w:tc>
          <w:tcPr>
            <w:tcW w:type="dxa" w:w="2980"/>
            <w:vAlign w:val="top"/>
          </w:tcPr>
          <w:p>
            <w:pPr>
              <w:spacing w:after="40" w:before="0" w:line="259" w:lineRule="auto"/>
            </w:pPr>
            <w:r>
              <w:rPr>
                <w:rFonts w:ascii="Calibri" w:hAnsi="Calibri"/>
                <w:b w:val="0"/>
                <w:i w:val="0"/>
                <w:color w:val="212121"/>
                <w:sz w:val="19"/>
              </w:rPr>
              <w:t>Ischaemic and haemodynamic consequences of large-vessel narrowing plus accelerated atherosclerosis.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 from long-standing renovascular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Aortic aneurysm rupture or dissection (life-threatening)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heart failure and cardiovascular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Amputation for critical limb ischaemia</w:t>
            </w:r>
          </w:p>
        </w:tc>
        <w:tc>
          <w:tcPr>
            <w:tcW w:type="dxa" w:w="2980"/>
            <w:vAlign w:val="top"/>
          </w:tcPr>
          <w:p>
            <w:pPr>
              <w:spacing w:after="40" w:before="0" w:line="259" w:lineRule="auto"/>
            </w:pPr>
            <w:r>
              <w:rPr>
                <w:rFonts w:ascii="Calibri" w:hAnsi="Calibri"/>
                <w:b w:val="0"/>
                <w:i w:val="0"/>
                <w:color w:val="212121"/>
                <w:sz w:val="19"/>
              </w:rPr>
              <w:t>Irreversible, disabling end-organ outcomes of longstanding, poorly 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Renovascular hypertension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Renal-artery stenosis is the leading cause of the hypertension that dominates Indian TA and is often the presenting feature; control frequently requires treating the stenosis.</w:t>
            </w:r>
          </w:p>
        </w:tc>
      </w:tr>
      <w:tr>
        <w:trPr>
          <w:cantSplit/>
        </w:trPr>
        <w:tc>
          <w:tcPr>
            <w:tcW w:type="dxa" w:w="2232"/>
            <w:vAlign w:val="top"/>
          </w:tcPr>
          <w:p>
            <w:pPr>
              <w:spacing w:after="40" w:before="0" w:line="259" w:lineRule="auto"/>
            </w:pPr>
            <w:r>
              <w:rPr>
                <w:rFonts w:ascii="Calibri" w:hAnsi="Calibri"/>
                <w:b/>
                <w:i w:val="0"/>
                <w:color w:val="212121"/>
                <w:sz w:val="19"/>
              </w:rPr>
              <w:t>Tuberculosis (latent / past)</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long-debated association in TB-endemic India (proposed HSP-65 molecular mimicry); latent TB must be screened for and treated before immunosuppression.</w:t>
            </w:r>
          </w:p>
        </w:tc>
      </w:tr>
      <w:tr>
        <w:trPr>
          <w:cantSplit/>
        </w:trPr>
        <w:tc>
          <w:tcPr>
            <w:tcW w:type="dxa" w:w="2232"/>
            <w:vAlign w:val="top"/>
          </w:tcPr>
          <w:p>
            <w:pPr>
              <w:spacing w:after="40" w:before="0" w:line="259" w:lineRule="auto"/>
            </w:pPr>
            <w:r>
              <w:rPr>
                <w:rFonts w:ascii="Calibri" w:hAnsi="Calibri"/>
                <w:b/>
                <w:i w:val="0"/>
                <w:color w:val="212121"/>
                <w:sz w:val="19"/>
              </w:rPr>
              <w:t>Aortic regurgitation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Aortic-root dilatation from aortitis causes AR, a major driver of heart failure in TA.</w:t>
            </w:r>
          </w:p>
        </w:tc>
      </w:tr>
      <w:tr>
        <w:trPr>
          <w:cantSplit/>
        </w:trPr>
        <w:tc>
          <w:tcPr>
            <w:tcW w:type="dxa" w:w="2232"/>
            <w:vAlign w:val="top"/>
          </w:tcPr>
          <w:p>
            <w:pPr>
              <w:spacing w:after="40" w:before="0" w:line="259" w:lineRule="auto"/>
            </w:pPr>
            <w:r>
              <w:rPr>
                <w:rFonts w:ascii="Calibri" w:hAnsi="Calibri"/>
                <w:b/>
                <w:i w:val="0"/>
                <w:color w:val="212121"/>
                <w:sz w:val="19"/>
              </w:rPr>
              <w:t>Ischaemic heart disease / coronary artery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Coronary ostial involvement and accelerated atherosclerosis raise the risk of angina and myocardial infarction in young patients.</w:t>
            </w:r>
          </w:p>
        </w:tc>
      </w:tr>
      <w:tr>
        <w:trPr>
          <w:cantSplit/>
        </w:trPr>
        <w:tc>
          <w:tcPr>
            <w:tcW w:type="dxa" w:w="2232"/>
            <w:vAlign w:val="top"/>
          </w:tcPr>
          <w:p>
            <w:pPr>
              <w:spacing w:after="40" w:before="0" w:line="259" w:lineRule="auto"/>
            </w:pPr>
            <w:r>
              <w:rPr>
                <w:rFonts w:ascii="Calibri" w:hAnsi="Calibri"/>
                <w:b/>
                <w:i w:val="0"/>
                <w:color w:val="212121"/>
                <w:sz w:val="19"/>
              </w:rPr>
              <w:t>Stroke / cerebrovascular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Carotid and vertebral stenosis, plus renovascular hypertension, predispose to TIA and stroke.</w:t>
            </w:r>
          </w:p>
        </w:tc>
      </w:tr>
      <w:tr>
        <w:trPr>
          <w:cantSplit/>
        </w:trPr>
        <w:tc>
          <w:tcPr>
            <w:tcW w:type="dxa" w:w="2232"/>
            <w:vAlign w:val="top"/>
          </w:tcPr>
          <w:p>
            <w:pPr>
              <w:spacing w:after="40" w:before="0" w:line="259" w:lineRule="auto"/>
            </w:pPr>
            <w:r>
              <w:rPr>
                <w:rFonts w:ascii="Calibri" w:hAnsi="Calibri"/>
                <w:b/>
                <w:i w:val="0"/>
                <w:color w:val="212121"/>
                <w:sz w:val="19"/>
              </w:rPr>
              <w:t>Pulmonary hypertension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Pulmonary artery involvement causes stenosis and secondary pulmonary hypertension.</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Long-standing renovascular disease and hypertensive nephropathy cause progressive renal impairment.</w:t>
            </w:r>
          </w:p>
        </w:tc>
      </w:tr>
      <w:tr>
        <w:trPr>
          <w:cantSplit/>
        </w:trPr>
        <w:tc>
          <w:tcPr>
            <w:tcW w:type="dxa" w:w="2232"/>
            <w:vAlign w:val="top"/>
          </w:tcPr>
          <w:p>
            <w:pPr>
              <w:spacing w:after="40" w:before="0" w:line="259" w:lineRule="auto"/>
            </w:pPr>
            <w:r>
              <w:rPr>
                <w:rFonts w:ascii="Calibri" w:hAnsi="Calibri"/>
                <w:b/>
                <w:i w:val="0"/>
                <w:color w:val="212121"/>
                <w:sz w:val="19"/>
              </w:rPr>
              <w:t>Inflammatory bowel disease (Crohn's / ulcerative colitis)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Co-occurs more than expected by chance, suggesting shared granulomatous, immune-mediated mechanisms.</w:t>
            </w:r>
          </w:p>
        </w:tc>
      </w:tr>
      <w:tr>
        <w:trPr>
          <w:cantSplit/>
        </w:trPr>
        <w:tc>
          <w:tcPr>
            <w:tcW w:type="dxa" w:w="2232"/>
            <w:vAlign w:val="top"/>
          </w:tcPr>
          <w:p>
            <w:pPr>
              <w:spacing w:after="40" w:before="0" w:line="259" w:lineRule="auto"/>
            </w:pPr>
            <w:r>
              <w:rPr>
                <w:rFonts w:ascii="Calibri" w:hAnsi="Calibri"/>
                <w:b/>
                <w:i w:val="0"/>
                <w:color w:val="212121"/>
                <w:sz w:val="19"/>
              </w:rPr>
              <w:t>Seronegative spondyloarthritis / ankylosing spondylitis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Reported association reflecting shared HLA-linked autoimmunity.</w:t>
            </w:r>
          </w:p>
        </w:tc>
      </w:tr>
      <w:tr>
        <w:trPr>
          <w:cantSplit/>
        </w:trPr>
        <w:tc>
          <w:tcPr>
            <w:tcW w:type="dxa" w:w="2232"/>
            <w:vAlign w:val="top"/>
          </w:tcPr>
          <w:p>
            <w:pPr>
              <w:spacing w:after="40" w:before="0" w:line="259" w:lineRule="auto"/>
            </w:pPr>
            <w:r>
              <w:rPr>
                <w:rFonts w:ascii="Calibri" w:hAnsi="Calibri"/>
                <w:b/>
                <w:i w:val="0"/>
                <w:color w:val="212121"/>
                <w:sz w:val="19"/>
              </w:rPr>
              <w:t>Anaemia of chronic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Sustained systemic inflammation suppresses erythropoiesis, producing normocytic anaemia during active disease.</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relapsing disease, pain and steroid effects in young women drive high rates of mood disorder that in turn worsen adherence and outcomes.</w:t>
            </w:r>
          </w:p>
        </w:tc>
      </w:tr>
      <w:tr>
        <w:trPr>
          <w:cantSplit/>
        </w:trPr>
        <w:tc>
          <w:tcPr>
            <w:tcW w:type="dxa" w:w="2232"/>
            <w:vAlign w:val="top"/>
          </w:tcPr>
          <w:p>
            <w:pPr>
              <w:spacing w:after="40" w:before="0" w:line="259" w:lineRule="auto"/>
            </w:pPr>
            <w:r>
              <w:rPr>
                <w:rFonts w:ascii="Calibri" w:hAnsi="Calibri"/>
                <w:b/>
                <w:i w:val="0"/>
                <w:color w:val="212121"/>
                <w:sz w:val="19"/>
              </w:rPr>
              <w:t>Pregnancy complications (pre-eclampsia, fetal growth restriction)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Renovascular hypertension and aortic disease in young women raise obstetric risk and require remission and multidisciplinary planning.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features — unexplained fatigue, low-grade fever and weight loss in a young person, followed by arm claudication, dizziness or headaches — and seek early specialist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Suspect Takayasu arteritis in any young adult (especially a young woman) with new, severe or difficult-to-control hypertension, unequal arm pulses or blood pressure, or a vascular bruit.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have blood pressure checked in both arms (and legs where indicated), because a false-normal reading in a stenosed arm can hide severe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this is a chronic relapsing disease needing long-term immunosuppression, regular inflammatory-marker checks and periodic vascular imaging.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TB-endemic India, complete tuberculosis screening before starting steroids or biologics, and report any cough, fever or weight loss during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Relatives / HLA-B52 carriers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young-onset hypertension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glucocorticoids and steroid-sparing agents (methotrexate, azathioprine, mycophenolate, or biologics such as tocilizumab) exactly as prescribed, and never stop steroids abruptly.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scheduled follow-up for disease-activity scoring (e.g. ITAS2010), ESR/CRP and surveillance angiography.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infection precautions and keep vaccinations up to date while immunosuppressed.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any pregnancy for a period of stable remission, with combined rheumatology, cardiology and obstetric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Actively reduce cardiovascular risk — blood pressure, lipids, glucose, weight and tobacco — to limit accelerated atherosclerosis.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TA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women planning pregnancy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disease is controlled, undertake supervised, graded aerobic exercise (e.g. walking programmes) to improve claudication distance and cardiovascular fitness.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isometric straining and high-intensity exertion when hypertension is uncontrolled or an aortic aneurysm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cardiac and vascular rehabilitation after angioplasty or bypass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or worsening limb pain, dizziness on exertion or chest pain promptly, as these may signal disease progression.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 patients with claudication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Post-revascularisation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low-salt (&lt; 5 g/day), DASH-style diet to help control renovascular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heart-healthy, anti-atherogenic pattern — whole grains, pulses, fruit and vegetables, limited saturated fat, refined carbohydrate and fried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vitamin D and protein to protect bone during long-term glucocorticoid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potassium-rich foods (unless renal function is impaired) and maintain a healthy weight to offset steroid-related metabolic effects.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 with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accelerated atherosclerosis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regular, good-quality sleep to reduce fatigue and inflammatory symptom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consistent sleep–wake timing and good sleep hygiene, particularly during flares and steroid courses.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steroid-related insomnia with the treating team so dosing can be timed to the morning where possible.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glucocorticoids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use completely — smoking accelerates endothelial injury, arterial occlusion and restenosis in an already-damaged vascular tree.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nicotine-replacement therapy or pharmacotherapy and counselling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cessation before and after any angioplasty or bypass to protect graft and vessel patency.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 with TA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Pre/post-revascularisation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Tobacco/gutka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especially while taking methotrexate, because of the added risk of liver toxicity.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excess alcohol raises blood pressure and can undermine renovascular hypertension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safe limits with the treating team in the context of current medications.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methotrexate/immunosuppressants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 with hypertension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periodically for depression and anxiety (e.g. PHQ-9), which are common in young patients with chronic relapsing vasculitis.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peer or family support, and address body-image and mood effects of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reproductive counselling and reassurance to young women about pregnancy planning during remission.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psychological or psychiatric care when mood symptoms are moderate or severe, as they affect treatment adherence and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women with TA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relapsing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steroids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n.wikipedia.org/wiki/Takayasu%27s_arteritis" TargetMode="External"/><Relationship Id="rId10" Type="http://schemas.openxmlformats.org/officeDocument/2006/relationships/hyperlink" Target="https://pubmed.ncbi.nlm.nih.gov/24786922/" TargetMode="External"/><Relationship Id="rId11" Type="http://schemas.openxmlformats.org/officeDocument/2006/relationships/hyperlink" Target="https://www.hopkinsvasculitis.org/types-vasculitis/takayasus-arteritis/" TargetMode="External"/><Relationship Id="rId12" Type="http://schemas.openxmlformats.org/officeDocument/2006/relationships/hyperlink" Target="https://pubmed.ncbi.nlm.nih.gov/33179052/" TargetMode="External"/><Relationship Id="rId13" Type="http://schemas.openxmlformats.org/officeDocument/2006/relationships/hyperlink" Target="https://www.vasculitisfoundation.org/education/forms/takayasus-arteritis/" TargetMode="External"/><Relationship Id="rId14" Type="http://schemas.openxmlformats.org/officeDocument/2006/relationships/hyperlink" Target="https://www.mayoclinic.org/diseases-conditions/takayasus-arteritis/symptoms-causes/syc-20351335" TargetMode="External"/><Relationship Id="rId15" Type="http://schemas.openxmlformats.org/officeDocument/2006/relationships/hyperlink" Target="https://www.orpha.net/en/disease/detail/32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